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BED80" w14:textId="77777777" w:rsidR="00FB7ACF" w:rsidRPr="00D3520D" w:rsidRDefault="00FB7ACF" w:rsidP="00FB7ACF">
      <w:pPr>
        <w:spacing w:line="240" w:lineRule="auto"/>
        <w:ind w:firstLine="0"/>
        <w:jc w:val="center"/>
        <w:rPr>
          <w:rFonts w:ascii="Times New Roman" w:hAnsi="Times New Roman" w:cs="Times New Roman"/>
          <w:b/>
          <w:bCs/>
        </w:rPr>
      </w:pPr>
      <w:bookmarkStart w:id="0" w:name="_Hlk92727087"/>
      <w:r w:rsidRPr="00D3520D">
        <w:rPr>
          <w:rFonts w:ascii="Times New Roman" w:hAnsi="Times New Roman" w:cs="Times New Roman"/>
          <w:b/>
          <w:bCs/>
        </w:rPr>
        <w:t xml:space="preserve">The MATRIx Model – </w:t>
      </w:r>
      <w:r>
        <w:rPr>
          <w:rFonts w:ascii="Times New Roman" w:hAnsi="Times New Roman" w:cs="Times New Roman"/>
          <w:b/>
          <w:bCs/>
        </w:rPr>
        <w:t>Conceptual frameworks</w:t>
      </w:r>
      <w:r w:rsidRPr="00D3520D">
        <w:rPr>
          <w:rFonts w:ascii="Times New Roman" w:hAnsi="Times New Roman" w:cs="Times New Roman"/>
          <w:b/>
          <w:bCs/>
        </w:rPr>
        <w:t xml:space="preserve"> of barriers and facilitators to implementing and women accessing perinatal mental health care services</w:t>
      </w:r>
    </w:p>
    <w:bookmarkEnd w:id="0"/>
    <w:p w14:paraId="523DFE34" w14:textId="77777777" w:rsidR="009F351D" w:rsidRPr="00265687" w:rsidRDefault="009F351D" w:rsidP="00BE7DC4">
      <w:pPr>
        <w:spacing w:line="240" w:lineRule="auto"/>
        <w:ind w:firstLine="0"/>
        <w:jc w:val="center"/>
        <w:rPr>
          <w:rFonts w:ascii="Times New Roman" w:hAnsi="Times New Roman" w:cs="Times New Roman"/>
          <w:b/>
          <w:bCs/>
        </w:rPr>
      </w:pPr>
    </w:p>
    <w:p w14:paraId="59992744" w14:textId="4E6DD4B6" w:rsidR="00A20792" w:rsidRPr="00265687" w:rsidRDefault="00B96109" w:rsidP="00BE7DC4">
      <w:pPr>
        <w:spacing w:line="240" w:lineRule="auto"/>
        <w:ind w:firstLine="0"/>
        <w:jc w:val="center"/>
        <w:rPr>
          <w:rFonts w:ascii="Times New Roman" w:hAnsi="Times New Roman" w:cs="Times New Roman"/>
          <w:b/>
          <w:bCs/>
        </w:rPr>
      </w:pPr>
      <w:r>
        <w:rPr>
          <w:rFonts w:ascii="Times New Roman" w:hAnsi="Times New Roman" w:cs="Times New Roman"/>
          <w:b/>
          <w:bCs/>
        </w:rPr>
        <w:t>Supplementary Materials</w:t>
      </w:r>
    </w:p>
    <w:p w14:paraId="0123FCB1" w14:textId="4F3E0FF6" w:rsidR="006C0027" w:rsidRPr="00265687" w:rsidRDefault="006C0027" w:rsidP="00BE7DC4">
      <w:pPr>
        <w:spacing w:line="240" w:lineRule="auto"/>
        <w:ind w:firstLine="0"/>
        <w:rPr>
          <w:rFonts w:ascii="Times New Roman" w:hAnsi="Times New Roman" w:cs="Times New Roman"/>
        </w:rPr>
      </w:pPr>
    </w:p>
    <w:p w14:paraId="0E3EA5D7" w14:textId="17021546" w:rsidR="005578A4" w:rsidRDefault="00FB7ACF">
      <w:pPr>
        <w:pStyle w:val="TOC1"/>
        <w:rPr>
          <w:rFonts w:asciiTheme="minorHAnsi" w:eastAsiaTheme="minorEastAsia" w:hAnsiTheme="minorHAnsi"/>
          <w:noProof/>
          <w:lang w:eastAsia="en-GB"/>
        </w:rPr>
      </w:pPr>
      <w:r>
        <w:rPr>
          <w:rFonts w:ascii="Times New Roman" w:hAnsi="Times New Roman" w:cs="Times New Roman"/>
        </w:rPr>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hyperlink w:anchor="_Toc108781720" w:history="1">
        <w:r w:rsidR="005578A4" w:rsidRPr="00FC1BCE">
          <w:rPr>
            <w:rStyle w:val="Hyperlink"/>
            <w:rFonts w:ascii="Times New Roman" w:hAnsi="Times New Roman" w:cs="Times New Roman"/>
            <w:i/>
            <w:iCs/>
            <w:noProof/>
          </w:rPr>
          <w:t xml:space="preserve">Supplementary Materials 1: </w:t>
        </w:r>
        <w:r w:rsidR="005578A4" w:rsidRPr="00FC1BCE">
          <w:rPr>
            <w:rStyle w:val="Hyperlink"/>
            <w:rFonts w:ascii="Times New Roman" w:hAnsi="Times New Roman" w:cs="Times New Roman"/>
            <w:noProof/>
          </w:rPr>
          <w:t>The MATRIx Multi-Level Model</w:t>
        </w:r>
        <w:r w:rsidR="005578A4">
          <w:rPr>
            <w:noProof/>
            <w:webHidden/>
          </w:rPr>
          <w:tab/>
        </w:r>
        <w:r w:rsidR="005578A4">
          <w:rPr>
            <w:noProof/>
            <w:webHidden/>
          </w:rPr>
          <w:fldChar w:fldCharType="begin"/>
        </w:r>
        <w:r w:rsidR="005578A4">
          <w:rPr>
            <w:noProof/>
            <w:webHidden/>
          </w:rPr>
          <w:instrText xml:space="preserve"> PAGEREF _Toc108781720 \h </w:instrText>
        </w:r>
        <w:r w:rsidR="005578A4">
          <w:rPr>
            <w:noProof/>
            <w:webHidden/>
          </w:rPr>
        </w:r>
        <w:r w:rsidR="005578A4">
          <w:rPr>
            <w:noProof/>
            <w:webHidden/>
          </w:rPr>
          <w:fldChar w:fldCharType="separate"/>
        </w:r>
        <w:r w:rsidR="005578A4">
          <w:rPr>
            <w:noProof/>
            <w:webHidden/>
          </w:rPr>
          <w:t>2</w:t>
        </w:r>
        <w:r w:rsidR="005578A4">
          <w:rPr>
            <w:noProof/>
            <w:webHidden/>
          </w:rPr>
          <w:fldChar w:fldCharType="end"/>
        </w:r>
      </w:hyperlink>
    </w:p>
    <w:p w14:paraId="146CD697" w14:textId="7E4A051A" w:rsidR="005578A4" w:rsidRDefault="005578A4">
      <w:pPr>
        <w:pStyle w:val="TOC1"/>
        <w:rPr>
          <w:rFonts w:asciiTheme="minorHAnsi" w:eastAsiaTheme="minorEastAsia" w:hAnsiTheme="minorHAnsi"/>
          <w:noProof/>
          <w:lang w:eastAsia="en-GB"/>
        </w:rPr>
      </w:pPr>
      <w:hyperlink w:anchor="_Toc108781721" w:history="1">
        <w:r w:rsidRPr="00FC1BCE">
          <w:rPr>
            <w:rStyle w:val="Hyperlink"/>
            <w:rFonts w:ascii="Times New Roman" w:hAnsi="Times New Roman" w:cs="Times New Roman"/>
            <w:i/>
            <w:iCs/>
            <w:noProof/>
          </w:rPr>
          <w:t>Supplementary Materials 2</w:t>
        </w:r>
        <w:r w:rsidRPr="00FC1BCE">
          <w:rPr>
            <w:rStyle w:val="Hyperlink"/>
            <w:rFonts w:ascii="Times New Roman" w:hAnsi="Times New Roman" w:cs="Times New Roman"/>
            <w:noProof/>
          </w:rPr>
          <w:t>: The MATRIx Care Pathway</w:t>
        </w:r>
        <w:r>
          <w:rPr>
            <w:noProof/>
            <w:webHidden/>
          </w:rPr>
          <w:tab/>
        </w:r>
        <w:r>
          <w:rPr>
            <w:noProof/>
            <w:webHidden/>
          </w:rPr>
          <w:fldChar w:fldCharType="begin"/>
        </w:r>
        <w:r>
          <w:rPr>
            <w:noProof/>
            <w:webHidden/>
          </w:rPr>
          <w:instrText xml:space="preserve"> PAGEREF _Toc108781721 \h </w:instrText>
        </w:r>
        <w:r>
          <w:rPr>
            <w:noProof/>
            <w:webHidden/>
          </w:rPr>
        </w:r>
        <w:r>
          <w:rPr>
            <w:noProof/>
            <w:webHidden/>
          </w:rPr>
          <w:fldChar w:fldCharType="separate"/>
        </w:r>
        <w:r>
          <w:rPr>
            <w:noProof/>
            <w:webHidden/>
          </w:rPr>
          <w:t>3</w:t>
        </w:r>
        <w:r>
          <w:rPr>
            <w:noProof/>
            <w:webHidden/>
          </w:rPr>
          <w:fldChar w:fldCharType="end"/>
        </w:r>
      </w:hyperlink>
    </w:p>
    <w:p w14:paraId="2E711C26" w14:textId="741E7D1F" w:rsidR="005578A4" w:rsidRDefault="005578A4">
      <w:pPr>
        <w:pStyle w:val="TOC1"/>
        <w:rPr>
          <w:rFonts w:asciiTheme="minorHAnsi" w:eastAsiaTheme="minorEastAsia" w:hAnsiTheme="minorHAnsi"/>
          <w:noProof/>
          <w:lang w:eastAsia="en-GB"/>
        </w:rPr>
      </w:pPr>
      <w:hyperlink w:anchor="_Toc108781722" w:history="1">
        <w:r w:rsidRPr="00FC1BCE">
          <w:rPr>
            <w:rStyle w:val="Hyperlink"/>
            <w:rFonts w:ascii="Times New Roman" w:hAnsi="Times New Roman" w:cs="Times New Roman"/>
            <w:i/>
            <w:iCs/>
            <w:noProof/>
          </w:rPr>
          <w:t>Supplementary Materials 3</w:t>
        </w:r>
        <w:r w:rsidRPr="00FC1BCE">
          <w:rPr>
            <w:rStyle w:val="Hyperlink"/>
            <w:rFonts w:ascii="Times New Roman" w:hAnsi="Times New Roman" w:cs="Times New Roman"/>
            <w:noProof/>
          </w:rPr>
          <w:t>: Stakeholder group suggestions for conceptual framework, practice and research</w:t>
        </w:r>
        <w:r>
          <w:rPr>
            <w:noProof/>
            <w:webHidden/>
          </w:rPr>
          <w:tab/>
        </w:r>
        <w:r>
          <w:rPr>
            <w:noProof/>
            <w:webHidden/>
          </w:rPr>
          <w:fldChar w:fldCharType="begin"/>
        </w:r>
        <w:r>
          <w:rPr>
            <w:noProof/>
            <w:webHidden/>
          </w:rPr>
          <w:instrText xml:space="preserve"> PAGEREF _Toc108781722 \h </w:instrText>
        </w:r>
        <w:r>
          <w:rPr>
            <w:noProof/>
            <w:webHidden/>
          </w:rPr>
        </w:r>
        <w:r>
          <w:rPr>
            <w:noProof/>
            <w:webHidden/>
          </w:rPr>
          <w:fldChar w:fldCharType="separate"/>
        </w:r>
        <w:r>
          <w:rPr>
            <w:noProof/>
            <w:webHidden/>
          </w:rPr>
          <w:t>4</w:t>
        </w:r>
        <w:r>
          <w:rPr>
            <w:noProof/>
            <w:webHidden/>
          </w:rPr>
          <w:fldChar w:fldCharType="end"/>
        </w:r>
      </w:hyperlink>
    </w:p>
    <w:p w14:paraId="4451A79C" w14:textId="15C9D8A9" w:rsidR="005578A4" w:rsidRDefault="005578A4">
      <w:pPr>
        <w:pStyle w:val="TOC1"/>
        <w:rPr>
          <w:rFonts w:asciiTheme="minorHAnsi" w:eastAsiaTheme="minorEastAsia" w:hAnsiTheme="minorHAnsi"/>
          <w:noProof/>
          <w:lang w:eastAsia="en-GB"/>
        </w:rPr>
      </w:pPr>
      <w:hyperlink w:anchor="_Toc108781723" w:history="1">
        <w:r w:rsidRPr="00FC1BCE">
          <w:rPr>
            <w:rStyle w:val="Hyperlink"/>
            <w:rFonts w:ascii="Times New Roman" w:hAnsi="Times New Roman" w:cs="Times New Roman"/>
            <w:i/>
            <w:iCs/>
            <w:noProof/>
          </w:rPr>
          <w:t xml:space="preserve">Supplementary Materials 4: </w:t>
        </w:r>
        <w:r w:rsidRPr="00FC1BCE">
          <w:rPr>
            <w:rStyle w:val="Hyperlink"/>
            <w:rFonts w:ascii="Times New Roman" w:hAnsi="Times New Roman" w:cs="Times New Roman"/>
            <w:noProof/>
          </w:rPr>
          <w:t>GRADE-CERQual Methodological quality table</w:t>
        </w:r>
        <w:r>
          <w:rPr>
            <w:noProof/>
            <w:webHidden/>
          </w:rPr>
          <w:tab/>
        </w:r>
        <w:r>
          <w:rPr>
            <w:noProof/>
            <w:webHidden/>
          </w:rPr>
          <w:fldChar w:fldCharType="begin"/>
        </w:r>
        <w:r>
          <w:rPr>
            <w:noProof/>
            <w:webHidden/>
          </w:rPr>
          <w:instrText xml:space="preserve"> PAGEREF _Toc108781723 \h </w:instrText>
        </w:r>
        <w:r>
          <w:rPr>
            <w:noProof/>
            <w:webHidden/>
          </w:rPr>
        </w:r>
        <w:r>
          <w:rPr>
            <w:noProof/>
            <w:webHidden/>
          </w:rPr>
          <w:fldChar w:fldCharType="separate"/>
        </w:r>
        <w:r>
          <w:rPr>
            <w:noProof/>
            <w:webHidden/>
          </w:rPr>
          <w:t>8</w:t>
        </w:r>
        <w:r>
          <w:rPr>
            <w:noProof/>
            <w:webHidden/>
          </w:rPr>
          <w:fldChar w:fldCharType="end"/>
        </w:r>
      </w:hyperlink>
    </w:p>
    <w:p w14:paraId="0B97E24B" w14:textId="11F18713" w:rsidR="005578A4" w:rsidRDefault="005578A4">
      <w:pPr>
        <w:pStyle w:val="TOC1"/>
        <w:rPr>
          <w:rFonts w:asciiTheme="minorHAnsi" w:eastAsiaTheme="minorEastAsia" w:hAnsiTheme="minorHAnsi"/>
          <w:noProof/>
          <w:lang w:eastAsia="en-GB"/>
        </w:rPr>
      </w:pPr>
      <w:hyperlink w:anchor="_Toc108781724" w:history="1">
        <w:r w:rsidRPr="00FC1BCE">
          <w:rPr>
            <w:rStyle w:val="Hyperlink"/>
            <w:rFonts w:ascii="Times New Roman" w:hAnsi="Times New Roman" w:cs="Times New Roman"/>
            <w:i/>
            <w:iCs/>
            <w:noProof/>
          </w:rPr>
          <w:t>Supplementary Materials 5:</w:t>
        </w:r>
        <w:r w:rsidRPr="00FC1BCE">
          <w:rPr>
            <w:rStyle w:val="Hyperlink"/>
            <w:rFonts w:ascii="Times New Roman" w:hAnsi="Times New Roman" w:cs="Times New Roman"/>
            <w:noProof/>
          </w:rPr>
          <w:t xml:space="preserve"> GRADE-CERQual Coherence rating table</w:t>
        </w:r>
        <w:r>
          <w:rPr>
            <w:noProof/>
            <w:webHidden/>
          </w:rPr>
          <w:tab/>
        </w:r>
        <w:r>
          <w:rPr>
            <w:noProof/>
            <w:webHidden/>
          </w:rPr>
          <w:fldChar w:fldCharType="begin"/>
        </w:r>
        <w:r>
          <w:rPr>
            <w:noProof/>
            <w:webHidden/>
          </w:rPr>
          <w:instrText xml:space="preserve"> PAGEREF _Toc108781724 \h </w:instrText>
        </w:r>
        <w:r>
          <w:rPr>
            <w:noProof/>
            <w:webHidden/>
          </w:rPr>
        </w:r>
        <w:r>
          <w:rPr>
            <w:noProof/>
            <w:webHidden/>
          </w:rPr>
          <w:fldChar w:fldCharType="separate"/>
        </w:r>
        <w:r>
          <w:rPr>
            <w:noProof/>
            <w:webHidden/>
          </w:rPr>
          <w:t>25</w:t>
        </w:r>
        <w:r>
          <w:rPr>
            <w:noProof/>
            <w:webHidden/>
          </w:rPr>
          <w:fldChar w:fldCharType="end"/>
        </w:r>
      </w:hyperlink>
    </w:p>
    <w:p w14:paraId="5CD109D2" w14:textId="41567265" w:rsidR="005578A4" w:rsidRDefault="005578A4">
      <w:pPr>
        <w:pStyle w:val="TOC1"/>
        <w:rPr>
          <w:rFonts w:asciiTheme="minorHAnsi" w:eastAsiaTheme="minorEastAsia" w:hAnsiTheme="minorHAnsi"/>
          <w:noProof/>
          <w:lang w:eastAsia="en-GB"/>
        </w:rPr>
      </w:pPr>
      <w:hyperlink w:anchor="_Toc108781725" w:history="1">
        <w:r w:rsidRPr="00FC1BCE">
          <w:rPr>
            <w:rStyle w:val="Hyperlink"/>
            <w:rFonts w:ascii="Times New Roman" w:hAnsi="Times New Roman" w:cs="Times New Roman"/>
            <w:i/>
            <w:iCs/>
            <w:noProof/>
          </w:rPr>
          <w:t>Supplementary Materials 6:</w:t>
        </w:r>
        <w:r w:rsidRPr="00FC1BCE">
          <w:rPr>
            <w:rStyle w:val="Hyperlink"/>
            <w:rFonts w:ascii="Times New Roman" w:hAnsi="Times New Roman" w:cs="Times New Roman"/>
            <w:noProof/>
          </w:rPr>
          <w:t xml:space="preserve"> GRADE-CERQual Adequacy rating table</w:t>
        </w:r>
        <w:r>
          <w:rPr>
            <w:noProof/>
            <w:webHidden/>
          </w:rPr>
          <w:tab/>
        </w:r>
        <w:r>
          <w:rPr>
            <w:noProof/>
            <w:webHidden/>
          </w:rPr>
          <w:fldChar w:fldCharType="begin"/>
        </w:r>
        <w:r>
          <w:rPr>
            <w:noProof/>
            <w:webHidden/>
          </w:rPr>
          <w:instrText xml:space="preserve"> PAGEREF _Toc108781725 \h </w:instrText>
        </w:r>
        <w:r>
          <w:rPr>
            <w:noProof/>
            <w:webHidden/>
          </w:rPr>
        </w:r>
        <w:r>
          <w:rPr>
            <w:noProof/>
            <w:webHidden/>
          </w:rPr>
          <w:fldChar w:fldCharType="separate"/>
        </w:r>
        <w:r>
          <w:rPr>
            <w:noProof/>
            <w:webHidden/>
          </w:rPr>
          <w:t>43</w:t>
        </w:r>
        <w:r>
          <w:rPr>
            <w:noProof/>
            <w:webHidden/>
          </w:rPr>
          <w:fldChar w:fldCharType="end"/>
        </w:r>
      </w:hyperlink>
    </w:p>
    <w:p w14:paraId="5A72AE6E" w14:textId="20A7144E" w:rsidR="005578A4" w:rsidRDefault="005578A4">
      <w:pPr>
        <w:pStyle w:val="TOC1"/>
        <w:rPr>
          <w:rFonts w:asciiTheme="minorHAnsi" w:eastAsiaTheme="minorEastAsia" w:hAnsiTheme="minorHAnsi"/>
          <w:noProof/>
          <w:lang w:eastAsia="en-GB"/>
        </w:rPr>
      </w:pPr>
      <w:hyperlink w:anchor="_Toc108781726" w:history="1">
        <w:r w:rsidRPr="00FC1BCE">
          <w:rPr>
            <w:rStyle w:val="Hyperlink"/>
            <w:rFonts w:ascii="Times New Roman" w:hAnsi="Times New Roman" w:cs="Times New Roman"/>
            <w:i/>
            <w:iCs/>
            <w:noProof/>
          </w:rPr>
          <w:t>Supplementary Materials 7:</w:t>
        </w:r>
        <w:r w:rsidRPr="00FC1BCE">
          <w:rPr>
            <w:rStyle w:val="Hyperlink"/>
            <w:rFonts w:ascii="Times New Roman" w:hAnsi="Times New Roman" w:cs="Times New Roman"/>
            <w:noProof/>
          </w:rPr>
          <w:t xml:space="preserve"> Geographical distribution of research</w:t>
        </w:r>
        <w:r>
          <w:rPr>
            <w:noProof/>
            <w:webHidden/>
          </w:rPr>
          <w:tab/>
        </w:r>
        <w:r>
          <w:rPr>
            <w:noProof/>
            <w:webHidden/>
          </w:rPr>
          <w:fldChar w:fldCharType="begin"/>
        </w:r>
        <w:r>
          <w:rPr>
            <w:noProof/>
            <w:webHidden/>
          </w:rPr>
          <w:instrText xml:space="preserve"> PAGEREF _Toc108781726 \h </w:instrText>
        </w:r>
        <w:r>
          <w:rPr>
            <w:noProof/>
            <w:webHidden/>
          </w:rPr>
        </w:r>
        <w:r>
          <w:rPr>
            <w:noProof/>
            <w:webHidden/>
          </w:rPr>
          <w:fldChar w:fldCharType="separate"/>
        </w:r>
        <w:r>
          <w:rPr>
            <w:noProof/>
            <w:webHidden/>
          </w:rPr>
          <w:t>65</w:t>
        </w:r>
        <w:r>
          <w:rPr>
            <w:noProof/>
            <w:webHidden/>
          </w:rPr>
          <w:fldChar w:fldCharType="end"/>
        </w:r>
      </w:hyperlink>
    </w:p>
    <w:p w14:paraId="7C9A9670" w14:textId="50047F1E" w:rsidR="005578A4" w:rsidRDefault="005578A4">
      <w:pPr>
        <w:pStyle w:val="TOC1"/>
        <w:rPr>
          <w:rFonts w:asciiTheme="minorHAnsi" w:eastAsiaTheme="minorEastAsia" w:hAnsiTheme="minorHAnsi"/>
          <w:noProof/>
          <w:lang w:eastAsia="en-GB"/>
        </w:rPr>
      </w:pPr>
      <w:hyperlink w:anchor="_Toc108781727" w:history="1">
        <w:r w:rsidRPr="00FC1BCE">
          <w:rPr>
            <w:rStyle w:val="Hyperlink"/>
            <w:rFonts w:ascii="Times New Roman" w:hAnsi="Times New Roman" w:cs="Times New Roman"/>
            <w:i/>
            <w:iCs/>
            <w:noProof/>
          </w:rPr>
          <w:t>Supplementary Materials 8.</w:t>
        </w:r>
        <w:r w:rsidRPr="00FC1BCE">
          <w:rPr>
            <w:rStyle w:val="Hyperlink"/>
            <w:rFonts w:ascii="Times New Roman" w:hAnsi="Times New Roman" w:cs="Times New Roman"/>
            <w:noProof/>
          </w:rPr>
          <w:t xml:space="preserve"> GRADE-CERQual Relevance rating table</w:t>
        </w:r>
        <w:r>
          <w:rPr>
            <w:noProof/>
            <w:webHidden/>
          </w:rPr>
          <w:tab/>
        </w:r>
        <w:r>
          <w:rPr>
            <w:noProof/>
            <w:webHidden/>
          </w:rPr>
          <w:fldChar w:fldCharType="begin"/>
        </w:r>
        <w:r>
          <w:rPr>
            <w:noProof/>
            <w:webHidden/>
          </w:rPr>
          <w:instrText xml:space="preserve"> PAGEREF _Toc108781727 \h </w:instrText>
        </w:r>
        <w:r>
          <w:rPr>
            <w:noProof/>
            <w:webHidden/>
          </w:rPr>
        </w:r>
        <w:r>
          <w:rPr>
            <w:noProof/>
            <w:webHidden/>
          </w:rPr>
          <w:fldChar w:fldCharType="separate"/>
        </w:r>
        <w:r>
          <w:rPr>
            <w:noProof/>
            <w:webHidden/>
          </w:rPr>
          <w:t>67</w:t>
        </w:r>
        <w:r>
          <w:rPr>
            <w:noProof/>
            <w:webHidden/>
          </w:rPr>
          <w:fldChar w:fldCharType="end"/>
        </w:r>
      </w:hyperlink>
    </w:p>
    <w:p w14:paraId="518A36C8" w14:textId="6780504E" w:rsidR="005578A4" w:rsidRDefault="005578A4">
      <w:pPr>
        <w:pStyle w:val="TOC1"/>
        <w:rPr>
          <w:rFonts w:asciiTheme="minorHAnsi" w:eastAsiaTheme="minorEastAsia" w:hAnsiTheme="minorHAnsi"/>
          <w:noProof/>
          <w:lang w:eastAsia="en-GB"/>
        </w:rPr>
      </w:pPr>
      <w:hyperlink w:anchor="_Toc108781728" w:history="1">
        <w:r w:rsidRPr="00FC1BCE">
          <w:rPr>
            <w:rStyle w:val="Hyperlink"/>
            <w:rFonts w:ascii="Times New Roman" w:hAnsi="Times New Roman" w:cs="Times New Roman"/>
            <w:i/>
            <w:iCs/>
            <w:noProof/>
          </w:rPr>
          <w:t>Supplementary Materials 9:</w:t>
        </w:r>
        <w:r w:rsidRPr="00FC1BCE">
          <w:rPr>
            <w:rStyle w:val="Hyperlink"/>
            <w:rFonts w:ascii="Times New Roman" w:hAnsi="Times New Roman" w:cs="Times New Roman"/>
            <w:noProof/>
          </w:rPr>
          <w:t xml:space="preserve"> GRADE-CERQual overall confidence of concepts table</w:t>
        </w:r>
        <w:r>
          <w:rPr>
            <w:noProof/>
            <w:webHidden/>
          </w:rPr>
          <w:tab/>
        </w:r>
        <w:r>
          <w:rPr>
            <w:noProof/>
            <w:webHidden/>
          </w:rPr>
          <w:fldChar w:fldCharType="begin"/>
        </w:r>
        <w:r>
          <w:rPr>
            <w:noProof/>
            <w:webHidden/>
          </w:rPr>
          <w:instrText xml:space="preserve"> PAGEREF _Toc108781728 \h </w:instrText>
        </w:r>
        <w:r>
          <w:rPr>
            <w:noProof/>
            <w:webHidden/>
          </w:rPr>
        </w:r>
        <w:r>
          <w:rPr>
            <w:noProof/>
            <w:webHidden/>
          </w:rPr>
          <w:fldChar w:fldCharType="separate"/>
        </w:r>
        <w:r>
          <w:rPr>
            <w:noProof/>
            <w:webHidden/>
          </w:rPr>
          <w:t>87</w:t>
        </w:r>
        <w:r>
          <w:rPr>
            <w:noProof/>
            <w:webHidden/>
          </w:rPr>
          <w:fldChar w:fldCharType="end"/>
        </w:r>
      </w:hyperlink>
    </w:p>
    <w:p w14:paraId="3E64664E" w14:textId="6BEAEFB0" w:rsidR="005578A4" w:rsidRDefault="005578A4">
      <w:pPr>
        <w:pStyle w:val="TOC1"/>
        <w:rPr>
          <w:rFonts w:asciiTheme="minorHAnsi" w:eastAsiaTheme="minorEastAsia" w:hAnsiTheme="minorHAnsi"/>
          <w:noProof/>
          <w:lang w:eastAsia="en-GB"/>
        </w:rPr>
      </w:pPr>
      <w:hyperlink w:anchor="_Toc108781729" w:history="1">
        <w:r w:rsidRPr="00FC1BCE">
          <w:rPr>
            <w:rStyle w:val="Hyperlink"/>
            <w:rFonts w:ascii="Times New Roman" w:hAnsi="Times New Roman" w:cs="Times New Roman"/>
            <w:i/>
            <w:iCs/>
            <w:noProof/>
          </w:rPr>
          <w:t xml:space="preserve">Supplementary Materials 10: </w:t>
        </w:r>
        <w:r w:rsidRPr="00FC1BCE">
          <w:rPr>
            <w:rStyle w:val="Hyperlink"/>
            <w:rFonts w:ascii="Times New Roman" w:hAnsi="Times New Roman" w:cs="Times New Roman"/>
            <w:noProof/>
          </w:rPr>
          <w:t>Identified barriers and facilitators to perinatal mental health care</w:t>
        </w:r>
        <w:r>
          <w:rPr>
            <w:noProof/>
            <w:webHidden/>
          </w:rPr>
          <w:tab/>
        </w:r>
        <w:r>
          <w:rPr>
            <w:noProof/>
            <w:webHidden/>
          </w:rPr>
          <w:fldChar w:fldCharType="begin"/>
        </w:r>
        <w:r>
          <w:rPr>
            <w:noProof/>
            <w:webHidden/>
          </w:rPr>
          <w:instrText xml:space="preserve"> PAGEREF _Toc108781729 \h </w:instrText>
        </w:r>
        <w:r>
          <w:rPr>
            <w:noProof/>
            <w:webHidden/>
          </w:rPr>
        </w:r>
        <w:r>
          <w:rPr>
            <w:noProof/>
            <w:webHidden/>
          </w:rPr>
          <w:fldChar w:fldCharType="separate"/>
        </w:r>
        <w:r>
          <w:rPr>
            <w:noProof/>
            <w:webHidden/>
          </w:rPr>
          <w:t>102</w:t>
        </w:r>
        <w:r>
          <w:rPr>
            <w:noProof/>
            <w:webHidden/>
          </w:rPr>
          <w:fldChar w:fldCharType="end"/>
        </w:r>
      </w:hyperlink>
    </w:p>
    <w:p w14:paraId="2CB59B66" w14:textId="11EAEB92" w:rsidR="005578A4" w:rsidRDefault="005578A4">
      <w:pPr>
        <w:pStyle w:val="TOC1"/>
        <w:rPr>
          <w:rFonts w:asciiTheme="minorHAnsi" w:eastAsiaTheme="minorEastAsia" w:hAnsiTheme="minorHAnsi"/>
          <w:noProof/>
          <w:lang w:eastAsia="en-GB"/>
        </w:rPr>
      </w:pPr>
      <w:hyperlink w:anchor="_Toc108781730" w:history="1">
        <w:r w:rsidRPr="00FC1BCE">
          <w:rPr>
            <w:rStyle w:val="Hyperlink"/>
            <w:rFonts w:ascii="Times New Roman" w:hAnsi="Times New Roman" w:cs="Times New Roman"/>
            <w:i/>
            <w:iCs/>
            <w:noProof/>
          </w:rPr>
          <w:t xml:space="preserve">Supplementary Materials 11: </w:t>
        </w:r>
        <w:r w:rsidRPr="00FC1BCE">
          <w:rPr>
            <w:rStyle w:val="Hyperlink"/>
            <w:rFonts w:ascii="Times New Roman" w:hAnsi="Times New Roman" w:cs="Times New Roman"/>
            <w:noProof/>
          </w:rPr>
          <w:t>MATRIx barriers conceptual framework</w:t>
        </w:r>
        <w:r>
          <w:rPr>
            <w:noProof/>
            <w:webHidden/>
          </w:rPr>
          <w:tab/>
        </w:r>
        <w:r>
          <w:rPr>
            <w:noProof/>
            <w:webHidden/>
          </w:rPr>
          <w:fldChar w:fldCharType="begin"/>
        </w:r>
        <w:r>
          <w:rPr>
            <w:noProof/>
            <w:webHidden/>
          </w:rPr>
          <w:instrText xml:space="preserve"> PAGEREF _Toc108781730 \h </w:instrText>
        </w:r>
        <w:r>
          <w:rPr>
            <w:noProof/>
            <w:webHidden/>
          </w:rPr>
        </w:r>
        <w:r>
          <w:rPr>
            <w:noProof/>
            <w:webHidden/>
          </w:rPr>
          <w:fldChar w:fldCharType="separate"/>
        </w:r>
        <w:r>
          <w:rPr>
            <w:noProof/>
            <w:webHidden/>
          </w:rPr>
          <w:t>105</w:t>
        </w:r>
        <w:r>
          <w:rPr>
            <w:noProof/>
            <w:webHidden/>
          </w:rPr>
          <w:fldChar w:fldCharType="end"/>
        </w:r>
      </w:hyperlink>
    </w:p>
    <w:p w14:paraId="4E176275" w14:textId="34841E0C" w:rsidR="005578A4" w:rsidRDefault="005578A4">
      <w:pPr>
        <w:pStyle w:val="TOC1"/>
        <w:rPr>
          <w:rFonts w:asciiTheme="minorHAnsi" w:eastAsiaTheme="minorEastAsia" w:hAnsiTheme="minorHAnsi"/>
          <w:noProof/>
          <w:lang w:eastAsia="en-GB"/>
        </w:rPr>
      </w:pPr>
      <w:hyperlink w:anchor="_Toc108781731" w:history="1">
        <w:r w:rsidRPr="00FC1BCE">
          <w:rPr>
            <w:rStyle w:val="Hyperlink"/>
            <w:rFonts w:ascii="Times New Roman" w:hAnsi="Times New Roman" w:cs="Times New Roman"/>
            <w:i/>
            <w:iCs/>
            <w:noProof/>
          </w:rPr>
          <w:t xml:space="preserve">Supplementary Materials 12: </w:t>
        </w:r>
        <w:r w:rsidRPr="00FC1BCE">
          <w:rPr>
            <w:rStyle w:val="Hyperlink"/>
            <w:rFonts w:ascii="Times New Roman" w:hAnsi="Times New Roman" w:cs="Times New Roman"/>
            <w:noProof/>
          </w:rPr>
          <w:t>MATRIx facilitators conceptual framework</w:t>
        </w:r>
        <w:r>
          <w:rPr>
            <w:noProof/>
            <w:webHidden/>
          </w:rPr>
          <w:tab/>
        </w:r>
        <w:r>
          <w:rPr>
            <w:noProof/>
            <w:webHidden/>
          </w:rPr>
          <w:fldChar w:fldCharType="begin"/>
        </w:r>
        <w:r>
          <w:rPr>
            <w:noProof/>
            <w:webHidden/>
          </w:rPr>
          <w:instrText xml:space="preserve"> PAGEREF _Toc108781731 \h </w:instrText>
        </w:r>
        <w:r>
          <w:rPr>
            <w:noProof/>
            <w:webHidden/>
          </w:rPr>
        </w:r>
        <w:r>
          <w:rPr>
            <w:noProof/>
            <w:webHidden/>
          </w:rPr>
          <w:fldChar w:fldCharType="separate"/>
        </w:r>
        <w:r>
          <w:rPr>
            <w:noProof/>
            <w:webHidden/>
          </w:rPr>
          <w:t>106</w:t>
        </w:r>
        <w:r>
          <w:rPr>
            <w:noProof/>
            <w:webHidden/>
          </w:rPr>
          <w:fldChar w:fldCharType="end"/>
        </w:r>
      </w:hyperlink>
    </w:p>
    <w:p w14:paraId="72290A80" w14:textId="337C2486" w:rsidR="005578A4" w:rsidRDefault="005578A4">
      <w:pPr>
        <w:pStyle w:val="TOC1"/>
        <w:rPr>
          <w:rFonts w:asciiTheme="minorHAnsi" w:eastAsiaTheme="minorEastAsia" w:hAnsiTheme="minorHAnsi"/>
          <w:noProof/>
          <w:lang w:eastAsia="en-GB"/>
        </w:rPr>
      </w:pPr>
      <w:hyperlink w:anchor="_Toc108781732" w:history="1">
        <w:r w:rsidRPr="00FC1BCE">
          <w:rPr>
            <w:rStyle w:val="Hyperlink"/>
            <w:rFonts w:ascii="Times New Roman" w:hAnsi="Times New Roman" w:cs="Times New Roman"/>
            <w:i/>
            <w:iCs/>
            <w:noProof/>
          </w:rPr>
          <w:t xml:space="preserve">Supplementary Materials 12: </w:t>
        </w:r>
        <w:r w:rsidRPr="00FC1BCE">
          <w:rPr>
            <w:rStyle w:val="Hyperlink"/>
            <w:rFonts w:ascii="Times New Roman" w:hAnsi="Times New Roman" w:cs="Times New Roman"/>
            <w:noProof/>
          </w:rPr>
          <w:t>MATRIx recommendations for policy and practice</w:t>
        </w:r>
        <w:r>
          <w:rPr>
            <w:noProof/>
            <w:webHidden/>
          </w:rPr>
          <w:tab/>
        </w:r>
        <w:r>
          <w:rPr>
            <w:noProof/>
            <w:webHidden/>
          </w:rPr>
          <w:fldChar w:fldCharType="begin"/>
        </w:r>
        <w:r>
          <w:rPr>
            <w:noProof/>
            <w:webHidden/>
          </w:rPr>
          <w:instrText xml:space="preserve"> PAGEREF _Toc108781732 \h </w:instrText>
        </w:r>
        <w:r>
          <w:rPr>
            <w:noProof/>
            <w:webHidden/>
          </w:rPr>
        </w:r>
        <w:r>
          <w:rPr>
            <w:noProof/>
            <w:webHidden/>
          </w:rPr>
          <w:fldChar w:fldCharType="separate"/>
        </w:r>
        <w:r>
          <w:rPr>
            <w:noProof/>
            <w:webHidden/>
          </w:rPr>
          <w:t>107</w:t>
        </w:r>
        <w:r>
          <w:rPr>
            <w:noProof/>
            <w:webHidden/>
          </w:rPr>
          <w:fldChar w:fldCharType="end"/>
        </w:r>
      </w:hyperlink>
    </w:p>
    <w:p w14:paraId="2B84D533" w14:textId="758A7958" w:rsidR="005578A4" w:rsidRDefault="005578A4">
      <w:pPr>
        <w:pStyle w:val="TOC1"/>
        <w:rPr>
          <w:rFonts w:asciiTheme="minorHAnsi" w:eastAsiaTheme="minorEastAsia" w:hAnsiTheme="minorHAnsi"/>
          <w:noProof/>
          <w:lang w:eastAsia="en-GB"/>
        </w:rPr>
      </w:pPr>
      <w:hyperlink w:anchor="_Toc108781733" w:history="1">
        <w:r w:rsidRPr="00FC1BCE">
          <w:rPr>
            <w:rStyle w:val="Hyperlink"/>
            <w:rFonts w:ascii="Times New Roman" w:hAnsi="Times New Roman" w:cs="Times New Roman"/>
            <w:i/>
            <w:iCs/>
            <w:noProof/>
          </w:rPr>
          <w:t xml:space="preserve">Supplementary Materials 13: </w:t>
        </w:r>
        <w:r w:rsidRPr="00FC1BCE">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_Toc108781733 \h </w:instrText>
        </w:r>
        <w:r>
          <w:rPr>
            <w:noProof/>
            <w:webHidden/>
          </w:rPr>
        </w:r>
        <w:r>
          <w:rPr>
            <w:noProof/>
            <w:webHidden/>
          </w:rPr>
          <w:fldChar w:fldCharType="separate"/>
        </w:r>
        <w:r>
          <w:rPr>
            <w:noProof/>
            <w:webHidden/>
          </w:rPr>
          <w:t>121</w:t>
        </w:r>
        <w:r>
          <w:rPr>
            <w:noProof/>
            <w:webHidden/>
          </w:rPr>
          <w:fldChar w:fldCharType="end"/>
        </w:r>
      </w:hyperlink>
    </w:p>
    <w:p w14:paraId="1AF727E3" w14:textId="21F3D361" w:rsidR="006C0027" w:rsidRPr="00265687" w:rsidRDefault="00FB7ACF" w:rsidP="00BE7DC4">
      <w:pPr>
        <w:spacing w:line="240" w:lineRule="auto"/>
        <w:ind w:firstLine="0"/>
        <w:rPr>
          <w:rFonts w:ascii="Times New Roman" w:hAnsi="Times New Roman" w:cs="Times New Roman"/>
        </w:rPr>
      </w:pPr>
      <w:r>
        <w:rPr>
          <w:rFonts w:ascii="Times New Roman" w:hAnsi="Times New Roman" w:cs="Times New Roman"/>
        </w:rPr>
        <w:fldChar w:fldCharType="end"/>
      </w:r>
    </w:p>
    <w:p w14:paraId="2811FEE1" w14:textId="556BC059" w:rsidR="006C0027" w:rsidRPr="00265687" w:rsidRDefault="006C0027" w:rsidP="00BE7DC4">
      <w:pPr>
        <w:spacing w:line="240" w:lineRule="auto"/>
        <w:ind w:firstLine="0"/>
        <w:rPr>
          <w:rFonts w:ascii="Times New Roman" w:hAnsi="Times New Roman" w:cs="Times New Roman"/>
        </w:rPr>
      </w:pPr>
    </w:p>
    <w:p w14:paraId="21BF0288" w14:textId="37D0D9F9" w:rsidR="006C0027" w:rsidRPr="00265687" w:rsidRDefault="006C0027" w:rsidP="00BE7DC4">
      <w:pPr>
        <w:spacing w:line="240" w:lineRule="auto"/>
        <w:ind w:firstLine="0"/>
        <w:rPr>
          <w:rFonts w:ascii="Times New Roman" w:hAnsi="Times New Roman" w:cs="Times New Roman"/>
        </w:rPr>
      </w:pPr>
    </w:p>
    <w:p w14:paraId="6246F2A2" w14:textId="56D70E23" w:rsidR="006C0027" w:rsidRPr="00265687" w:rsidRDefault="006C0027" w:rsidP="00BE7DC4">
      <w:pPr>
        <w:spacing w:line="240" w:lineRule="auto"/>
        <w:ind w:firstLine="0"/>
        <w:rPr>
          <w:rFonts w:ascii="Times New Roman" w:hAnsi="Times New Roman" w:cs="Times New Roman"/>
        </w:rPr>
      </w:pPr>
    </w:p>
    <w:p w14:paraId="13463407" w14:textId="0746A5D2" w:rsidR="006C0027" w:rsidRPr="00265687" w:rsidRDefault="006C0027" w:rsidP="00BE7DC4">
      <w:pPr>
        <w:spacing w:line="240" w:lineRule="auto"/>
        <w:ind w:firstLine="0"/>
        <w:rPr>
          <w:rFonts w:ascii="Times New Roman" w:hAnsi="Times New Roman" w:cs="Times New Roman"/>
        </w:rPr>
      </w:pPr>
    </w:p>
    <w:p w14:paraId="2F4DF24C" w14:textId="77777777" w:rsidR="009F351D" w:rsidRPr="00265687" w:rsidRDefault="009F351D" w:rsidP="00BE7DC4">
      <w:pPr>
        <w:spacing w:line="240" w:lineRule="auto"/>
        <w:ind w:firstLine="0"/>
        <w:rPr>
          <w:rFonts w:ascii="Times New Roman" w:hAnsi="Times New Roman" w:cs="Times New Roman"/>
        </w:rPr>
        <w:sectPr w:rsidR="009F351D" w:rsidRPr="00265687" w:rsidSect="009F351D">
          <w:pgSz w:w="11906" w:h="16838"/>
          <w:pgMar w:top="1440" w:right="1440" w:bottom="1440" w:left="1440" w:header="708" w:footer="708" w:gutter="0"/>
          <w:cols w:space="708"/>
          <w:docGrid w:linePitch="360"/>
        </w:sectPr>
      </w:pPr>
    </w:p>
    <w:p w14:paraId="2AF00F51" w14:textId="19A8B5B3" w:rsidR="008F1DC0" w:rsidRPr="00D26EE1" w:rsidRDefault="008F1DC0" w:rsidP="00AA1602">
      <w:pPr>
        <w:pStyle w:val="Heading1"/>
        <w:rPr>
          <w:rFonts w:ascii="Times New Roman" w:hAnsi="Times New Roman" w:cs="Times New Roman"/>
          <w:color w:val="auto"/>
          <w:sz w:val="24"/>
          <w:szCs w:val="24"/>
        </w:rPr>
      </w:pPr>
      <w:bookmarkStart w:id="1" w:name="_Toc108781720"/>
      <w:r>
        <w:rPr>
          <w:rFonts w:ascii="Times New Roman" w:hAnsi="Times New Roman" w:cs="Times New Roman"/>
          <w:i/>
          <w:iCs/>
          <w:color w:val="auto"/>
          <w:sz w:val="24"/>
          <w:szCs w:val="24"/>
        </w:rPr>
        <w:lastRenderedPageBreak/>
        <w:t>Supplementary Materials</w:t>
      </w:r>
      <w:r w:rsidR="007A71F9" w:rsidRPr="00265687">
        <w:rPr>
          <w:rFonts w:ascii="Times New Roman" w:hAnsi="Times New Roman" w:cs="Times New Roman"/>
          <w:i/>
          <w:iCs/>
          <w:color w:val="auto"/>
          <w:sz w:val="24"/>
          <w:szCs w:val="24"/>
        </w:rPr>
        <w:t xml:space="preserve"> </w:t>
      </w:r>
      <w:r w:rsidR="0040056C" w:rsidRPr="00265687">
        <w:rPr>
          <w:rFonts w:ascii="Times New Roman" w:hAnsi="Times New Roman" w:cs="Times New Roman"/>
          <w:i/>
          <w:iCs/>
          <w:color w:val="auto"/>
          <w:sz w:val="24"/>
          <w:szCs w:val="24"/>
        </w:rPr>
        <w:t>1</w:t>
      </w:r>
      <w:r w:rsidR="007A71F9" w:rsidRPr="00265687">
        <w:rPr>
          <w:rFonts w:ascii="Times New Roman" w:hAnsi="Times New Roman" w:cs="Times New Roman"/>
          <w:i/>
          <w:iCs/>
          <w:color w:val="auto"/>
          <w:sz w:val="24"/>
          <w:szCs w:val="24"/>
        </w:rPr>
        <w:t>:</w:t>
      </w:r>
      <w:r w:rsidR="00D26EE1">
        <w:rPr>
          <w:rFonts w:ascii="Times New Roman" w:hAnsi="Times New Roman" w:cs="Times New Roman"/>
          <w:i/>
          <w:iCs/>
          <w:color w:val="auto"/>
          <w:sz w:val="24"/>
          <w:szCs w:val="24"/>
        </w:rPr>
        <w:t xml:space="preserve"> </w:t>
      </w:r>
      <w:r w:rsidRPr="00D26EE1">
        <w:rPr>
          <w:rFonts w:ascii="Times New Roman" w:hAnsi="Times New Roman" w:cs="Times New Roman"/>
          <w:color w:val="auto"/>
          <w:sz w:val="24"/>
          <w:szCs w:val="24"/>
        </w:rPr>
        <w:t>The MATRIx Multi-Level Model</w:t>
      </w:r>
      <w:bookmarkEnd w:id="1"/>
    </w:p>
    <w:p w14:paraId="1197BF7D" w14:textId="77777777" w:rsidR="0073172D" w:rsidRDefault="00D26EE1" w:rsidP="008F1DC0">
      <w:pPr>
        <w:ind w:firstLine="0"/>
        <w:rPr>
          <w:lang w:eastAsia="en-US"/>
        </w:rPr>
        <w:sectPr w:rsidR="0073172D" w:rsidSect="00933D62">
          <w:pgSz w:w="16838" w:h="11906" w:orient="landscape"/>
          <w:pgMar w:top="1440" w:right="1440" w:bottom="1440" w:left="1440" w:header="708" w:footer="708" w:gutter="0"/>
          <w:cols w:space="708"/>
          <w:docGrid w:linePitch="360"/>
        </w:sectPr>
      </w:pPr>
      <w:r>
        <w:rPr>
          <w:noProof/>
          <w:lang w:eastAsia="en-US"/>
        </w:rPr>
        <w:drawing>
          <wp:inline distT="0" distB="0" distL="0" distR="0" wp14:anchorId="3DDF05E3" wp14:editId="55402A6F">
            <wp:extent cx="7342634" cy="5168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7896" cy="5172353"/>
                    </a:xfrm>
                    <a:prstGeom prst="rect">
                      <a:avLst/>
                    </a:prstGeom>
                    <a:noFill/>
                  </pic:spPr>
                </pic:pic>
              </a:graphicData>
            </a:graphic>
          </wp:inline>
        </w:drawing>
      </w:r>
    </w:p>
    <w:p w14:paraId="48B5E803" w14:textId="6B37C80E" w:rsidR="008F1DC0" w:rsidRPr="00FB7ACF" w:rsidRDefault="00D26EE1" w:rsidP="00FB7ACF">
      <w:pPr>
        <w:pStyle w:val="Heading1"/>
        <w:rPr>
          <w:rFonts w:ascii="Times New Roman" w:hAnsi="Times New Roman" w:cs="Times New Roman"/>
          <w:color w:val="auto"/>
          <w:sz w:val="24"/>
          <w:szCs w:val="24"/>
        </w:rPr>
      </w:pPr>
      <w:bookmarkStart w:id="2" w:name="_Toc108780689"/>
      <w:bookmarkStart w:id="3" w:name="_Toc108781721"/>
      <w:r w:rsidRPr="00FB7ACF">
        <w:rPr>
          <w:rFonts w:ascii="Times New Roman" w:hAnsi="Times New Roman" w:cs="Times New Roman"/>
          <w:i/>
          <w:iCs/>
          <w:color w:val="auto"/>
          <w:sz w:val="24"/>
          <w:szCs w:val="24"/>
        </w:rPr>
        <w:lastRenderedPageBreak/>
        <w:t xml:space="preserve">Supplementary Materials </w:t>
      </w:r>
      <w:r w:rsidRPr="00FB7ACF">
        <w:rPr>
          <w:rFonts w:ascii="Times New Roman" w:hAnsi="Times New Roman" w:cs="Times New Roman"/>
          <w:i/>
          <w:iCs/>
          <w:color w:val="auto"/>
          <w:sz w:val="24"/>
          <w:szCs w:val="24"/>
        </w:rPr>
        <w:t>2</w:t>
      </w:r>
      <w:r w:rsidRPr="00FB7ACF">
        <w:rPr>
          <w:rFonts w:ascii="Times New Roman" w:hAnsi="Times New Roman" w:cs="Times New Roman"/>
          <w:color w:val="auto"/>
          <w:sz w:val="24"/>
          <w:szCs w:val="24"/>
        </w:rPr>
        <w:t xml:space="preserve">: The MATRIx </w:t>
      </w:r>
      <w:r w:rsidRPr="00FB7ACF">
        <w:rPr>
          <w:rFonts w:ascii="Times New Roman" w:hAnsi="Times New Roman" w:cs="Times New Roman"/>
          <w:color w:val="auto"/>
          <w:sz w:val="24"/>
          <w:szCs w:val="24"/>
        </w:rPr>
        <w:t>Care Pathway</w:t>
      </w:r>
      <w:bookmarkEnd w:id="2"/>
      <w:bookmarkEnd w:id="3"/>
    </w:p>
    <w:p w14:paraId="1121473E" w14:textId="77777777" w:rsidR="00FB7ACF" w:rsidRPr="00FB7ACF" w:rsidRDefault="00FB7ACF" w:rsidP="00FB7ACF">
      <w:pPr>
        <w:rPr>
          <w:lang w:eastAsia="en-GB"/>
        </w:rPr>
      </w:pPr>
    </w:p>
    <w:p w14:paraId="694B700D" w14:textId="77777777" w:rsidR="0073172D" w:rsidRDefault="0073172D" w:rsidP="008F1DC0">
      <w:pPr>
        <w:ind w:firstLine="0"/>
        <w:rPr>
          <w:lang w:eastAsia="en-US"/>
        </w:rPr>
        <w:sectPr w:rsidR="0073172D" w:rsidSect="0073172D">
          <w:pgSz w:w="11906" w:h="16838"/>
          <w:pgMar w:top="1440" w:right="1440" w:bottom="1440" w:left="1440" w:header="708" w:footer="708" w:gutter="0"/>
          <w:cols w:space="708"/>
          <w:docGrid w:linePitch="360"/>
        </w:sectPr>
      </w:pPr>
      <w:r>
        <w:rPr>
          <w:noProof/>
          <w:lang w:eastAsia="en-US"/>
        </w:rPr>
        <w:drawing>
          <wp:inline distT="0" distB="0" distL="0" distR="0" wp14:anchorId="4DE8D65A" wp14:editId="3B6D4060">
            <wp:extent cx="5678114" cy="8144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017" cy="8148615"/>
                    </a:xfrm>
                    <a:prstGeom prst="rect">
                      <a:avLst/>
                    </a:prstGeom>
                    <a:noFill/>
                  </pic:spPr>
                </pic:pic>
              </a:graphicData>
            </a:graphic>
          </wp:inline>
        </w:drawing>
      </w:r>
    </w:p>
    <w:p w14:paraId="404D7C00" w14:textId="6C0831E4" w:rsidR="001D780B" w:rsidRDefault="00112C8C" w:rsidP="00367A93">
      <w:pPr>
        <w:pStyle w:val="Heading1"/>
        <w:rPr>
          <w:rFonts w:ascii="Times New Roman" w:hAnsi="Times New Roman" w:cs="Times New Roman"/>
          <w:color w:val="auto"/>
          <w:sz w:val="24"/>
          <w:szCs w:val="24"/>
        </w:rPr>
      </w:pPr>
      <w:bookmarkStart w:id="4" w:name="_Toc108781722"/>
      <w:r w:rsidRPr="00367A93">
        <w:rPr>
          <w:rFonts w:ascii="Times New Roman" w:hAnsi="Times New Roman" w:cs="Times New Roman"/>
          <w:i/>
          <w:iCs/>
          <w:color w:val="auto"/>
          <w:sz w:val="24"/>
          <w:szCs w:val="24"/>
        </w:rPr>
        <w:lastRenderedPageBreak/>
        <w:t xml:space="preserve">Supplementary Materials </w:t>
      </w:r>
      <w:r w:rsidR="00367A93" w:rsidRPr="00367A93">
        <w:rPr>
          <w:rFonts w:ascii="Times New Roman" w:hAnsi="Times New Roman" w:cs="Times New Roman"/>
          <w:i/>
          <w:iCs/>
          <w:color w:val="auto"/>
          <w:sz w:val="24"/>
          <w:szCs w:val="24"/>
        </w:rPr>
        <w:t>3</w:t>
      </w:r>
      <w:r w:rsidRPr="00367A93">
        <w:rPr>
          <w:rFonts w:ascii="Times New Roman" w:hAnsi="Times New Roman" w:cs="Times New Roman"/>
          <w:color w:val="auto"/>
          <w:sz w:val="24"/>
          <w:szCs w:val="24"/>
        </w:rPr>
        <w:t xml:space="preserve">: </w:t>
      </w:r>
      <w:r w:rsidR="001D780B" w:rsidRPr="00367A93">
        <w:rPr>
          <w:rFonts w:ascii="Times New Roman" w:hAnsi="Times New Roman" w:cs="Times New Roman"/>
          <w:color w:val="auto"/>
          <w:sz w:val="24"/>
          <w:szCs w:val="24"/>
        </w:rPr>
        <w:t>Stakeholder group suggestions for conceptual framework</w:t>
      </w:r>
      <w:r w:rsidR="00F34740" w:rsidRPr="00367A93">
        <w:rPr>
          <w:rFonts w:ascii="Times New Roman" w:hAnsi="Times New Roman" w:cs="Times New Roman"/>
          <w:color w:val="auto"/>
          <w:sz w:val="24"/>
          <w:szCs w:val="24"/>
        </w:rPr>
        <w:t>, practice and research</w:t>
      </w:r>
      <w:bookmarkEnd w:id="4"/>
    </w:p>
    <w:p w14:paraId="3B0264BD" w14:textId="77777777" w:rsidR="00FB7ACF" w:rsidRPr="00FB7ACF" w:rsidRDefault="00FB7ACF" w:rsidP="00FB7ACF">
      <w:pPr>
        <w:rPr>
          <w:lang w:eastAsia="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74"/>
        <w:gridCol w:w="2860"/>
        <w:gridCol w:w="3492"/>
      </w:tblGrid>
      <w:tr w:rsidR="001D780B" w:rsidRPr="00846B41" w14:paraId="51074AB7" w14:textId="77777777" w:rsidTr="00846B41">
        <w:trPr>
          <w:trHeight w:val="266"/>
        </w:trPr>
        <w:tc>
          <w:tcPr>
            <w:tcW w:w="0" w:type="auto"/>
            <w:tcBorders>
              <w:top w:val="single" w:sz="4" w:space="0" w:color="auto"/>
              <w:bottom w:val="single" w:sz="4" w:space="0" w:color="auto"/>
            </w:tcBorders>
          </w:tcPr>
          <w:p w14:paraId="779AE397" w14:textId="77777777" w:rsidR="001D780B" w:rsidRPr="00846B41" w:rsidRDefault="001D780B" w:rsidP="00846B41">
            <w:pPr>
              <w:pStyle w:val="ListBullet"/>
              <w:numPr>
                <w:ilvl w:val="0"/>
                <w:numId w:val="0"/>
              </w:numPr>
              <w:spacing w:line="240" w:lineRule="auto"/>
              <w:ind w:left="720"/>
              <w:rPr>
                <w:rFonts w:ascii="Times New Roman" w:hAnsi="Times New Roman" w:cs="Times New Roman"/>
                <w:b/>
                <w:bCs/>
                <w:sz w:val="22"/>
                <w:szCs w:val="22"/>
              </w:rPr>
            </w:pPr>
            <w:r w:rsidRPr="00846B41">
              <w:rPr>
                <w:rFonts w:ascii="Times New Roman" w:hAnsi="Times New Roman" w:cs="Times New Roman"/>
                <w:b/>
                <w:bCs/>
                <w:sz w:val="22"/>
                <w:szCs w:val="22"/>
              </w:rPr>
              <w:t>Women and families</w:t>
            </w:r>
          </w:p>
        </w:tc>
        <w:tc>
          <w:tcPr>
            <w:tcW w:w="2611" w:type="dxa"/>
            <w:tcBorders>
              <w:top w:val="single" w:sz="4" w:space="0" w:color="auto"/>
              <w:bottom w:val="single" w:sz="4" w:space="0" w:color="auto"/>
            </w:tcBorders>
          </w:tcPr>
          <w:p w14:paraId="0C19FEA9" w14:textId="77777777" w:rsidR="001D780B" w:rsidRPr="00846B41" w:rsidRDefault="001D780B" w:rsidP="00846B41">
            <w:pPr>
              <w:pStyle w:val="ListBullet"/>
              <w:numPr>
                <w:ilvl w:val="0"/>
                <w:numId w:val="0"/>
              </w:numPr>
              <w:spacing w:line="240" w:lineRule="auto"/>
              <w:ind w:left="720"/>
              <w:rPr>
                <w:rFonts w:ascii="Times New Roman" w:hAnsi="Times New Roman" w:cs="Times New Roman"/>
                <w:b/>
                <w:bCs/>
                <w:sz w:val="22"/>
                <w:szCs w:val="22"/>
              </w:rPr>
            </w:pPr>
            <w:r w:rsidRPr="00846B41">
              <w:rPr>
                <w:rFonts w:ascii="Times New Roman" w:hAnsi="Times New Roman" w:cs="Times New Roman"/>
                <w:b/>
                <w:bCs/>
                <w:sz w:val="22"/>
                <w:szCs w:val="22"/>
              </w:rPr>
              <w:t>Health professionals</w:t>
            </w:r>
          </w:p>
        </w:tc>
        <w:tc>
          <w:tcPr>
            <w:tcW w:w="3492" w:type="dxa"/>
            <w:tcBorders>
              <w:top w:val="single" w:sz="4" w:space="0" w:color="auto"/>
              <w:bottom w:val="single" w:sz="4" w:space="0" w:color="auto"/>
            </w:tcBorders>
          </w:tcPr>
          <w:p w14:paraId="5C4B54F6" w14:textId="77777777" w:rsidR="001D780B" w:rsidRPr="00846B41" w:rsidRDefault="001D780B" w:rsidP="00846B41">
            <w:pPr>
              <w:pStyle w:val="ListBullet"/>
              <w:numPr>
                <w:ilvl w:val="0"/>
                <w:numId w:val="0"/>
              </w:numPr>
              <w:spacing w:line="240" w:lineRule="auto"/>
              <w:ind w:left="720"/>
              <w:rPr>
                <w:rFonts w:ascii="Times New Roman" w:hAnsi="Times New Roman" w:cs="Times New Roman"/>
                <w:b/>
                <w:bCs/>
                <w:sz w:val="22"/>
                <w:szCs w:val="22"/>
              </w:rPr>
            </w:pPr>
            <w:r w:rsidRPr="00846B41">
              <w:rPr>
                <w:rFonts w:ascii="Times New Roman" w:hAnsi="Times New Roman" w:cs="Times New Roman"/>
                <w:b/>
                <w:bCs/>
                <w:sz w:val="22"/>
                <w:szCs w:val="22"/>
              </w:rPr>
              <w:t>Policy makers and commissioners</w:t>
            </w:r>
          </w:p>
        </w:tc>
      </w:tr>
      <w:tr w:rsidR="00F34740" w:rsidRPr="00846B41" w14:paraId="7DA51A2B" w14:textId="77777777" w:rsidTr="00E02F46">
        <w:tc>
          <w:tcPr>
            <w:tcW w:w="9026" w:type="dxa"/>
            <w:gridSpan w:val="3"/>
            <w:tcBorders>
              <w:top w:val="single" w:sz="4" w:space="0" w:color="auto"/>
              <w:bottom w:val="single" w:sz="4" w:space="0" w:color="auto"/>
            </w:tcBorders>
          </w:tcPr>
          <w:p w14:paraId="55501E3E" w14:textId="172E08F8" w:rsidR="00F34740" w:rsidRPr="00846B41" w:rsidRDefault="00F34740" w:rsidP="00846B41">
            <w:pPr>
              <w:pStyle w:val="ListBullet"/>
              <w:numPr>
                <w:ilvl w:val="0"/>
                <w:numId w:val="0"/>
              </w:numPr>
              <w:spacing w:line="240" w:lineRule="auto"/>
              <w:ind w:left="1080" w:hanging="360"/>
              <w:jc w:val="center"/>
              <w:rPr>
                <w:rFonts w:ascii="Times New Roman" w:hAnsi="Times New Roman" w:cs="Times New Roman"/>
                <w:b/>
                <w:bCs/>
                <w:sz w:val="22"/>
                <w:szCs w:val="22"/>
              </w:rPr>
            </w:pPr>
            <w:r w:rsidRPr="00846B41">
              <w:rPr>
                <w:rFonts w:ascii="Times New Roman" w:hAnsi="Times New Roman" w:cs="Times New Roman"/>
                <w:b/>
                <w:bCs/>
                <w:sz w:val="22"/>
                <w:szCs w:val="22"/>
              </w:rPr>
              <w:t>Conceptual framework</w:t>
            </w:r>
          </w:p>
        </w:tc>
      </w:tr>
      <w:tr w:rsidR="001D780B" w:rsidRPr="00846B41" w14:paraId="24410A52" w14:textId="77777777" w:rsidTr="006A54BC">
        <w:tc>
          <w:tcPr>
            <w:tcW w:w="0" w:type="auto"/>
            <w:tcBorders>
              <w:top w:val="single" w:sz="4" w:space="0" w:color="auto"/>
              <w:bottom w:val="single" w:sz="4" w:space="0" w:color="auto"/>
            </w:tcBorders>
          </w:tcPr>
          <w:p w14:paraId="1FCA3728"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Use inclusive, parent focused language e.g., parents-to-be</w:t>
            </w:r>
          </w:p>
          <w:p w14:paraId="2BB2C9DB"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Avoid the use of “illness” or “problem”</w:t>
            </w:r>
          </w:p>
          <w:p w14:paraId="04F6A59D"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Make infant-centred, whole-family approach rather than woman-centred,. Means all co-parents will be involved.</w:t>
            </w:r>
          </w:p>
          <w:p w14:paraId="053C1D5A"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Think about how to highlight peer support, not just the clinical pathway.</w:t>
            </w:r>
          </w:p>
          <w:p w14:paraId="6E3ECAB4"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Be more specific about funding</w:t>
            </w:r>
          </w:p>
          <w:p w14:paraId="03FA36D7" w14:textId="4CDC68F6"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Visualisations to be inclusive (e.g. same sex couples, mothers with disabilities).</w:t>
            </w:r>
          </w:p>
        </w:tc>
        <w:tc>
          <w:tcPr>
            <w:tcW w:w="2611" w:type="dxa"/>
            <w:tcBorders>
              <w:top w:val="single" w:sz="4" w:space="0" w:color="auto"/>
              <w:bottom w:val="single" w:sz="4" w:space="0" w:color="auto"/>
            </w:tcBorders>
          </w:tcPr>
          <w:p w14:paraId="311688FC"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Consider the gap in services between adjustment difficulties and severe PMH difficulties</w:t>
            </w:r>
          </w:p>
          <w:p w14:paraId="4891EBD6"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Barriers also include variation between different areas</w:t>
            </w:r>
          </w:p>
          <w:p w14:paraId="211144BD" w14:textId="77777777" w:rsidR="001D780B" w:rsidRPr="00846B41" w:rsidRDefault="001D780B" w:rsidP="00846B41">
            <w:pPr>
              <w:pStyle w:val="ListBullet"/>
              <w:spacing w:line="240" w:lineRule="auto"/>
              <w:rPr>
                <w:rFonts w:ascii="Times New Roman" w:hAnsi="Times New Roman" w:cs="Times New Roman"/>
                <w:sz w:val="22"/>
                <w:szCs w:val="22"/>
              </w:rPr>
            </w:pPr>
          </w:p>
        </w:tc>
        <w:tc>
          <w:tcPr>
            <w:tcW w:w="3492" w:type="dxa"/>
            <w:tcBorders>
              <w:top w:val="single" w:sz="4" w:space="0" w:color="auto"/>
              <w:bottom w:val="single" w:sz="4" w:space="0" w:color="auto"/>
            </w:tcBorders>
          </w:tcPr>
          <w:p w14:paraId="2E86D1E4"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Societal level – PMH difficulties are not just depression. Need to change the narrative</w:t>
            </w:r>
          </w:p>
          <w:p w14:paraId="052ED965"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Consider the audience –  UK vs international vs England only</w:t>
            </w:r>
          </w:p>
          <w:p w14:paraId="7156A8B1"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Consider crisis and liaison services, maternal MH hubs, home based treatment teams, out of hours, paediatrics</w:t>
            </w:r>
          </w:p>
          <w:p w14:paraId="24928690" w14:textId="77777777" w:rsidR="001D780B" w:rsidRPr="00846B41" w:rsidRDefault="001D780B"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Add barriers related to fragmentation of funding pots</w:t>
            </w:r>
          </w:p>
        </w:tc>
      </w:tr>
      <w:tr w:rsidR="00F34740" w:rsidRPr="00846B41" w14:paraId="7E855615" w14:textId="77777777" w:rsidTr="00BE0EA4">
        <w:tc>
          <w:tcPr>
            <w:tcW w:w="9026" w:type="dxa"/>
            <w:gridSpan w:val="3"/>
            <w:tcBorders>
              <w:top w:val="single" w:sz="4" w:space="0" w:color="auto"/>
              <w:bottom w:val="single" w:sz="4" w:space="0" w:color="auto"/>
            </w:tcBorders>
          </w:tcPr>
          <w:p w14:paraId="1B00889B" w14:textId="3F69730A" w:rsidR="00F34740" w:rsidRPr="00846B41" w:rsidRDefault="00F34740" w:rsidP="00846B41">
            <w:pPr>
              <w:pStyle w:val="ListBullet"/>
              <w:numPr>
                <w:ilvl w:val="0"/>
                <w:numId w:val="0"/>
              </w:numPr>
              <w:spacing w:line="240" w:lineRule="auto"/>
              <w:ind w:left="1080" w:hanging="360"/>
              <w:jc w:val="center"/>
              <w:rPr>
                <w:rFonts w:ascii="Times New Roman" w:hAnsi="Times New Roman" w:cs="Times New Roman"/>
                <w:b/>
                <w:bCs/>
                <w:sz w:val="22"/>
                <w:szCs w:val="22"/>
              </w:rPr>
            </w:pPr>
            <w:r w:rsidRPr="00846B41">
              <w:rPr>
                <w:rFonts w:ascii="Times New Roman" w:hAnsi="Times New Roman" w:cs="Times New Roman"/>
                <w:b/>
                <w:bCs/>
                <w:sz w:val="22"/>
                <w:szCs w:val="22"/>
              </w:rPr>
              <w:t>Practice</w:t>
            </w:r>
          </w:p>
        </w:tc>
      </w:tr>
      <w:tr w:rsidR="00F34740" w:rsidRPr="00846B41" w14:paraId="6B3F527B" w14:textId="77777777" w:rsidTr="006A54BC">
        <w:tc>
          <w:tcPr>
            <w:tcW w:w="0" w:type="auto"/>
            <w:tcBorders>
              <w:top w:val="single" w:sz="4" w:space="0" w:color="auto"/>
              <w:bottom w:val="single" w:sz="4" w:space="0" w:color="auto"/>
            </w:tcBorders>
          </w:tcPr>
          <w:p w14:paraId="386A5FBA" w14:textId="77777777" w:rsidR="00F34740" w:rsidRPr="00846B41" w:rsidRDefault="00F34740" w:rsidP="00846B41">
            <w:pPr>
              <w:pStyle w:val="ListBullet"/>
              <w:numPr>
                <w:ilvl w:val="0"/>
                <w:numId w:val="0"/>
              </w:numPr>
              <w:spacing w:line="240" w:lineRule="auto"/>
              <w:ind w:left="1080" w:hanging="360"/>
              <w:rPr>
                <w:rFonts w:ascii="Times New Roman" w:hAnsi="Times New Roman" w:cs="Times New Roman"/>
                <w:sz w:val="22"/>
                <w:szCs w:val="22"/>
              </w:rPr>
            </w:pPr>
            <w:r w:rsidRPr="00846B41">
              <w:rPr>
                <w:rFonts w:ascii="Times New Roman" w:hAnsi="Times New Roman" w:cs="Times New Roman"/>
                <w:sz w:val="22"/>
                <w:szCs w:val="22"/>
              </w:rPr>
              <w:t>Training</w:t>
            </w:r>
          </w:p>
          <w:p w14:paraId="63E7361D"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Training for all people who come into contact with women and families (consultants, receptionists)</w:t>
            </w:r>
          </w:p>
          <w:p w14:paraId="3813E4AE"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Uptake for training more likely if face to face</w:t>
            </w:r>
          </w:p>
          <w:p w14:paraId="6E38C17F"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lastRenderedPageBreak/>
              <w:t>Training to include:</w:t>
            </w:r>
          </w:p>
          <w:p w14:paraId="1264209F"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Language used (diagnostic labels not always helpful, every person is different)</w:t>
            </w:r>
          </w:p>
          <w:p w14:paraId="2644346D"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Health inequalities</w:t>
            </w:r>
          </w:p>
          <w:p w14:paraId="219C0A13"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PMH is not just postnatal depression and does not always mean poor bonding</w:t>
            </w:r>
          </w:p>
          <w:p w14:paraId="7A3B3186"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Different family structures</w:t>
            </w:r>
          </w:p>
          <w:p w14:paraId="46ED017E" w14:textId="4BE7CB7A"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Lived experience stories (but protect those telling the stories)</w:t>
            </w:r>
          </w:p>
        </w:tc>
        <w:tc>
          <w:tcPr>
            <w:tcW w:w="2611" w:type="dxa"/>
            <w:tcBorders>
              <w:top w:val="single" w:sz="4" w:space="0" w:color="auto"/>
              <w:bottom w:val="single" w:sz="4" w:space="0" w:color="auto"/>
            </w:tcBorders>
          </w:tcPr>
          <w:p w14:paraId="1675F372" w14:textId="77777777" w:rsidR="00F34740" w:rsidRPr="00846B41" w:rsidRDefault="00F34740" w:rsidP="00846B41">
            <w:pPr>
              <w:pStyle w:val="ListBullet"/>
              <w:numPr>
                <w:ilvl w:val="0"/>
                <w:numId w:val="0"/>
              </w:numPr>
              <w:spacing w:line="240" w:lineRule="auto"/>
              <w:ind w:left="720"/>
              <w:rPr>
                <w:rFonts w:ascii="Times New Roman" w:hAnsi="Times New Roman" w:cs="Times New Roman"/>
                <w:sz w:val="22"/>
                <w:szCs w:val="22"/>
              </w:rPr>
            </w:pPr>
            <w:r w:rsidRPr="00846B41">
              <w:rPr>
                <w:rFonts w:ascii="Times New Roman" w:hAnsi="Times New Roman" w:cs="Times New Roman"/>
                <w:sz w:val="22"/>
                <w:szCs w:val="22"/>
              </w:rPr>
              <w:lastRenderedPageBreak/>
              <w:t>Training</w:t>
            </w:r>
          </w:p>
          <w:p w14:paraId="46091403"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Ring fenced times/time protected</w:t>
            </w:r>
          </w:p>
          <w:p w14:paraId="65518863"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Accreditation, matched to competencies</w:t>
            </w:r>
          </w:p>
          <w:p w14:paraId="03EA1AE1"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Mandatory PMH training for all, pitched at appropriate level</w:t>
            </w:r>
          </w:p>
          <w:p w14:paraId="4715E635"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lastRenderedPageBreak/>
              <w:t>Dedicated person or network to deliver training</w:t>
            </w:r>
          </w:p>
          <w:p w14:paraId="2E2D4922"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Training should cover</w:t>
            </w:r>
          </w:p>
          <w:p w14:paraId="1A5B7AF1"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How to talk about PMH, what questions to ask.</w:t>
            </w:r>
          </w:p>
          <w:p w14:paraId="42881E02"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Know where to refer to, how to fill out referral forms</w:t>
            </w:r>
          </w:p>
          <w:p w14:paraId="7AF3FDE0"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Diversity of families (e.g. race, culture, family structure)</w:t>
            </w:r>
          </w:p>
          <w:p w14:paraId="7D5F81B1"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Treatment, including medication</w:t>
            </w:r>
          </w:p>
          <w:p w14:paraId="0D5F0F7A" w14:textId="53FF654D"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Vulnerable groups</w:t>
            </w:r>
          </w:p>
        </w:tc>
        <w:tc>
          <w:tcPr>
            <w:tcW w:w="3492" w:type="dxa"/>
            <w:tcBorders>
              <w:top w:val="single" w:sz="4" w:space="0" w:color="auto"/>
              <w:bottom w:val="single" w:sz="4" w:space="0" w:color="auto"/>
            </w:tcBorders>
          </w:tcPr>
          <w:p w14:paraId="07DE1A83" w14:textId="77777777" w:rsidR="00F34740" w:rsidRPr="00846B41" w:rsidRDefault="00F34740" w:rsidP="00846B41">
            <w:pPr>
              <w:pStyle w:val="ListBullet"/>
              <w:numPr>
                <w:ilvl w:val="0"/>
                <w:numId w:val="0"/>
              </w:numPr>
              <w:spacing w:line="240" w:lineRule="auto"/>
              <w:ind w:left="720"/>
              <w:rPr>
                <w:rFonts w:ascii="Times New Roman" w:hAnsi="Times New Roman" w:cs="Times New Roman"/>
                <w:sz w:val="22"/>
                <w:szCs w:val="22"/>
              </w:rPr>
            </w:pPr>
            <w:r w:rsidRPr="00846B41">
              <w:rPr>
                <w:rFonts w:ascii="Times New Roman" w:hAnsi="Times New Roman" w:cs="Times New Roman"/>
                <w:sz w:val="22"/>
                <w:szCs w:val="22"/>
              </w:rPr>
              <w:lastRenderedPageBreak/>
              <w:t>Training</w:t>
            </w:r>
          </w:p>
          <w:p w14:paraId="6EABB767"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 xml:space="preserve">Time protected, funding backfills for time to attend and deliver training </w:t>
            </w:r>
          </w:p>
          <w:p w14:paraId="4CA7E3E0"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Not e-learning – delivered face to face</w:t>
            </w:r>
          </w:p>
          <w:p w14:paraId="5FDDF325"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Co-produced with families with lived experience</w:t>
            </w:r>
          </w:p>
          <w:p w14:paraId="12E1607D" w14:textId="60C5CC6C"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Practical</w:t>
            </w:r>
          </w:p>
        </w:tc>
      </w:tr>
      <w:tr w:rsidR="00F34740" w:rsidRPr="00846B41" w14:paraId="42E29F87" w14:textId="77777777" w:rsidTr="006A54BC">
        <w:tc>
          <w:tcPr>
            <w:tcW w:w="0" w:type="auto"/>
            <w:tcBorders>
              <w:top w:val="single" w:sz="4" w:space="0" w:color="auto"/>
              <w:bottom w:val="single" w:sz="4" w:space="0" w:color="auto"/>
            </w:tcBorders>
          </w:tcPr>
          <w:p w14:paraId="0B0ECC59"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Service provision</w:t>
            </w:r>
          </w:p>
          <w:p w14:paraId="51C21EB0"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Whole family approach</w:t>
            </w:r>
          </w:p>
          <w:p w14:paraId="1F203429"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Continuity of carer throughout entire perinatal period</w:t>
            </w:r>
          </w:p>
          <w:p w14:paraId="317DC3CA"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Face to face information provision as well as leaflets</w:t>
            </w:r>
          </w:p>
          <w:p w14:paraId="40CCED61"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Make every contact count throughout entire care pathway.</w:t>
            </w:r>
          </w:p>
          <w:p w14:paraId="10BB89A4"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 xml:space="preserve">Joined up working and integrated services, do not leave out parents whose infants are in the neonatal intensive care unit, and those </w:t>
            </w:r>
            <w:r w:rsidRPr="00846B41">
              <w:rPr>
                <w:rFonts w:ascii="Times New Roman" w:hAnsi="Times New Roman" w:cs="Times New Roman"/>
                <w:sz w:val="22"/>
                <w:szCs w:val="22"/>
              </w:rPr>
              <w:lastRenderedPageBreak/>
              <w:t>experiencing perinatal loss</w:t>
            </w:r>
          </w:p>
          <w:p w14:paraId="059C2589"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Transparency of pathways to users</w:t>
            </w:r>
          </w:p>
          <w:p w14:paraId="328FD6DB" w14:textId="77777777" w:rsidR="00F34740" w:rsidRPr="00846B41" w:rsidRDefault="00F34740" w:rsidP="00846B41">
            <w:pPr>
              <w:pStyle w:val="ListBullet"/>
              <w:spacing w:line="240" w:lineRule="auto"/>
              <w:rPr>
                <w:rFonts w:ascii="Times New Roman" w:hAnsi="Times New Roman" w:cs="Times New Roman"/>
                <w:sz w:val="22"/>
                <w:szCs w:val="22"/>
              </w:rPr>
            </w:pPr>
          </w:p>
        </w:tc>
        <w:tc>
          <w:tcPr>
            <w:tcW w:w="2611" w:type="dxa"/>
            <w:tcBorders>
              <w:top w:val="single" w:sz="4" w:space="0" w:color="auto"/>
              <w:bottom w:val="single" w:sz="4" w:space="0" w:color="auto"/>
            </w:tcBorders>
          </w:tcPr>
          <w:p w14:paraId="52589AC9"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lastRenderedPageBreak/>
              <w:t>Service structure</w:t>
            </w:r>
          </w:p>
          <w:p w14:paraId="2C36FCB1"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Continuity of carer</w:t>
            </w:r>
          </w:p>
          <w:p w14:paraId="5488ECD0"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Make every contact count</w:t>
            </w:r>
          </w:p>
          <w:p w14:paraId="23F1D197"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Trauma informed</w:t>
            </w:r>
          </w:p>
          <w:p w14:paraId="0F024229"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More time needed at appointments</w:t>
            </w:r>
          </w:p>
          <w:p w14:paraId="64B0CA20"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Engaging with diverse families</w:t>
            </w:r>
          </w:p>
          <w:p w14:paraId="6D472668"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Pictorial assessment, translation tools. Availability of translators</w:t>
            </w:r>
          </w:p>
          <w:p w14:paraId="53325265" w14:textId="77777777" w:rsidR="00F34740" w:rsidRPr="00846B41" w:rsidRDefault="00F34740" w:rsidP="00846B41">
            <w:pPr>
              <w:pStyle w:val="ListBullet"/>
              <w:spacing w:line="240" w:lineRule="auto"/>
              <w:rPr>
                <w:rFonts w:ascii="Times New Roman" w:hAnsi="Times New Roman" w:cs="Times New Roman"/>
                <w:sz w:val="22"/>
                <w:szCs w:val="22"/>
              </w:rPr>
            </w:pPr>
          </w:p>
        </w:tc>
        <w:tc>
          <w:tcPr>
            <w:tcW w:w="3492" w:type="dxa"/>
            <w:tcBorders>
              <w:top w:val="single" w:sz="4" w:space="0" w:color="auto"/>
              <w:bottom w:val="single" w:sz="4" w:space="0" w:color="auto"/>
            </w:tcBorders>
          </w:tcPr>
          <w:p w14:paraId="5D995C7D"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Service structure</w:t>
            </w:r>
          </w:p>
          <w:p w14:paraId="5F7E193A"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Integration of adult/acute mental health services</w:t>
            </w:r>
          </w:p>
          <w:p w14:paraId="039A9C8B"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Champions who are really invested</w:t>
            </w:r>
          </w:p>
          <w:p w14:paraId="4C8FC76E" w14:textId="77777777" w:rsidR="00F34740" w:rsidRPr="00846B41" w:rsidRDefault="00F34740" w:rsidP="00846B41">
            <w:pPr>
              <w:pStyle w:val="ListBullet"/>
              <w:spacing w:line="240" w:lineRule="auto"/>
              <w:rPr>
                <w:rFonts w:ascii="Times New Roman" w:hAnsi="Times New Roman" w:cs="Times New Roman"/>
                <w:sz w:val="22"/>
                <w:szCs w:val="22"/>
              </w:rPr>
            </w:pPr>
          </w:p>
        </w:tc>
      </w:tr>
      <w:tr w:rsidR="00F34740" w:rsidRPr="00846B41" w14:paraId="70B6CCFA" w14:textId="77777777" w:rsidTr="006A54BC">
        <w:tc>
          <w:tcPr>
            <w:tcW w:w="0" w:type="auto"/>
            <w:tcBorders>
              <w:top w:val="single" w:sz="4" w:space="0" w:color="auto"/>
              <w:bottom w:val="single" w:sz="4" w:space="0" w:color="auto"/>
            </w:tcBorders>
          </w:tcPr>
          <w:p w14:paraId="6741BF50" w14:textId="77777777" w:rsidR="00F34740" w:rsidRPr="00846B41" w:rsidRDefault="00F34740" w:rsidP="00846B41">
            <w:pPr>
              <w:pStyle w:val="ListBullet"/>
              <w:spacing w:line="240" w:lineRule="auto"/>
              <w:jc w:val="center"/>
              <w:rPr>
                <w:rFonts w:ascii="Times New Roman" w:hAnsi="Times New Roman" w:cs="Times New Roman"/>
                <w:b/>
                <w:bCs/>
                <w:sz w:val="22"/>
                <w:szCs w:val="22"/>
              </w:rPr>
            </w:pPr>
          </w:p>
        </w:tc>
        <w:tc>
          <w:tcPr>
            <w:tcW w:w="2611" w:type="dxa"/>
            <w:tcBorders>
              <w:top w:val="single" w:sz="4" w:space="0" w:color="auto"/>
              <w:bottom w:val="single" w:sz="4" w:space="0" w:color="auto"/>
            </w:tcBorders>
          </w:tcPr>
          <w:p w14:paraId="2FE2890F" w14:textId="69AAE5CA" w:rsidR="00F34740" w:rsidRPr="00846B41" w:rsidRDefault="00846B41" w:rsidP="00846B41">
            <w:pPr>
              <w:pStyle w:val="ListBullet"/>
              <w:numPr>
                <w:ilvl w:val="0"/>
                <w:numId w:val="0"/>
              </w:numPr>
              <w:spacing w:line="240" w:lineRule="auto"/>
              <w:ind w:left="1080"/>
              <w:rPr>
                <w:rFonts w:ascii="Times New Roman" w:hAnsi="Times New Roman" w:cs="Times New Roman"/>
                <w:sz w:val="22"/>
                <w:szCs w:val="22"/>
              </w:rPr>
            </w:pPr>
            <w:r>
              <w:rPr>
                <w:rFonts w:ascii="Times New Roman" w:hAnsi="Times New Roman" w:cs="Times New Roman"/>
                <w:sz w:val="22"/>
                <w:szCs w:val="22"/>
              </w:rPr>
              <w:t>S</w:t>
            </w:r>
            <w:r w:rsidR="00F34740" w:rsidRPr="00846B41">
              <w:rPr>
                <w:rFonts w:ascii="Times New Roman" w:hAnsi="Times New Roman" w:cs="Times New Roman"/>
                <w:sz w:val="22"/>
                <w:szCs w:val="22"/>
              </w:rPr>
              <w:t>takeholder specific recommendations - Silos</w:t>
            </w:r>
          </w:p>
          <w:p w14:paraId="20B0D034"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 xml:space="preserve">Communication within and between teams </w:t>
            </w:r>
          </w:p>
          <w:p w14:paraId="3A3026DE"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Regular team meetings with HPs from different disciplines</w:t>
            </w:r>
          </w:p>
          <w:p w14:paraId="644FF387"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Using a “contact us anytime” approach</w:t>
            </w:r>
          </w:p>
          <w:p w14:paraId="6A3E7CEC"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Culture of team working, joint working, sharing knowledge, approachable.</w:t>
            </w:r>
          </w:p>
          <w:p w14:paraId="7A4B65BD"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 xml:space="preserve">Developing relationships across disciplines. </w:t>
            </w:r>
          </w:p>
          <w:p w14:paraId="398AF51A"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Co-location</w:t>
            </w:r>
          </w:p>
          <w:p w14:paraId="22E9C096" w14:textId="77777777" w:rsidR="00F34740" w:rsidRPr="00846B41" w:rsidRDefault="00F34740" w:rsidP="00846B41">
            <w:pPr>
              <w:pStyle w:val="ListBullet"/>
              <w:spacing w:line="240" w:lineRule="auto"/>
              <w:rPr>
                <w:rFonts w:ascii="Times New Roman" w:hAnsi="Times New Roman" w:cs="Times New Roman"/>
                <w:sz w:val="22"/>
                <w:szCs w:val="22"/>
              </w:rPr>
            </w:pPr>
          </w:p>
          <w:p w14:paraId="7C8E01AC"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Stakeholder specific recommendations – IT</w:t>
            </w:r>
          </w:p>
          <w:p w14:paraId="6EE312C0"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All use same system, or communication across systems</w:t>
            </w:r>
          </w:p>
          <w:p w14:paraId="185345EA"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Liaison person who has access to all systems</w:t>
            </w:r>
          </w:p>
          <w:p w14:paraId="2378E9FA" w14:textId="7586303F"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Referral systems that allow for one referral form that HPs can complete and that is sent to one place where it can then be triaged.</w:t>
            </w:r>
          </w:p>
          <w:p w14:paraId="605558EC" w14:textId="77777777" w:rsidR="00F34740" w:rsidRPr="00846B41" w:rsidRDefault="00F34740" w:rsidP="00846B41">
            <w:pPr>
              <w:pStyle w:val="ListBullet"/>
              <w:numPr>
                <w:ilvl w:val="0"/>
                <w:numId w:val="0"/>
              </w:numPr>
              <w:spacing w:line="240" w:lineRule="auto"/>
              <w:rPr>
                <w:rFonts w:ascii="Times New Roman" w:hAnsi="Times New Roman" w:cs="Times New Roman"/>
                <w:sz w:val="22"/>
                <w:szCs w:val="22"/>
              </w:rPr>
            </w:pPr>
          </w:p>
        </w:tc>
        <w:tc>
          <w:tcPr>
            <w:tcW w:w="3492" w:type="dxa"/>
            <w:tcBorders>
              <w:top w:val="single" w:sz="4" w:space="0" w:color="auto"/>
              <w:bottom w:val="single" w:sz="4" w:space="0" w:color="auto"/>
            </w:tcBorders>
          </w:tcPr>
          <w:p w14:paraId="70B4DA15"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Stakeholder specific recommendations - Commissioning</w:t>
            </w:r>
          </w:p>
          <w:p w14:paraId="651F55A8"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Increasing commissioners understanding and views of PMH, sustainability at a commissioning level</w:t>
            </w:r>
          </w:p>
          <w:p w14:paraId="7E25FBF3"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Funding - to be pulled from all areas, not just ringfenced as it is everyone’s business. Fragmentation of funding pots needs to be reduced</w:t>
            </w:r>
          </w:p>
          <w:p w14:paraId="45412F0D" w14:textId="123F850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Space – physical building space, especially to enable integration across teams</w:t>
            </w:r>
          </w:p>
        </w:tc>
      </w:tr>
      <w:tr w:rsidR="00F34740" w:rsidRPr="00846B41" w14:paraId="2ADD88D2" w14:textId="77777777" w:rsidTr="00956E5C">
        <w:tc>
          <w:tcPr>
            <w:tcW w:w="9026" w:type="dxa"/>
            <w:gridSpan w:val="3"/>
            <w:tcBorders>
              <w:top w:val="single" w:sz="4" w:space="0" w:color="auto"/>
              <w:bottom w:val="single" w:sz="4" w:space="0" w:color="auto"/>
            </w:tcBorders>
          </w:tcPr>
          <w:p w14:paraId="4B58DB2F" w14:textId="176A463A" w:rsidR="00F34740" w:rsidRPr="00846B41" w:rsidRDefault="00F34740" w:rsidP="00846B41">
            <w:pPr>
              <w:pStyle w:val="ListBullet"/>
              <w:numPr>
                <w:ilvl w:val="0"/>
                <w:numId w:val="0"/>
              </w:numPr>
              <w:spacing w:line="240" w:lineRule="auto"/>
              <w:jc w:val="center"/>
              <w:rPr>
                <w:rFonts w:ascii="Times New Roman" w:hAnsi="Times New Roman" w:cs="Times New Roman"/>
                <w:b/>
                <w:bCs/>
                <w:sz w:val="22"/>
                <w:szCs w:val="22"/>
              </w:rPr>
            </w:pPr>
            <w:r w:rsidRPr="00846B41">
              <w:rPr>
                <w:rFonts w:ascii="Times New Roman" w:hAnsi="Times New Roman" w:cs="Times New Roman"/>
                <w:b/>
                <w:bCs/>
                <w:sz w:val="22"/>
                <w:szCs w:val="22"/>
              </w:rPr>
              <w:t>Research</w:t>
            </w:r>
          </w:p>
        </w:tc>
      </w:tr>
      <w:tr w:rsidR="00F34740" w:rsidRPr="00846B41" w14:paraId="46098BE4" w14:textId="77777777" w:rsidTr="006A54BC">
        <w:tc>
          <w:tcPr>
            <w:tcW w:w="0" w:type="auto"/>
            <w:tcBorders>
              <w:top w:val="single" w:sz="4" w:space="0" w:color="auto"/>
              <w:bottom w:val="single" w:sz="4" w:space="0" w:color="auto"/>
            </w:tcBorders>
          </w:tcPr>
          <w:p w14:paraId="06F40DDD" w14:textId="343225D2"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lastRenderedPageBreak/>
              <w:t xml:space="preserve">Research with people with lived experiences about the impact of sharing stories </w:t>
            </w:r>
          </w:p>
        </w:tc>
        <w:tc>
          <w:tcPr>
            <w:tcW w:w="2611" w:type="dxa"/>
            <w:tcBorders>
              <w:top w:val="single" w:sz="4" w:space="0" w:color="auto"/>
              <w:bottom w:val="single" w:sz="4" w:space="0" w:color="auto"/>
            </w:tcBorders>
          </w:tcPr>
          <w:p w14:paraId="5BC4951A" w14:textId="77777777" w:rsidR="00F34740" w:rsidRPr="00846B41" w:rsidRDefault="00F34740" w:rsidP="00846B41">
            <w:pPr>
              <w:pStyle w:val="ListBullet"/>
              <w:spacing w:line="240" w:lineRule="auto"/>
              <w:rPr>
                <w:rFonts w:ascii="Times New Roman" w:hAnsi="Times New Roman" w:cs="Times New Roman"/>
                <w:sz w:val="22"/>
                <w:szCs w:val="22"/>
              </w:rPr>
            </w:pPr>
          </w:p>
        </w:tc>
        <w:tc>
          <w:tcPr>
            <w:tcW w:w="3492" w:type="dxa"/>
            <w:tcBorders>
              <w:top w:val="single" w:sz="4" w:space="0" w:color="auto"/>
              <w:bottom w:val="single" w:sz="4" w:space="0" w:color="auto"/>
            </w:tcBorders>
          </w:tcPr>
          <w:p w14:paraId="27447A7A"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Harder to reach women, more detailed look at their barriers at decision to consult level.</w:t>
            </w:r>
          </w:p>
          <w:p w14:paraId="091B5DB0" w14:textId="77777777" w:rsidR="00F34740" w:rsidRPr="00846B41" w:rsidRDefault="00F34740" w:rsidP="00846B41">
            <w:pPr>
              <w:pStyle w:val="ListBullet"/>
              <w:spacing w:line="240" w:lineRule="auto"/>
              <w:rPr>
                <w:rFonts w:ascii="Times New Roman" w:hAnsi="Times New Roman" w:cs="Times New Roman"/>
                <w:sz w:val="22"/>
                <w:szCs w:val="22"/>
              </w:rPr>
            </w:pPr>
            <w:r w:rsidRPr="00846B41">
              <w:rPr>
                <w:rFonts w:ascii="Times New Roman" w:hAnsi="Times New Roman" w:cs="Times New Roman"/>
                <w:sz w:val="22"/>
                <w:szCs w:val="22"/>
              </w:rPr>
              <w:t>A framework for barriers and facilitators to implementing PMH for workforce alone e.g. why is training a barrier and how to overcome it?</w:t>
            </w:r>
          </w:p>
          <w:p w14:paraId="1F98DAAB" w14:textId="77777777" w:rsidR="00F34740" w:rsidRPr="00846B41" w:rsidRDefault="00F34740" w:rsidP="00846B41">
            <w:pPr>
              <w:pStyle w:val="ListBullet"/>
              <w:spacing w:line="240" w:lineRule="auto"/>
              <w:rPr>
                <w:rFonts w:ascii="Times New Roman" w:hAnsi="Times New Roman" w:cs="Times New Roman"/>
                <w:sz w:val="22"/>
                <w:szCs w:val="22"/>
              </w:rPr>
            </w:pPr>
          </w:p>
        </w:tc>
      </w:tr>
    </w:tbl>
    <w:p w14:paraId="7004E1D4" w14:textId="77777777" w:rsidR="0022744A" w:rsidRDefault="0022744A" w:rsidP="008F1DC0">
      <w:pPr>
        <w:ind w:firstLine="0"/>
        <w:rPr>
          <w:lang w:eastAsia="en-US"/>
        </w:rPr>
        <w:sectPr w:rsidR="0022744A" w:rsidSect="0073172D">
          <w:pgSz w:w="11906" w:h="16838"/>
          <w:pgMar w:top="1440" w:right="1440" w:bottom="1440" w:left="1440" w:header="708" w:footer="708" w:gutter="0"/>
          <w:cols w:space="708"/>
          <w:docGrid w:linePitch="360"/>
        </w:sectPr>
      </w:pPr>
    </w:p>
    <w:p w14:paraId="3ED4E191" w14:textId="2C4DB15D" w:rsidR="007A71F9" w:rsidRPr="00367A93" w:rsidRDefault="0022744A" w:rsidP="00367A93">
      <w:pPr>
        <w:pStyle w:val="Heading1"/>
        <w:rPr>
          <w:rFonts w:ascii="Times New Roman" w:hAnsi="Times New Roman" w:cs="Times New Roman"/>
          <w:color w:val="auto"/>
          <w:sz w:val="24"/>
          <w:szCs w:val="24"/>
        </w:rPr>
      </w:pPr>
      <w:bookmarkStart w:id="5" w:name="_Toc108781723"/>
      <w:r w:rsidRPr="00367A93">
        <w:rPr>
          <w:rFonts w:ascii="Times New Roman" w:hAnsi="Times New Roman" w:cs="Times New Roman"/>
          <w:i/>
          <w:iCs/>
          <w:color w:val="auto"/>
          <w:sz w:val="24"/>
          <w:szCs w:val="24"/>
        </w:rPr>
        <w:lastRenderedPageBreak/>
        <w:t xml:space="preserve">Supplementary Materials </w:t>
      </w:r>
      <w:r w:rsidR="0014017C" w:rsidRPr="00367A93">
        <w:rPr>
          <w:rFonts w:ascii="Times New Roman" w:hAnsi="Times New Roman" w:cs="Times New Roman"/>
          <w:i/>
          <w:iCs/>
          <w:color w:val="auto"/>
          <w:sz w:val="24"/>
          <w:szCs w:val="24"/>
        </w:rPr>
        <w:t>4</w:t>
      </w:r>
      <w:r w:rsidRPr="00367A93">
        <w:rPr>
          <w:rFonts w:ascii="Times New Roman" w:hAnsi="Times New Roman" w:cs="Times New Roman"/>
          <w:i/>
          <w:iCs/>
          <w:color w:val="auto"/>
          <w:sz w:val="24"/>
          <w:szCs w:val="24"/>
        </w:rPr>
        <w:t xml:space="preserve">: </w:t>
      </w:r>
      <w:r w:rsidR="008836AA" w:rsidRPr="00367A93">
        <w:rPr>
          <w:rFonts w:ascii="Times New Roman" w:hAnsi="Times New Roman" w:cs="Times New Roman"/>
          <w:color w:val="auto"/>
          <w:sz w:val="24"/>
          <w:szCs w:val="24"/>
        </w:rPr>
        <w:t>GRADE-</w:t>
      </w:r>
      <w:r w:rsidR="007A71F9" w:rsidRPr="00367A93">
        <w:rPr>
          <w:rFonts w:ascii="Times New Roman" w:hAnsi="Times New Roman" w:cs="Times New Roman"/>
          <w:color w:val="auto"/>
          <w:sz w:val="24"/>
          <w:szCs w:val="24"/>
        </w:rPr>
        <w:t>CERQ</w:t>
      </w:r>
      <w:r w:rsidR="00484C54" w:rsidRPr="00367A93">
        <w:rPr>
          <w:rFonts w:ascii="Times New Roman" w:hAnsi="Times New Roman" w:cs="Times New Roman"/>
          <w:color w:val="auto"/>
          <w:sz w:val="24"/>
          <w:szCs w:val="24"/>
        </w:rPr>
        <w:t>ual</w:t>
      </w:r>
      <w:r w:rsidR="008836AA" w:rsidRPr="00367A93">
        <w:rPr>
          <w:rFonts w:ascii="Times New Roman" w:hAnsi="Times New Roman" w:cs="Times New Roman"/>
          <w:color w:val="auto"/>
          <w:sz w:val="24"/>
          <w:szCs w:val="24"/>
        </w:rPr>
        <w:t xml:space="preserve"> </w:t>
      </w:r>
      <w:r w:rsidR="007A71F9" w:rsidRPr="00367A93">
        <w:rPr>
          <w:rFonts w:ascii="Times New Roman" w:hAnsi="Times New Roman" w:cs="Times New Roman"/>
          <w:color w:val="auto"/>
          <w:sz w:val="24"/>
          <w:szCs w:val="24"/>
        </w:rPr>
        <w:t>Methodological quality</w:t>
      </w:r>
      <w:r w:rsidR="008836AA" w:rsidRPr="00367A93">
        <w:rPr>
          <w:rFonts w:ascii="Times New Roman" w:hAnsi="Times New Roman" w:cs="Times New Roman"/>
          <w:color w:val="auto"/>
          <w:sz w:val="24"/>
          <w:szCs w:val="24"/>
        </w:rPr>
        <w:t xml:space="preserve"> table</w:t>
      </w:r>
      <w:bookmarkEnd w:id="5"/>
    </w:p>
    <w:tbl>
      <w:tblPr>
        <w:tblStyle w:val="TableGrid"/>
        <w:tblW w:w="5000" w:type="pct"/>
        <w:tblLook w:val="04A0" w:firstRow="1" w:lastRow="0" w:firstColumn="1" w:lastColumn="0" w:noHBand="0" w:noVBand="1"/>
      </w:tblPr>
      <w:tblGrid>
        <w:gridCol w:w="2053"/>
        <w:gridCol w:w="2190"/>
        <w:gridCol w:w="2672"/>
        <w:gridCol w:w="441"/>
        <w:gridCol w:w="1618"/>
        <w:gridCol w:w="1308"/>
        <w:gridCol w:w="1197"/>
        <w:gridCol w:w="1211"/>
        <w:gridCol w:w="1258"/>
      </w:tblGrid>
      <w:tr w:rsidR="00E965A2" w:rsidRPr="00265687" w14:paraId="23050DD5" w14:textId="77777777" w:rsidTr="00003995">
        <w:trPr>
          <w:tblHeader/>
        </w:trPr>
        <w:tc>
          <w:tcPr>
            <w:tcW w:w="736" w:type="pct"/>
            <w:shd w:val="clear" w:color="auto" w:fill="A5A5A5" w:themeFill="accent3"/>
          </w:tcPr>
          <w:p w14:paraId="25E199C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Theme</w:t>
            </w:r>
          </w:p>
        </w:tc>
        <w:tc>
          <w:tcPr>
            <w:tcW w:w="785" w:type="pct"/>
            <w:shd w:val="clear" w:color="auto" w:fill="A5A5A5" w:themeFill="accent3"/>
          </w:tcPr>
          <w:p w14:paraId="5AD583D1"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Definition of theme</w:t>
            </w:r>
          </w:p>
        </w:tc>
        <w:tc>
          <w:tcPr>
            <w:tcW w:w="958" w:type="pct"/>
            <w:shd w:val="clear" w:color="auto" w:fill="A5A5A5" w:themeFill="accent3"/>
          </w:tcPr>
          <w:p w14:paraId="4C2ED3EC"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Studies citing this theme</w:t>
            </w:r>
          </w:p>
        </w:tc>
        <w:tc>
          <w:tcPr>
            <w:tcW w:w="158" w:type="pct"/>
            <w:shd w:val="clear" w:color="auto" w:fill="A5A5A5" w:themeFill="accent3"/>
          </w:tcPr>
          <w:p w14:paraId="3B84ED4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N</w:t>
            </w:r>
          </w:p>
        </w:tc>
        <w:tc>
          <w:tcPr>
            <w:tcW w:w="580" w:type="pct"/>
            <w:shd w:val="clear" w:color="auto" w:fill="A5A5A5" w:themeFill="accent3"/>
          </w:tcPr>
          <w:p w14:paraId="758EE5B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No methodological concerns</w:t>
            </w:r>
          </w:p>
          <w:p w14:paraId="060FE7DE"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c>
          <w:tcPr>
            <w:tcW w:w="469" w:type="pct"/>
            <w:shd w:val="clear" w:color="auto" w:fill="A5A5A5" w:themeFill="accent3"/>
          </w:tcPr>
          <w:p w14:paraId="2B3ED44A"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Minor concerns</w:t>
            </w:r>
          </w:p>
          <w:p w14:paraId="2462EDE8" w14:textId="77777777" w:rsidR="00E965A2" w:rsidRPr="00265687" w:rsidRDefault="00E965A2" w:rsidP="00003995">
            <w:pPr>
              <w:spacing w:line="240" w:lineRule="auto"/>
              <w:ind w:firstLine="0"/>
              <w:rPr>
                <w:rFonts w:ascii="Times New Roman" w:hAnsi="Times New Roman" w:cs="Times New Roman"/>
                <w:b/>
                <w:bCs/>
                <w:sz w:val="16"/>
                <w:szCs w:val="16"/>
              </w:rPr>
            </w:pPr>
          </w:p>
          <w:p w14:paraId="024D9AA7"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c>
          <w:tcPr>
            <w:tcW w:w="429" w:type="pct"/>
            <w:shd w:val="clear" w:color="auto" w:fill="A5A5A5" w:themeFill="accent3"/>
          </w:tcPr>
          <w:p w14:paraId="7632A31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concerns</w:t>
            </w:r>
          </w:p>
          <w:p w14:paraId="0FA708C4"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c>
          <w:tcPr>
            <w:tcW w:w="434" w:type="pct"/>
            <w:shd w:val="clear" w:color="auto" w:fill="A5A5A5" w:themeFill="accent3"/>
          </w:tcPr>
          <w:p w14:paraId="1608112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Serious concerns</w:t>
            </w:r>
          </w:p>
          <w:p w14:paraId="4E87101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(Very low confidence)</w:t>
            </w:r>
          </w:p>
        </w:tc>
        <w:tc>
          <w:tcPr>
            <w:tcW w:w="451" w:type="pct"/>
            <w:shd w:val="clear" w:color="auto" w:fill="A5A5A5" w:themeFill="accent3"/>
          </w:tcPr>
          <w:p w14:paraId="2E80ECB1"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Overall methodological confidence rating*</w:t>
            </w:r>
          </w:p>
        </w:tc>
      </w:tr>
      <w:tr w:rsidR="00E965A2" w:rsidRPr="00265687" w14:paraId="06F13807" w14:textId="77777777" w:rsidTr="00003995">
        <w:tc>
          <w:tcPr>
            <w:tcW w:w="5000" w:type="pct"/>
            <w:gridSpan w:val="9"/>
            <w:shd w:val="clear" w:color="auto" w:fill="A5A5A5" w:themeFill="accent3"/>
          </w:tcPr>
          <w:p w14:paraId="13F05B74"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 Women</w:t>
            </w:r>
          </w:p>
        </w:tc>
      </w:tr>
      <w:tr w:rsidR="00E965A2" w:rsidRPr="00265687" w14:paraId="4A52149C" w14:textId="77777777" w:rsidTr="00003995">
        <w:tc>
          <w:tcPr>
            <w:tcW w:w="5000" w:type="pct"/>
            <w:gridSpan w:val="9"/>
            <w:shd w:val="clear" w:color="auto" w:fill="DBDBDB" w:themeFill="accent3" w:themeFillTint="66"/>
          </w:tcPr>
          <w:p w14:paraId="6EFF119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1.1 Beliefs about health services</w:t>
            </w:r>
          </w:p>
        </w:tc>
      </w:tr>
      <w:tr w:rsidR="00E965A2" w:rsidRPr="00265687" w14:paraId="15244148" w14:textId="77777777" w:rsidTr="00003995">
        <w:tc>
          <w:tcPr>
            <w:tcW w:w="736" w:type="pct"/>
          </w:tcPr>
          <w:p w14:paraId="49ED873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1.1.1 Services only offer medication</w:t>
            </w:r>
          </w:p>
        </w:tc>
        <w:tc>
          <w:tcPr>
            <w:tcW w:w="785" w:type="pct"/>
          </w:tcPr>
          <w:p w14:paraId="3868AA4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belief that health services will only offer medication to treat PMH concerns</w:t>
            </w:r>
          </w:p>
        </w:tc>
        <w:tc>
          <w:tcPr>
            <w:tcW w:w="958" w:type="pct"/>
          </w:tcPr>
          <w:p w14:paraId="2258940C" w14:textId="77777777" w:rsidR="00E965A2" w:rsidRPr="00265687" w:rsidRDefault="00E965A2" w:rsidP="00003995">
            <w:pPr>
              <w:spacing w:line="240" w:lineRule="auto"/>
              <w:ind w:firstLine="0"/>
              <w:rPr>
                <w:rFonts w:ascii="Times New Roman" w:hAnsi="Times New Roman" w:cs="Times New Roman"/>
                <w:color w:val="000000"/>
                <w:sz w:val="16"/>
                <w:lang w:val="nl-NL"/>
              </w:rPr>
            </w:pPr>
            <w:r w:rsidRPr="00265687">
              <w:rPr>
                <w:rFonts w:ascii="Times New Roman" w:hAnsi="Times New Roman" w:cs="Times New Roman"/>
                <w:i/>
                <w:color w:val="000000"/>
                <w:sz w:val="16"/>
                <w:lang w:val="nl-NL"/>
              </w:rPr>
              <w:t>Doering et al., 2017; Ganann et al., 2019; Williams et al., 2016; Young et al., 2019;</w:t>
            </w:r>
            <w:r w:rsidRPr="00265687">
              <w:rPr>
                <w:rFonts w:ascii="Times New Roman" w:hAnsi="Times New Roman" w:cs="Times New Roman"/>
                <w:color w:val="000000"/>
                <w:sz w:val="16"/>
                <w:lang w:val="nl-NL"/>
              </w:rPr>
              <w:t xml:space="preserve"> </w:t>
            </w:r>
          </w:p>
          <w:p w14:paraId="3B3463AE" w14:textId="77777777" w:rsidR="00E965A2" w:rsidRPr="00265687" w:rsidRDefault="00E965A2" w:rsidP="00003995">
            <w:pPr>
              <w:spacing w:line="240" w:lineRule="auto"/>
              <w:ind w:firstLine="0"/>
              <w:rPr>
                <w:rFonts w:ascii="Times New Roman" w:hAnsi="Times New Roman" w:cs="Times New Roman"/>
                <w:sz w:val="16"/>
                <w:lang w:val="nl-NL"/>
              </w:rPr>
            </w:pPr>
            <w:r w:rsidRPr="00265687">
              <w:rPr>
                <w:rFonts w:ascii="Times New Roman" w:hAnsi="Times New Roman" w:cs="Times New Roman"/>
                <w:color w:val="000000"/>
                <w:sz w:val="16"/>
                <w:lang w:val="nl-NL"/>
              </w:rPr>
              <w:t>Bina, 2020; Button et al., 2017; Dennis &amp; Chung-Lee, 2006; Hadfield &amp; Wittkowski, 2017; Jones, 2019; Megnin-Viggars et al., 2015; Nilaweera et al., 2014; Sorsa et al., 2021; Tobin et al., 2018</w:t>
            </w:r>
          </w:p>
        </w:tc>
        <w:tc>
          <w:tcPr>
            <w:tcW w:w="158" w:type="pct"/>
          </w:tcPr>
          <w:p w14:paraId="63E0E37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0" w:type="pct"/>
          </w:tcPr>
          <w:p w14:paraId="4582996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3E44E4F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Young</w:t>
            </w:r>
          </w:p>
          <w:p w14:paraId="7410563B"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31C8FD5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06AC89D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2431BC2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230BE7F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1ACF4A6C" w14:textId="77777777" w:rsidR="00E965A2" w:rsidRPr="00265687" w:rsidRDefault="00E965A2" w:rsidP="00003995">
            <w:pPr>
              <w:spacing w:line="240" w:lineRule="auto"/>
              <w:ind w:firstLine="0"/>
              <w:rPr>
                <w:rFonts w:ascii="Times New Roman" w:hAnsi="Times New Roman" w:cs="Times New Roman"/>
                <w:sz w:val="16"/>
                <w:szCs w:val="16"/>
              </w:rPr>
            </w:pPr>
          </w:p>
          <w:p w14:paraId="1D66DA97"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0DDCA60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64DA25D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1FEABE5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0B95C90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0C4E0A2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Nilaweera</w:t>
            </w:r>
          </w:p>
          <w:p w14:paraId="28E94B1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p w14:paraId="18F3B7E2"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58E227D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771FAC5C"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majority of studies lower quality</w:t>
            </w:r>
          </w:p>
        </w:tc>
      </w:tr>
      <w:tr w:rsidR="00E965A2" w:rsidRPr="00265687" w14:paraId="645889D4" w14:textId="77777777" w:rsidTr="00003995">
        <w:tc>
          <w:tcPr>
            <w:tcW w:w="736" w:type="pct"/>
          </w:tcPr>
          <w:p w14:paraId="2AE9246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1.1.2 Services are stretched</w:t>
            </w:r>
          </w:p>
        </w:tc>
        <w:tc>
          <w:tcPr>
            <w:tcW w:w="785" w:type="pct"/>
          </w:tcPr>
          <w:p w14:paraId="4D2539B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belief that PMH services are too stretched and will therefore be unable to help women</w:t>
            </w:r>
          </w:p>
        </w:tc>
        <w:tc>
          <w:tcPr>
            <w:tcW w:w="958" w:type="pct"/>
          </w:tcPr>
          <w:p w14:paraId="2823D5D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Hadfield &amp; Wittkowski, 2017</w:t>
            </w:r>
          </w:p>
        </w:tc>
        <w:tc>
          <w:tcPr>
            <w:tcW w:w="158" w:type="pct"/>
          </w:tcPr>
          <w:p w14:paraId="01D00B2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254798ED"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46C28ED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w:t>
            </w:r>
          </w:p>
        </w:tc>
        <w:tc>
          <w:tcPr>
            <w:tcW w:w="429" w:type="pct"/>
          </w:tcPr>
          <w:p w14:paraId="30EDED26"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32AFA2F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170CE27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middle of minor and serious</w:t>
            </w:r>
          </w:p>
        </w:tc>
      </w:tr>
      <w:tr w:rsidR="00E965A2" w:rsidRPr="00265687" w14:paraId="1797CE05" w14:textId="77777777" w:rsidTr="00003995">
        <w:tc>
          <w:tcPr>
            <w:tcW w:w="736" w:type="pct"/>
          </w:tcPr>
          <w:p w14:paraId="33AC765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1.1.3 Services are too complicated</w:t>
            </w:r>
          </w:p>
        </w:tc>
        <w:tc>
          <w:tcPr>
            <w:tcW w:w="785" w:type="pct"/>
          </w:tcPr>
          <w:p w14:paraId="7A459A4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Services being too complex or complicated</w:t>
            </w:r>
          </w:p>
        </w:tc>
        <w:tc>
          <w:tcPr>
            <w:tcW w:w="958" w:type="pct"/>
          </w:tcPr>
          <w:p w14:paraId="5B3CCDD1" w14:textId="77777777" w:rsidR="00E965A2" w:rsidRPr="00265687" w:rsidRDefault="00E965A2" w:rsidP="00003995">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 xml:space="preserve">Ganann et al., 2019 </w:t>
            </w:r>
          </w:p>
          <w:p w14:paraId="46B0A8F6" w14:textId="77777777" w:rsidR="00E965A2" w:rsidRPr="00265687" w:rsidRDefault="00E965A2" w:rsidP="00003995">
            <w:pPr>
              <w:spacing w:line="240" w:lineRule="auto"/>
              <w:ind w:firstLine="0"/>
              <w:rPr>
                <w:rFonts w:ascii="Times New Roman" w:hAnsi="Times New Roman" w:cs="Times New Roman"/>
                <w:sz w:val="16"/>
                <w:lang w:val="es-ES"/>
              </w:rPr>
            </w:pPr>
            <w:r w:rsidRPr="00265687">
              <w:rPr>
                <w:rFonts w:ascii="Times New Roman" w:hAnsi="Times New Roman" w:cs="Times New Roman"/>
                <w:sz w:val="16"/>
                <w:lang w:val="es-ES"/>
              </w:rPr>
              <w:t>Tobin et al., 2018</w:t>
            </w:r>
          </w:p>
          <w:p w14:paraId="024EBDA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21CDC8A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6E971EC8"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3684E26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22ED89A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tc>
        <w:tc>
          <w:tcPr>
            <w:tcW w:w="429" w:type="pct"/>
          </w:tcPr>
          <w:p w14:paraId="0DC72437"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2BC50336"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4018EF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all have minor methodological concerns</w:t>
            </w:r>
          </w:p>
        </w:tc>
      </w:tr>
      <w:tr w:rsidR="00E965A2" w:rsidRPr="00265687" w14:paraId="56A10DB1" w14:textId="77777777" w:rsidTr="00003995">
        <w:tc>
          <w:tcPr>
            <w:tcW w:w="736" w:type="pct"/>
          </w:tcPr>
          <w:p w14:paraId="35C758C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1.1.4 Women’s mistrust and fear of services</w:t>
            </w:r>
          </w:p>
        </w:tc>
        <w:tc>
          <w:tcPr>
            <w:tcW w:w="785" w:type="pct"/>
          </w:tcPr>
          <w:p w14:paraId="3BA699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Having little trust in health services</w:t>
            </w:r>
          </w:p>
        </w:tc>
        <w:tc>
          <w:tcPr>
            <w:tcW w:w="958" w:type="pct"/>
          </w:tcPr>
          <w:p w14:paraId="014E172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Boyd et al., 2011</w:t>
            </w:r>
            <w:r w:rsidRPr="00265687">
              <w:rPr>
                <w:rFonts w:ascii="Times New Roman" w:hAnsi="Times New Roman" w:cs="Times New Roman"/>
                <w:i/>
                <w:iCs/>
                <w:sz w:val="16"/>
                <w:szCs w:val="16"/>
              </w:rPr>
              <w:t xml:space="preserve"> </w:t>
            </w:r>
          </w:p>
          <w:p w14:paraId="2BDA1C0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Jones, 2019</w:t>
            </w:r>
          </w:p>
        </w:tc>
        <w:tc>
          <w:tcPr>
            <w:tcW w:w="158" w:type="pct"/>
          </w:tcPr>
          <w:p w14:paraId="6972774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67580892"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374DBCB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tc>
        <w:tc>
          <w:tcPr>
            <w:tcW w:w="429" w:type="pct"/>
          </w:tcPr>
          <w:p w14:paraId="3C4E16C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tc>
        <w:tc>
          <w:tcPr>
            <w:tcW w:w="434" w:type="pct"/>
          </w:tcPr>
          <w:p w14:paraId="1ACD40D1"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4F3C47F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even split, rounded up </w:t>
            </w:r>
          </w:p>
        </w:tc>
      </w:tr>
      <w:tr w:rsidR="00E965A2" w:rsidRPr="00265687" w14:paraId="709AB581" w14:textId="77777777" w:rsidTr="00003995">
        <w:tc>
          <w:tcPr>
            <w:tcW w:w="5000" w:type="pct"/>
            <w:gridSpan w:val="9"/>
            <w:shd w:val="clear" w:color="auto" w:fill="DBDBDB" w:themeFill="accent3" w:themeFillTint="66"/>
          </w:tcPr>
          <w:p w14:paraId="7B97260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1.2 Beliefs about HCPs</w:t>
            </w:r>
          </w:p>
        </w:tc>
      </w:tr>
      <w:tr w:rsidR="00E965A2" w:rsidRPr="00265687" w14:paraId="113A223A" w14:textId="77777777" w:rsidTr="00003995">
        <w:tc>
          <w:tcPr>
            <w:tcW w:w="736" w:type="pct"/>
          </w:tcPr>
          <w:p w14:paraId="7A32037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1.2.1 Not understanding HCPs’ role</w:t>
            </w:r>
          </w:p>
        </w:tc>
        <w:tc>
          <w:tcPr>
            <w:tcW w:w="785" w:type="pct"/>
          </w:tcPr>
          <w:p w14:paraId="6BBC7BF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Not understanding the roles of HCPs and how their roles related to PMH</w:t>
            </w:r>
          </w:p>
        </w:tc>
        <w:tc>
          <w:tcPr>
            <w:tcW w:w="958" w:type="pct"/>
          </w:tcPr>
          <w:p w14:paraId="38EDB84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Brealey et al., 2010; Button et al., 2017; Dennis &amp; Chung-Lee, 2006; Hadfield &amp; Wittkowski, 2017; Hewitt et al., 2009; Megnin-Viggars et al., 2015; Mollard et al., 2016; Morrell et al., 2016; Nilaweera et al., 2014; Sambrook Smith et al., 2019; Schmied et al., 2017; Scope et al., 2017</w:t>
            </w:r>
          </w:p>
        </w:tc>
        <w:tc>
          <w:tcPr>
            <w:tcW w:w="158" w:type="pct"/>
          </w:tcPr>
          <w:p w14:paraId="12C3897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w:t>
            </w:r>
          </w:p>
        </w:tc>
        <w:tc>
          <w:tcPr>
            <w:tcW w:w="580" w:type="pct"/>
          </w:tcPr>
          <w:p w14:paraId="727E200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p w14:paraId="6B9F9F6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p w14:paraId="65B34427"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294A713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27E7590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tc>
        <w:tc>
          <w:tcPr>
            <w:tcW w:w="429" w:type="pct"/>
          </w:tcPr>
          <w:p w14:paraId="714E2A0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5EAFC80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189A95D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Mollard</w:t>
            </w:r>
          </w:p>
          <w:p w14:paraId="7D72D08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Nilaweera</w:t>
            </w:r>
          </w:p>
          <w:p w14:paraId="38B8096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074D1C8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344BCFF7"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5B7612A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5BB6FF1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1664EE73"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391C642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 xml:space="preserve"> most reviews have moderate methodological concerns</w:t>
            </w:r>
          </w:p>
        </w:tc>
      </w:tr>
      <w:tr w:rsidR="00E965A2" w:rsidRPr="00265687" w14:paraId="3B723202" w14:textId="77777777" w:rsidTr="00003995">
        <w:tc>
          <w:tcPr>
            <w:tcW w:w="736" w:type="pct"/>
          </w:tcPr>
          <w:p w14:paraId="7E3FD58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1.2.2 Believing HCPs won’t be interested</w:t>
            </w:r>
          </w:p>
        </w:tc>
        <w:tc>
          <w:tcPr>
            <w:tcW w:w="785" w:type="pct"/>
          </w:tcPr>
          <w:p w14:paraId="71F04AD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HCPs won't be interested in PMH</w:t>
            </w:r>
          </w:p>
        </w:tc>
        <w:tc>
          <w:tcPr>
            <w:tcW w:w="958" w:type="pct"/>
          </w:tcPr>
          <w:p w14:paraId="2A73814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Hadfield &amp; Wittkowski, 2017</w:t>
            </w:r>
          </w:p>
        </w:tc>
        <w:tc>
          <w:tcPr>
            <w:tcW w:w="158" w:type="pct"/>
          </w:tcPr>
          <w:p w14:paraId="2C34628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70B4C309"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61AB22F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tc>
        <w:tc>
          <w:tcPr>
            <w:tcW w:w="429" w:type="pct"/>
          </w:tcPr>
          <w:p w14:paraId="7D69FAF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tc>
        <w:tc>
          <w:tcPr>
            <w:tcW w:w="434" w:type="pct"/>
          </w:tcPr>
          <w:p w14:paraId="65CE5C6D"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38BCBB82"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even split, round up because all SRs</w:t>
            </w:r>
          </w:p>
        </w:tc>
      </w:tr>
      <w:tr w:rsidR="00E965A2" w:rsidRPr="00265687" w14:paraId="2C31DB93" w14:textId="77777777" w:rsidTr="00003995">
        <w:tc>
          <w:tcPr>
            <w:tcW w:w="5000" w:type="pct"/>
            <w:gridSpan w:val="9"/>
            <w:shd w:val="clear" w:color="auto" w:fill="DBDBDB" w:themeFill="accent3" w:themeFillTint="66"/>
          </w:tcPr>
          <w:p w14:paraId="26F55104"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 Beliefs about perinatal mental illness</w:t>
            </w:r>
          </w:p>
        </w:tc>
      </w:tr>
      <w:tr w:rsidR="00E965A2" w:rsidRPr="00265687" w14:paraId="0735F7A7" w14:textId="77777777" w:rsidTr="00003995">
        <w:tc>
          <w:tcPr>
            <w:tcW w:w="5000" w:type="pct"/>
            <w:gridSpan w:val="9"/>
            <w:shd w:val="clear" w:color="auto" w:fill="EDEDED" w:themeFill="accent3" w:themeFillTint="33"/>
          </w:tcPr>
          <w:p w14:paraId="0FC15712"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1.3.1 What is it?</w:t>
            </w:r>
          </w:p>
        </w:tc>
      </w:tr>
      <w:tr w:rsidR="00E965A2" w:rsidRPr="00265687" w14:paraId="5D37F4CF" w14:textId="77777777" w:rsidTr="00003995">
        <w:tc>
          <w:tcPr>
            <w:tcW w:w="736" w:type="pct"/>
          </w:tcPr>
          <w:p w14:paraId="3C6A784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1.3.1.1 What is perinatal mental illness?</w:t>
            </w:r>
          </w:p>
        </w:tc>
        <w:tc>
          <w:tcPr>
            <w:tcW w:w="785" w:type="pct"/>
          </w:tcPr>
          <w:p w14:paraId="5B9598A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Having poor or no knowledge about PMI</w:t>
            </w:r>
          </w:p>
        </w:tc>
        <w:tc>
          <w:tcPr>
            <w:tcW w:w="958" w:type="pct"/>
          </w:tcPr>
          <w:p w14:paraId="150F3756"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Atif et al., 2019; Kerker et al., 2018</w:t>
            </w:r>
          </w:p>
          <w:p w14:paraId="03CA95D8"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Button et al., 2017; Dennis &amp; Chung-Lee, 2006; Hadfield &amp; Wittkowski, 2017; Hansotte et al., 2017; A. Jones, 2019; Lucas et al., 2019; Megnin-Viggars et al., 2015; Morrell et al., 2016; Newman et al., 2019; Sambrook Smith et al., 2019; Schmied et al., 2017; Scope et al., 2017; Staneva et al., 2015; Tobin et al., 2018; Watson et al., 2019</w:t>
            </w:r>
          </w:p>
        </w:tc>
        <w:tc>
          <w:tcPr>
            <w:tcW w:w="158" w:type="pct"/>
          </w:tcPr>
          <w:p w14:paraId="0DE32A6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18</w:t>
            </w:r>
          </w:p>
        </w:tc>
        <w:tc>
          <w:tcPr>
            <w:tcW w:w="580" w:type="pct"/>
          </w:tcPr>
          <w:p w14:paraId="5EDE8E5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p w14:paraId="1B070F5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p w14:paraId="78E49335"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73F05C3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Hadfield 17 </w:t>
            </w:r>
          </w:p>
          <w:p w14:paraId="670E0BC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20E6F03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569A51C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794063C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363FFE3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50085DD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6C0412F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735840C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1BB920C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282B451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1F06522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508B8BD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1480D53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2D800FC6" w14:textId="77777777" w:rsidR="00E965A2" w:rsidRPr="00265687" w:rsidRDefault="00E965A2" w:rsidP="00003995">
            <w:pPr>
              <w:spacing w:line="240" w:lineRule="auto"/>
              <w:ind w:firstLine="0"/>
              <w:rPr>
                <w:rFonts w:ascii="Times New Roman" w:hAnsi="Times New Roman" w:cs="Times New Roman"/>
                <w:sz w:val="16"/>
                <w:szCs w:val="16"/>
              </w:rPr>
            </w:pPr>
          </w:p>
          <w:p w14:paraId="24E9D747"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39F4890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753A6B6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 xml:space="preserve"> most of the reviews had moderate methodological concerns</w:t>
            </w:r>
          </w:p>
        </w:tc>
      </w:tr>
      <w:tr w:rsidR="00E965A2" w:rsidRPr="00265687" w14:paraId="2E0F3874" w14:textId="77777777" w:rsidTr="00003995">
        <w:tc>
          <w:tcPr>
            <w:tcW w:w="736" w:type="pct"/>
          </w:tcPr>
          <w:p w14:paraId="46B79CA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1.3.1.2 No language to describe perinatal mental illness</w:t>
            </w:r>
          </w:p>
        </w:tc>
        <w:tc>
          <w:tcPr>
            <w:tcW w:w="785" w:type="pct"/>
          </w:tcPr>
          <w:p w14:paraId="0D01FC1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Not having the language to describe PMI</w:t>
            </w:r>
          </w:p>
        </w:tc>
        <w:tc>
          <w:tcPr>
            <w:tcW w:w="958" w:type="pct"/>
          </w:tcPr>
          <w:p w14:paraId="20304856"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Bina et al., 2018</w:t>
            </w:r>
            <w:r w:rsidRPr="00265687">
              <w:rPr>
                <w:rFonts w:ascii="Times New Roman" w:hAnsi="Times New Roman" w:cs="Times New Roman"/>
                <w:i/>
                <w:sz w:val="16"/>
                <w:szCs w:val="16"/>
              </w:rPr>
              <w:t xml:space="preserve"> </w:t>
            </w:r>
          </w:p>
          <w:p w14:paraId="7753C02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Brealey et al., 2010; Staneva et al., 2015; Tobin et al., 2018; Watson et al., 2019</w:t>
            </w:r>
          </w:p>
        </w:tc>
        <w:tc>
          <w:tcPr>
            <w:tcW w:w="158" w:type="pct"/>
          </w:tcPr>
          <w:p w14:paraId="62FF08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w:t>
            </w:r>
          </w:p>
        </w:tc>
        <w:tc>
          <w:tcPr>
            <w:tcW w:w="580" w:type="pct"/>
          </w:tcPr>
          <w:p w14:paraId="6CE4FF56"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282488E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2018</w:t>
            </w:r>
          </w:p>
          <w:p w14:paraId="1CA570D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p w14:paraId="11E5ECC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3CB9428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2A39B2F2"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0292C47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53878E79"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1271AD3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 most reviews have minor methodological concerns</w:t>
            </w:r>
          </w:p>
        </w:tc>
      </w:tr>
      <w:tr w:rsidR="00E965A2" w:rsidRPr="00265687" w14:paraId="1CFC1B3C" w14:textId="77777777" w:rsidTr="00003995">
        <w:tc>
          <w:tcPr>
            <w:tcW w:w="5000" w:type="pct"/>
            <w:gridSpan w:val="9"/>
            <w:shd w:val="clear" w:color="auto" w:fill="EDEDED" w:themeFill="accent3" w:themeFillTint="33"/>
          </w:tcPr>
          <w:p w14:paraId="18F57E54"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1.3.2 Causes of perinatal mental illness</w:t>
            </w:r>
          </w:p>
        </w:tc>
      </w:tr>
      <w:tr w:rsidR="00E965A2" w:rsidRPr="00265687" w14:paraId="2F7B71B9" w14:textId="77777777" w:rsidTr="00003995">
        <w:tc>
          <w:tcPr>
            <w:tcW w:w="736" w:type="pct"/>
          </w:tcPr>
          <w:p w14:paraId="0EAD818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1.3.2.1 Spiritual/cultural causes</w:t>
            </w:r>
          </w:p>
        </w:tc>
        <w:tc>
          <w:tcPr>
            <w:tcW w:w="785" w:type="pct"/>
          </w:tcPr>
          <w:p w14:paraId="314FACE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Believing that symptoms are caused by cultural or spiritual factors </w:t>
            </w:r>
          </w:p>
        </w:tc>
        <w:tc>
          <w:tcPr>
            <w:tcW w:w="958" w:type="pct"/>
          </w:tcPr>
          <w:p w14:paraId="58A8F9FA" w14:textId="77777777" w:rsidR="00E965A2" w:rsidRPr="00265687" w:rsidRDefault="00E965A2" w:rsidP="00003995">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Atif et al., 2016; McCauley et al., 2019; Nakku et al., 2016</w:t>
            </w:r>
          </w:p>
          <w:p w14:paraId="658AC06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Button et al., 2017; Schmied et al., 2017; Wittkowski et al., 2014</w:t>
            </w:r>
          </w:p>
        </w:tc>
        <w:tc>
          <w:tcPr>
            <w:tcW w:w="158" w:type="pct"/>
          </w:tcPr>
          <w:p w14:paraId="17047F1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0" w:type="pct"/>
          </w:tcPr>
          <w:p w14:paraId="228D8F3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McCauley</w:t>
            </w:r>
          </w:p>
        </w:tc>
        <w:tc>
          <w:tcPr>
            <w:tcW w:w="469" w:type="pct"/>
          </w:tcPr>
          <w:p w14:paraId="2BBC31B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6DCBC8D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tc>
        <w:tc>
          <w:tcPr>
            <w:tcW w:w="429" w:type="pct"/>
          </w:tcPr>
          <w:p w14:paraId="3DE4C30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0C1A1A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608842A6"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6671D5D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Wittkowski</w:t>
            </w:r>
          </w:p>
        </w:tc>
        <w:tc>
          <w:tcPr>
            <w:tcW w:w="451" w:type="pct"/>
          </w:tcPr>
          <w:p w14:paraId="382646E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 reviews are of lower quality, but generally more rigorous than 1 primary study</w:t>
            </w:r>
          </w:p>
        </w:tc>
      </w:tr>
      <w:tr w:rsidR="00E965A2" w:rsidRPr="00265687" w14:paraId="1EE3C1E4" w14:textId="77777777" w:rsidTr="00003995">
        <w:tc>
          <w:tcPr>
            <w:tcW w:w="736" w:type="pct"/>
          </w:tcPr>
          <w:p w14:paraId="2DC6A39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1.3.2.2 External causes</w:t>
            </w:r>
          </w:p>
        </w:tc>
        <w:tc>
          <w:tcPr>
            <w:tcW w:w="785" w:type="pct"/>
          </w:tcPr>
          <w:p w14:paraId="387DD7F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that symptoms are caused by external factors such as jobs, being a migrant</w:t>
            </w:r>
          </w:p>
        </w:tc>
        <w:tc>
          <w:tcPr>
            <w:tcW w:w="958" w:type="pct"/>
          </w:tcPr>
          <w:p w14:paraId="4ED2832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Lucas et al., 2019; Schmied et al., 2017; Staneva et al., 2015; Tobin et al., 2018; Watson et al., 2019</w:t>
            </w:r>
          </w:p>
        </w:tc>
        <w:tc>
          <w:tcPr>
            <w:tcW w:w="158" w:type="pct"/>
          </w:tcPr>
          <w:p w14:paraId="7CFE755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0" w:type="pct"/>
          </w:tcPr>
          <w:p w14:paraId="48E956D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tc>
        <w:tc>
          <w:tcPr>
            <w:tcW w:w="469" w:type="pct"/>
          </w:tcPr>
          <w:p w14:paraId="3AB538D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p w14:paraId="5553706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7D0C958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66D25CD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2F41D39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0B6030D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043F474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0A9F5DF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 even split, given the higher rating because they are all SRs</w:t>
            </w:r>
          </w:p>
        </w:tc>
      </w:tr>
      <w:tr w:rsidR="00E965A2" w:rsidRPr="00265687" w14:paraId="1B2632B7" w14:textId="77777777" w:rsidTr="00003995">
        <w:tc>
          <w:tcPr>
            <w:tcW w:w="736" w:type="pct"/>
          </w:tcPr>
          <w:p w14:paraId="22920B6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1.3.2.3 Physical causes</w:t>
            </w:r>
          </w:p>
        </w:tc>
        <w:tc>
          <w:tcPr>
            <w:tcW w:w="785" w:type="pct"/>
          </w:tcPr>
          <w:p w14:paraId="57CCB53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that symptoms are caused by physical factors such as tiredness and hormones</w:t>
            </w:r>
          </w:p>
        </w:tc>
        <w:tc>
          <w:tcPr>
            <w:tcW w:w="958" w:type="pct"/>
          </w:tcPr>
          <w:p w14:paraId="6350619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O’Mahen &amp; Flynn, 2008</w:t>
            </w:r>
          </w:p>
          <w:p w14:paraId="1DBD6FB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Forde et al., 2020; C. C. G. Jones et al., 2014; Newman et al., 2019; Sambrook Smith et al., 2019; Schmied et al., 2017; Staneva et al., 2015; Watson et al., 2019</w:t>
            </w:r>
          </w:p>
        </w:tc>
        <w:tc>
          <w:tcPr>
            <w:tcW w:w="158" w:type="pct"/>
          </w:tcPr>
          <w:p w14:paraId="0773BBB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w:t>
            </w:r>
          </w:p>
        </w:tc>
        <w:tc>
          <w:tcPr>
            <w:tcW w:w="580" w:type="pct"/>
          </w:tcPr>
          <w:p w14:paraId="7DF5151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O’Mahen</w:t>
            </w:r>
          </w:p>
          <w:p w14:paraId="3E375412"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69" w:type="pct"/>
          </w:tcPr>
          <w:p w14:paraId="6BA1174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p w14:paraId="1E069F0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7F0F141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p w14:paraId="0083E7E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5F63EEC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17CBC65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7F850DE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2E738BB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21C3F739" w14:textId="77777777" w:rsidR="00E965A2" w:rsidRPr="00265687" w:rsidRDefault="00E965A2" w:rsidP="00003995">
            <w:pPr>
              <w:spacing w:line="240" w:lineRule="auto"/>
              <w:ind w:firstLine="0"/>
              <w:rPr>
                <w:rFonts w:ascii="Times New Roman" w:hAnsi="Times New Roman" w:cs="Times New Roman"/>
                <w:sz w:val="16"/>
                <w:szCs w:val="16"/>
              </w:rPr>
            </w:pPr>
          </w:p>
          <w:p w14:paraId="75F01654"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16957F7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0046CD5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p w14:paraId="373F9044"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1C8E538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 xml:space="preserve"> most  SRs have moderate methodological concerns</w:t>
            </w:r>
          </w:p>
        </w:tc>
      </w:tr>
      <w:tr w:rsidR="00E965A2" w:rsidRPr="00265687" w14:paraId="572EF44A" w14:textId="77777777" w:rsidTr="00003995">
        <w:tc>
          <w:tcPr>
            <w:tcW w:w="736" w:type="pct"/>
          </w:tcPr>
          <w:p w14:paraId="2374487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1.3.2.4 A normal response to motherhood?</w:t>
            </w:r>
          </w:p>
        </w:tc>
        <w:tc>
          <w:tcPr>
            <w:tcW w:w="785" w:type="pct"/>
          </w:tcPr>
          <w:p w14:paraId="3F0C904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symptoms are just a normal response to motherhood</w:t>
            </w:r>
          </w:p>
        </w:tc>
        <w:tc>
          <w:tcPr>
            <w:tcW w:w="958" w:type="pct"/>
          </w:tcPr>
          <w:p w14:paraId="6007396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Williams et al., 2016</w:t>
            </w:r>
            <w:r w:rsidRPr="00265687">
              <w:rPr>
                <w:rFonts w:ascii="Times New Roman" w:hAnsi="Times New Roman" w:cs="Times New Roman"/>
                <w:i/>
                <w:iCs/>
                <w:sz w:val="16"/>
                <w:szCs w:val="16"/>
              </w:rPr>
              <w:t xml:space="preserve"> </w:t>
            </w:r>
          </w:p>
          <w:p w14:paraId="1032D15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Giscombe et al., 2020; Jones et al., 2014; Sambrook Smith et al., 2019; Schmied et al., 2017; Slade et al., 2020; Sorsa et al., 2021; Viveiros &amp; Darling, 2018</w:t>
            </w:r>
          </w:p>
        </w:tc>
        <w:tc>
          <w:tcPr>
            <w:tcW w:w="158" w:type="pct"/>
          </w:tcPr>
          <w:p w14:paraId="08956F5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0" w:type="pct"/>
          </w:tcPr>
          <w:p w14:paraId="67DD1EB1"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28EF4E1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7F93570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527F0B8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6EEAEFDE"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46011B1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3378727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p w14:paraId="2ECBC21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59E14F5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33AE4AF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Giscombe</w:t>
            </w:r>
          </w:p>
          <w:p w14:paraId="407E0D8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3EDA48F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r w:rsidRPr="00265687">
              <w:rPr>
                <w:rFonts w:ascii="Times New Roman" w:hAnsi="Times New Roman" w:cs="Times New Roman"/>
                <w:sz w:val="16"/>
                <w:szCs w:val="16"/>
              </w:rPr>
              <w:t xml:space="preserve"> - most SRs have moderate methodological concerns</w:t>
            </w:r>
          </w:p>
        </w:tc>
      </w:tr>
      <w:tr w:rsidR="00E965A2" w:rsidRPr="00265687" w14:paraId="2D538E29" w14:textId="77777777" w:rsidTr="00003995">
        <w:tc>
          <w:tcPr>
            <w:tcW w:w="5000" w:type="pct"/>
            <w:gridSpan w:val="9"/>
            <w:shd w:val="clear" w:color="auto" w:fill="EDEDED" w:themeFill="accent3" w:themeFillTint="33"/>
          </w:tcPr>
          <w:p w14:paraId="3F5EA7AE"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1.3.3 How to cope with symptoms</w:t>
            </w:r>
          </w:p>
        </w:tc>
      </w:tr>
      <w:tr w:rsidR="00E965A2" w:rsidRPr="00265687" w14:paraId="7D7A2AD1" w14:textId="77777777" w:rsidTr="00003995">
        <w:tc>
          <w:tcPr>
            <w:tcW w:w="736" w:type="pct"/>
          </w:tcPr>
          <w:p w14:paraId="79818D7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1.3.3.1 Ignore them</w:t>
            </w:r>
          </w:p>
        </w:tc>
        <w:tc>
          <w:tcPr>
            <w:tcW w:w="785" w:type="pct"/>
          </w:tcPr>
          <w:p w14:paraId="7A1CEE8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Women many deal with symptoms by ignoring them and assuming they will go away on their own</w:t>
            </w:r>
          </w:p>
        </w:tc>
        <w:tc>
          <w:tcPr>
            <w:tcW w:w="958" w:type="pct"/>
          </w:tcPr>
          <w:p w14:paraId="42F7012A"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Hadfield &amp; Wittkowski, 2017; Jones et al., 2014; Newman et al., 2019; Schmied et al., 2017; Slade et al., 2020</w:t>
            </w:r>
          </w:p>
        </w:tc>
        <w:tc>
          <w:tcPr>
            <w:tcW w:w="158" w:type="pct"/>
          </w:tcPr>
          <w:p w14:paraId="18F47F8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0" w:type="pct"/>
          </w:tcPr>
          <w:p w14:paraId="76CE0F26"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5A28173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4F0FA74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tc>
        <w:tc>
          <w:tcPr>
            <w:tcW w:w="429" w:type="pct"/>
          </w:tcPr>
          <w:p w14:paraId="2690D96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Bina 20 </w:t>
            </w:r>
          </w:p>
          <w:p w14:paraId="1DF2493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72EFD7A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7630707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3B566C0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 xml:space="preserve"> most have moderate methodological concerns</w:t>
            </w:r>
          </w:p>
        </w:tc>
      </w:tr>
      <w:tr w:rsidR="00E965A2" w:rsidRPr="00265687" w14:paraId="2B4F2151" w14:textId="77777777" w:rsidTr="00003995">
        <w:tc>
          <w:tcPr>
            <w:tcW w:w="736" w:type="pct"/>
          </w:tcPr>
          <w:p w14:paraId="52C9869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1.3.3.2 Seek spiritual guidance</w:t>
            </w:r>
          </w:p>
        </w:tc>
        <w:tc>
          <w:tcPr>
            <w:tcW w:w="785" w:type="pct"/>
          </w:tcPr>
          <w:p w14:paraId="183C3F3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Women may cope with symptoms by seeking spiritual guidance</w:t>
            </w:r>
          </w:p>
        </w:tc>
        <w:tc>
          <w:tcPr>
            <w:tcW w:w="958" w:type="pct"/>
          </w:tcPr>
          <w:p w14:paraId="5A521950"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Hansotte et al., 2017; Kassam, 2019; Schmied et al., 2017; Watson et al., 2019</w:t>
            </w:r>
          </w:p>
        </w:tc>
        <w:tc>
          <w:tcPr>
            <w:tcW w:w="158" w:type="pct"/>
          </w:tcPr>
          <w:p w14:paraId="1AA2075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0" w:type="pct"/>
          </w:tcPr>
          <w:p w14:paraId="54FFDF41"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7724B43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p w14:paraId="5622F95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tc>
        <w:tc>
          <w:tcPr>
            <w:tcW w:w="429" w:type="pct"/>
          </w:tcPr>
          <w:p w14:paraId="16C3C07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6EBC655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4C894E1E"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4A86AAB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even split, round up because all SRs</w:t>
            </w:r>
          </w:p>
        </w:tc>
      </w:tr>
      <w:tr w:rsidR="00E965A2" w:rsidRPr="00265687" w14:paraId="592A64A5" w14:textId="77777777" w:rsidTr="00003995">
        <w:tc>
          <w:tcPr>
            <w:tcW w:w="736" w:type="pct"/>
          </w:tcPr>
          <w:p w14:paraId="15BDF22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1.3.3.3 Minimise them</w:t>
            </w:r>
          </w:p>
        </w:tc>
        <w:tc>
          <w:tcPr>
            <w:tcW w:w="785" w:type="pct"/>
          </w:tcPr>
          <w:p w14:paraId="3300625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Women may minimise or deny their symptoms</w:t>
            </w:r>
          </w:p>
        </w:tc>
        <w:tc>
          <w:tcPr>
            <w:tcW w:w="958" w:type="pct"/>
          </w:tcPr>
          <w:p w14:paraId="30C99413"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Shakespeare et al., 2003</w:t>
            </w:r>
          </w:p>
          <w:p w14:paraId="40426908"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Dennis &amp; Chung-Lee, 2006; Forde et al., 2020; Hewitt et al., 2009; Holopainen &amp; Hakulinen, 2019; Jones et al., 2014; Kassam, 2019; Megnin-Viggars et al., 2015; Schmied et al., 2017; Slade et al., 2020; Staneva et al., 2015; Tobin et al., 2018; Watson et al., 2019</w:t>
            </w:r>
          </w:p>
        </w:tc>
        <w:tc>
          <w:tcPr>
            <w:tcW w:w="158" w:type="pct"/>
          </w:tcPr>
          <w:p w14:paraId="4EC4205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0" w:type="pct"/>
          </w:tcPr>
          <w:p w14:paraId="551A5C1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p w14:paraId="6F4AA83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Holopainen</w:t>
            </w:r>
          </w:p>
        </w:tc>
        <w:tc>
          <w:tcPr>
            <w:tcW w:w="469" w:type="pct"/>
          </w:tcPr>
          <w:p w14:paraId="1E23BD4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p w14:paraId="5C21970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p w14:paraId="0FABA48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46D3F01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4BAD7CE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p w14:paraId="599DF47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1BB7B8A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p w14:paraId="723355C0" w14:textId="77777777" w:rsidR="00E965A2" w:rsidRPr="00265687" w:rsidRDefault="00E965A2" w:rsidP="00003995">
            <w:pPr>
              <w:spacing w:line="240" w:lineRule="auto"/>
              <w:ind w:firstLine="0"/>
              <w:rPr>
                <w:rFonts w:ascii="Times New Roman" w:hAnsi="Times New Roman" w:cs="Times New Roman"/>
                <w:sz w:val="16"/>
                <w:szCs w:val="16"/>
              </w:rPr>
            </w:pPr>
          </w:p>
          <w:p w14:paraId="366D8F5A"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2421390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29967AE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0CF56E7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3E9CC6A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1F7E615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4E6A256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 most SRs have minor methodological concerns</w:t>
            </w:r>
          </w:p>
        </w:tc>
      </w:tr>
      <w:tr w:rsidR="00E965A2" w:rsidRPr="00265687" w14:paraId="74D1200F" w14:textId="77777777" w:rsidTr="00003995">
        <w:tc>
          <w:tcPr>
            <w:tcW w:w="5000" w:type="pct"/>
            <w:gridSpan w:val="9"/>
            <w:shd w:val="clear" w:color="auto" w:fill="DBDBDB" w:themeFill="accent3" w:themeFillTint="66"/>
          </w:tcPr>
          <w:p w14:paraId="4A63E190"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1.4 Deciding to seek help</w:t>
            </w:r>
          </w:p>
        </w:tc>
      </w:tr>
      <w:tr w:rsidR="00E965A2" w:rsidRPr="00265687" w14:paraId="2C7647B4" w14:textId="77777777" w:rsidTr="00003995">
        <w:tc>
          <w:tcPr>
            <w:tcW w:w="736" w:type="pct"/>
          </w:tcPr>
          <w:p w14:paraId="15C7DBF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1.4.1 Recognising something is wrong</w:t>
            </w:r>
          </w:p>
        </w:tc>
        <w:tc>
          <w:tcPr>
            <w:tcW w:w="785" w:type="pct"/>
          </w:tcPr>
          <w:p w14:paraId="2F4F01D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first step to seeking help for many women, was recognising that something is "wrong"</w:t>
            </w:r>
          </w:p>
        </w:tc>
        <w:tc>
          <w:tcPr>
            <w:tcW w:w="958" w:type="pct"/>
          </w:tcPr>
          <w:p w14:paraId="0505ED1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Forde et al., 2020; Hadfield &amp; Wittkowski, 2017; Slade et al., 2020; Staneva et al., 2015; Viveiros &amp; Darling, 2018</w:t>
            </w:r>
          </w:p>
        </w:tc>
        <w:tc>
          <w:tcPr>
            <w:tcW w:w="158" w:type="pct"/>
          </w:tcPr>
          <w:p w14:paraId="4F658BB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0" w:type="pct"/>
          </w:tcPr>
          <w:p w14:paraId="05AD7E5E"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6BD586E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p w14:paraId="79A64DC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7C03765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2BDF720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tc>
        <w:tc>
          <w:tcPr>
            <w:tcW w:w="429" w:type="pct"/>
          </w:tcPr>
          <w:p w14:paraId="36260D3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6CD705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0FED65C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p w14:paraId="2166A7EA"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7A4471F4"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2ED49574"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SRs have minor methodological concerns</w:t>
            </w:r>
          </w:p>
        </w:tc>
      </w:tr>
      <w:tr w:rsidR="00E965A2" w:rsidRPr="00265687" w14:paraId="6B774861" w14:textId="77777777" w:rsidTr="00003995">
        <w:tc>
          <w:tcPr>
            <w:tcW w:w="736" w:type="pct"/>
          </w:tcPr>
          <w:p w14:paraId="50A97F9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1.4.2 Where do I go to seek help?</w:t>
            </w:r>
          </w:p>
        </w:tc>
        <w:tc>
          <w:tcPr>
            <w:tcW w:w="785" w:type="pct"/>
          </w:tcPr>
          <w:p w14:paraId="1190640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next step to help seeking is then understanding where to go in order to seek help</w:t>
            </w:r>
          </w:p>
        </w:tc>
        <w:tc>
          <w:tcPr>
            <w:tcW w:w="958" w:type="pct"/>
          </w:tcPr>
          <w:p w14:paraId="6B592AEA"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Ganann et al., 2019</w:t>
            </w:r>
          </w:p>
          <w:p w14:paraId="56D047D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iCs/>
                <w:noProof/>
                <w:sz w:val="16"/>
                <w:szCs w:val="16"/>
              </w:rPr>
              <w:t>Bina, 2020; Dennis &amp; Chung-Lee, 2006; Hansotte et al., 2017; Megnin-Viggars et al., 2015; Schmied et al., 2017; Sorsa et al., 2021; Tobin et al., 2018</w:t>
            </w:r>
          </w:p>
        </w:tc>
        <w:tc>
          <w:tcPr>
            <w:tcW w:w="158" w:type="pct"/>
          </w:tcPr>
          <w:p w14:paraId="0F60240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0" w:type="pct"/>
          </w:tcPr>
          <w:p w14:paraId="7652C0C2"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5FB9D6B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776F67F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tc>
        <w:tc>
          <w:tcPr>
            <w:tcW w:w="429" w:type="pct"/>
          </w:tcPr>
          <w:p w14:paraId="07F4A37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4F2F9DD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70C70EE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1F92BC6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5B52C68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p w14:paraId="1198418E"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1917A3C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3AF1DB4F"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have moderate methodological concerns</w:t>
            </w:r>
          </w:p>
        </w:tc>
      </w:tr>
      <w:tr w:rsidR="00E965A2" w:rsidRPr="00265687" w14:paraId="2EC92153" w14:textId="77777777" w:rsidTr="00003995">
        <w:tc>
          <w:tcPr>
            <w:tcW w:w="5000" w:type="pct"/>
            <w:gridSpan w:val="9"/>
            <w:shd w:val="clear" w:color="auto" w:fill="DBDBDB" w:themeFill="accent3" w:themeFillTint="66"/>
          </w:tcPr>
          <w:p w14:paraId="5A20938B"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1.5 Fear of judgement</w:t>
            </w:r>
          </w:p>
        </w:tc>
      </w:tr>
      <w:tr w:rsidR="00E965A2" w:rsidRPr="00265687" w14:paraId="617D271B" w14:textId="77777777" w:rsidTr="00003995">
        <w:tc>
          <w:tcPr>
            <w:tcW w:w="736" w:type="pct"/>
          </w:tcPr>
          <w:p w14:paraId="7510413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1.5.1 Fear of being seen as a bad mum</w:t>
            </w:r>
          </w:p>
        </w:tc>
        <w:tc>
          <w:tcPr>
            <w:tcW w:w="785" w:type="pct"/>
          </w:tcPr>
          <w:p w14:paraId="0BA2F9E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Fear of being judged and being seen as a bad mother </w:t>
            </w:r>
          </w:p>
        </w:tc>
        <w:tc>
          <w:tcPr>
            <w:tcW w:w="958" w:type="pct"/>
          </w:tcPr>
          <w:p w14:paraId="0659F6CD" w14:textId="77777777" w:rsidR="00E965A2" w:rsidRPr="00265687" w:rsidRDefault="00E965A2" w:rsidP="00003995">
            <w:pPr>
              <w:spacing w:line="240" w:lineRule="auto"/>
              <w:ind w:firstLine="0"/>
              <w:rPr>
                <w:rFonts w:ascii="Times New Roman" w:hAnsi="Times New Roman" w:cs="Times New Roman"/>
                <w:i/>
                <w:sz w:val="16"/>
                <w:lang w:val="es-ES"/>
              </w:rPr>
            </w:pPr>
            <w:r w:rsidRPr="00265687">
              <w:rPr>
                <w:rFonts w:ascii="Times New Roman" w:hAnsi="Times New Roman" w:cs="Times New Roman"/>
                <w:sz w:val="16"/>
                <w:lang w:val="es-ES"/>
              </w:rPr>
              <w:t>Bina, 2020; Brealey et al., 2010; Button et al., 2017; Forde et al., 2020; Jones et al., 2014; Lucas et al., 2019; Slade et al., 2020; Sorsa et al., 2021; Viveiros &amp; Darling, 2018</w:t>
            </w:r>
          </w:p>
        </w:tc>
        <w:tc>
          <w:tcPr>
            <w:tcW w:w="158" w:type="pct"/>
          </w:tcPr>
          <w:p w14:paraId="445DCED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0" w:type="pct"/>
          </w:tcPr>
          <w:p w14:paraId="5DD4188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tc>
        <w:tc>
          <w:tcPr>
            <w:tcW w:w="469" w:type="pct"/>
          </w:tcPr>
          <w:p w14:paraId="2CBE669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tc>
        <w:tc>
          <w:tcPr>
            <w:tcW w:w="429" w:type="pct"/>
          </w:tcPr>
          <w:p w14:paraId="1F71628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5BDDA21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tc>
        <w:tc>
          <w:tcPr>
            <w:tcW w:w="434" w:type="pct"/>
          </w:tcPr>
          <w:p w14:paraId="609F5BE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5C94FB0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5A6EA35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 xml:space="preserve"> most have moderate or serious methodological concerns</w:t>
            </w:r>
          </w:p>
        </w:tc>
      </w:tr>
      <w:tr w:rsidR="00E965A2" w:rsidRPr="00265687" w14:paraId="5689A176" w14:textId="77777777" w:rsidTr="00003995">
        <w:tc>
          <w:tcPr>
            <w:tcW w:w="736" w:type="pct"/>
          </w:tcPr>
          <w:p w14:paraId="1952233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1.5.2 Social services/ removal of child</w:t>
            </w:r>
          </w:p>
        </w:tc>
        <w:tc>
          <w:tcPr>
            <w:tcW w:w="785" w:type="pct"/>
          </w:tcPr>
          <w:p w14:paraId="7F1E61E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Fear of social services involvement or their child being removed from their care</w:t>
            </w:r>
          </w:p>
        </w:tc>
        <w:tc>
          <w:tcPr>
            <w:tcW w:w="958" w:type="pct"/>
          </w:tcPr>
          <w:p w14:paraId="4B9EC218"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Boyd et al., 2011; Feinberg et al., 2006; Shakespeare et al., 2003; Young et al., 2019</w:t>
            </w:r>
          </w:p>
          <w:p w14:paraId="2488F135"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Brealey et al., 2010; Button et al., 2017; Dennis &amp; Chung-Lee, 2006; Evans et al., 2020; Forde et al., 2020; Hadfield &amp; Wittkowski, 2017; Hewitt et al., 2009; A. Jones, 2019; Megnin-Viggars et al., 2015; Newman et al., 2019; Tobin et al., 2018; Watson et al., 2019</w:t>
            </w:r>
          </w:p>
          <w:p w14:paraId="349A339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1ABA816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0" w:type="pct"/>
          </w:tcPr>
          <w:p w14:paraId="0001FEF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Young</w:t>
            </w:r>
          </w:p>
          <w:p w14:paraId="679F215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Evans</w:t>
            </w:r>
          </w:p>
        </w:tc>
        <w:tc>
          <w:tcPr>
            <w:tcW w:w="469" w:type="pct"/>
          </w:tcPr>
          <w:p w14:paraId="5ECE2D9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26B7E9A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788B5F7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p w14:paraId="15D95F9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p w14:paraId="4F3539A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47F0FFE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0395102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p w14:paraId="0899E24B" w14:textId="77777777" w:rsidR="00E965A2" w:rsidRPr="00265687" w:rsidRDefault="00E965A2" w:rsidP="00003995">
            <w:pPr>
              <w:spacing w:line="240" w:lineRule="auto"/>
              <w:ind w:firstLine="0"/>
              <w:rPr>
                <w:rFonts w:ascii="Times New Roman" w:hAnsi="Times New Roman" w:cs="Times New Roman"/>
                <w:sz w:val="16"/>
                <w:szCs w:val="16"/>
              </w:rPr>
            </w:pPr>
          </w:p>
          <w:p w14:paraId="128B1238"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7C469F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3C72EA3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1F8F4D9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579F7F8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tc>
        <w:tc>
          <w:tcPr>
            <w:tcW w:w="434" w:type="pct"/>
          </w:tcPr>
          <w:p w14:paraId="1CEB4AD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09A1C3F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1DE7894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w:t>
            </w:r>
            <w:r w:rsidRPr="00265687">
              <w:rPr>
                <w:rFonts w:ascii="Times New Roman" w:hAnsi="Times New Roman" w:cs="Times New Roman"/>
                <w:sz w:val="16"/>
                <w:szCs w:val="16"/>
              </w:rPr>
              <w:t>the majority of studies fall under this category</w:t>
            </w:r>
          </w:p>
        </w:tc>
      </w:tr>
      <w:tr w:rsidR="00E965A2" w:rsidRPr="00265687" w14:paraId="2ACEBD41" w14:textId="77777777" w:rsidTr="00003995">
        <w:tc>
          <w:tcPr>
            <w:tcW w:w="5000" w:type="pct"/>
            <w:gridSpan w:val="9"/>
            <w:shd w:val="clear" w:color="auto" w:fill="DBDBDB" w:themeFill="accent3" w:themeFillTint="66"/>
          </w:tcPr>
          <w:p w14:paraId="790408B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1.6 Logistics of accessing perinatal mental health care</w:t>
            </w:r>
          </w:p>
        </w:tc>
      </w:tr>
      <w:tr w:rsidR="00E965A2" w:rsidRPr="00265687" w14:paraId="6DAAB59D" w14:textId="77777777" w:rsidTr="00003995">
        <w:tc>
          <w:tcPr>
            <w:tcW w:w="736" w:type="pct"/>
          </w:tcPr>
          <w:p w14:paraId="583F34C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1.6.1 Childcare</w:t>
            </w:r>
          </w:p>
        </w:tc>
        <w:tc>
          <w:tcPr>
            <w:tcW w:w="785" w:type="pct"/>
          </w:tcPr>
          <w:p w14:paraId="0BD807F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Lack of childcare as a barrier to PMH Care</w:t>
            </w:r>
          </w:p>
        </w:tc>
        <w:tc>
          <w:tcPr>
            <w:tcW w:w="958" w:type="pct"/>
          </w:tcPr>
          <w:p w14:paraId="79B74501"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Boyd et al., 2011; Cox et al., 2017; Doering et al., 2017; Friedman et al., 2010</w:t>
            </w:r>
          </w:p>
          <w:p w14:paraId="06DF3E3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Hansotte et al., 2017; Morrell et al., 2016; Newman et al., 2019; Sambrook Smith et al., 2019; Scope et al., 2017; Watson et al., 2019</w:t>
            </w:r>
          </w:p>
        </w:tc>
        <w:tc>
          <w:tcPr>
            <w:tcW w:w="158" w:type="pct"/>
          </w:tcPr>
          <w:p w14:paraId="3D635BD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0" w:type="pct"/>
          </w:tcPr>
          <w:p w14:paraId="27C70AF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19FD7B7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tc>
        <w:tc>
          <w:tcPr>
            <w:tcW w:w="469" w:type="pct"/>
          </w:tcPr>
          <w:p w14:paraId="2C76E2E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67EC24E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695113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6658997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7003F29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Friedman</w:t>
            </w:r>
          </w:p>
          <w:p w14:paraId="627FA4C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55E1A9E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4D40F36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4FC70F2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229E6A9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326B3D7B"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5722546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5B0BC5A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 xml:space="preserve"> most studies have moderate methodological concerns</w:t>
            </w:r>
          </w:p>
        </w:tc>
      </w:tr>
      <w:tr w:rsidR="00E965A2" w:rsidRPr="00265687" w14:paraId="6E514134" w14:textId="77777777" w:rsidTr="00003995">
        <w:tc>
          <w:tcPr>
            <w:tcW w:w="736" w:type="pct"/>
          </w:tcPr>
          <w:p w14:paraId="4906445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1.6.2 Timing of care</w:t>
            </w:r>
          </w:p>
        </w:tc>
        <w:tc>
          <w:tcPr>
            <w:tcW w:w="785" w:type="pct"/>
          </w:tcPr>
          <w:p w14:paraId="1078A4A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Timing of appointments and services offered</w:t>
            </w:r>
          </w:p>
        </w:tc>
        <w:tc>
          <w:tcPr>
            <w:tcW w:w="958" w:type="pct"/>
          </w:tcPr>
          <w:p w14:paraId="7F50AB52"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 xml:space="preserve">Atif et al., 2019; Friedman et al., 2010 </w:t>
            </w:r>
          </w:p>
          <w:p w14:paraId="54C96C2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Dennis &amp; Chung-Lee, 2006; Newman et al., 2019; Scope et al., 2017; Watson et al., 2019</w:t>
            </w:r>
          </w:p>
        </w:tc>
        <w:tc>
          <w:tcPr>
            <w:tcW w:w="158" w:type="pct"/>
          </w:tcPr>
          <w:p w14:paraId="4E46649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0" w:type="pct"/>
          </w:tcPr>
          <w:p w14:paraId="7D8DC194"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42484AF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6A70DDD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06FB617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Friedman</w:t>
            </w:r>
          </w:p>
          <w:p w14:paraId="74D6DC5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71CF9B5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448853F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tc>
        <w:tc>
          <w:tcPr>
            <w:tcW w:w="434" w:type="pct"/>
          </w:tcPr>
          <w:p w14:paraId="3D0A1D7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48187BC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 xml:space="preserve"> most studies have moderate methodological concerns</w:t>
            </w:r>
          </w:p>
        </w:tc>
      </w:tr>
      <w:tr w:rsidR="00E965A2" w:rsidRPr="00265687" w14:paraId="22B91483" w14:textId="77777777" w:rsidTr="00003995">
        <w:tc>
          <w:tcPr>
            <w:tcW w:w="736" w:type="pct"/>
          </w:tcPr>
          <w:p w14:paraId="3E3F65C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1.6.3 Location/ travel</w:t>
            </w:r>
          </w:p>
        </w:tc>
        <w:tc>
          <w:tcPr>
            <w:tcW w:w="785" w:type="pct"/>
          </w:tcPr>
          <w:p w14:paraId="2130166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Location of services or travel costs to get to services</w:t>
            </w:r>
          </w:p>
        </w:tc>
        <w:tc>
          <w:tcPr>
            <w:tcW w:w="958" w:type="pct"/>
          </w:tcPr>
          <w:p w14:paraId="4CD82D1B"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 xml:space="preserve">Cox et al., 2017; Doering et al., 2017; Eappen et al., 2018; Friedman et al., 2010; Masood et al., 2015; Nakku et al., 2016 </w:t>
            </w:r>
          </w:p>
          <w:p w14:paraId="1C474DC9"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Hansotte et al., 2017; Mollard et al., 2016; Morrell et al., 2016; Newman et al., 2019; Tobin et al., 2018; Watson et al., 2019</w:t>
            </w:r>
          </w:p>
        </w:tc>
        <w:tc>
          <w:tcPr>
            <w:tcW w:w="158" w:type="pct"/>
          </w:tcPr>
          <w:p w14:paraId="767FDDD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w:t>
            </w:r>
          </w:p>
        </w:tc>
        <w:tc>
          <w:tcPr>
            <w:tcW w:w="580" w:type="pct"/>
          </w:tcPr>
          <w:p w14:paraId="226ED92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118C6DE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tc>
        <w:tc>
          <w:tcPr>
            <w:tcW w:w="469" w:type="pct"/>
          </w:tcPr>
          <w:p w14:paraId="53600EA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271E11A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Eappen</w:t>
            </w:r>
          </w:p>
          <w:p w14:paraId="4798F5D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521CD4D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371ED0E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344093E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2C77771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Friedman</w:t>
            </w:r>
          </w:p>
          <w:p w14:paraId="7E20633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3B8B98E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757611C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Mollard</w:t>
            </w:r>
          </w:p>
          <w:p w14:paraId="4D944DF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tc>
        <w:tc>
          <w:tcPr>
            <w:tcW w:w="434" w:type="pct"/>
          </w:tcPr>
          <w:p w14:paraId="4D80CF55"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619EC35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 more studies rated as high or moderate confidence.</w:t>
            </w:r>
          </w:p>
        </w:tc>
      </w:tr>
      <w:tr w:rsidR="00E965A2" w:rsidRPr="00265687" w14:paraId="16304AF6" w14:textId="77777777" w:rsidTr="00003995">
        <w:tc>
          <w:tcPr>
            <w:tcW w:w="5000" w:type="pct"/>
            <w:gridSpan w:val="9"/>
            <w:shd w:val="clear" w:color="auto" w:fill="DBDBDB" w:themeFill="accent3" w:themeFillTint="66"/>
          </w:tcPr>
          <w:p w14:paraId="31549DA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1.7 Social and family life</w:t>
            </w:r>
          </w:p>
        </w:tc>
      </w:tr>
      <w:tr w:rsidR="00E965A2" w:rsidRPr="00265687" w14:paraId="3E8DA3CF" w14:textId="77777777" w:rsidTr="00003995">
        <w:tc>
          <w:tcPr>
            <w:tcW w:w="736" w:type="pct"/>
          </w:tcPr>
          <w:p w14:paraId="55B8838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1.7.1 Social isolation or support</w:t>
            </w:r>
          </w:p>
        </w:tc>
        <w:tc>
          <w:tcPr>
            <w:tcW w:w="785" w:type="pct"/>
          </w:tcPr>
          <w:p w14:paraId="229B9D4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experiences of social support or social isolation</w:t>
            </w:r>
          </w:p>
        </w:tc>
        <w:tc>
          <w:tcPr>
            <w:tcW w:w="958" w:type="pct"/>
          </w:tcPr>
          <w:p w14:paraId="46EE6E16" w14:textId="77777777" w:rsidR="00E965A2" w:rsidRPr="00265687" w:rsidRDefault="00E965A2" w:rsidP="00003995">
            <w:pPr>
              <w:spacing w:line="240" w:lineRule="auto"/>
              <w:ind w:firstLine="0"/>
              <w:rPr>
                <w:rFonts w:ascii="Times New Roman" w:hAnsi="Times New Roman" w:cs="Times New Roman"/>
                <w:sz w:val="16"/>
                <w:lang w:val="es-ES"/>
              </w:rPr>
            </w:pPr>
            <w:r w:rsidRPr="00265687">
              <w:rPr>
                <w:rFonts w:ascii="Times New Roman" w:hAnsi="Times New Roman" w:cs="Times New Roman"/>
                <w:sz w:val="16"/>
                <w:lang w:val="es-ES"/>
              </w:rPr>
              <w:t>Giscombe et al., 2020; Hansotte et al., 2017; A. Jones, 2019; C. Jones et al., 2014; Kassam, 2019; Lucas et al., 2019; Tobin et al., 2018; Viveiros &amp; Darling, 2018; Watson et al., 2019</w:t>
            </w:r>
          </w:p>
        </w:tc>
        <w:tc>
          <w:tcPr>
            <w:tcW w:w="158" w:type="pct"/>
          </w:tcPr>
          <w:p w14:paraId="4402170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0" w:type="pct"/>
          </w:tcPr>
          <w:p w14:paraId="1F3A945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tc>
        <w:tc>
          <w:tcPr>
            <w:tcW w:w="469" w:type="pct"/>
          </w:tcPr>
          <w:p w14:paraId="25592F1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697121C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3429E2F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Hanotte</w:t>
            </w:r>
          </w:p>
          <w:p w14:paraId="45F56B2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731DC62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5847F5C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Giscombe</w:t>
            </w:r>
          </w:p>
          <w:p w14:paraId="5BAD8A5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2BA04541"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0D5314F9" w14:textId="77777777" w:rsidTr="00003995">
        <w:tc>
          <w:tcPr>
            <w:tcW w:w="736" w:type="pct"/>
          </w:tcPr>
          <w:p w14:paraId="5AD203D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1.7.2 Family and friends’ beliefs</w:t>
            </w:r>
          </w:p>
        </w:tc>
        <w:tc>
          <w:tcPr>
            <w:tcW w:w="785" w:type="pct"/>
          </w:tcPr>
          <w:p w14:paraId="45E9CEB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family and friends’ beliefs about mental illness</w:t>
            </w:r>
          </w:p>
        </w:tc>
        <w:tc>
          <w:tcPr>
            <w:tcW w:w="958" w:type="pct"/>
          </w:tcPr>
          <w:p w14:paraId="35ACB94C"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Atif et al., 2016, 2019; Boyd et al., 2011; Doering et al., 2017; Ganann et al., 2019; Higgins et al., 2018; Masood et al., 2015; Nakku et al., 2016; Nithianandan et al., 2016; Noonan et al., 2018; O’Mahen &amp; Flynn, 2008; Pineros-Leano et al., 2015; Vik et al., 2009; Williams et al., 2016; Young et al., 2019</w:t>
            </w:r>
          </w:p>
          <w:p w14:paraId="3E4D5886"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Button et al., 2017; Dennis &amp; Chung-Lee, 2006; Forde et al., 2020; Hadfield &amp; Wittkowski, 2017; Holopainen &amp; Hakulinen, 2019; A. Jones, 2019; Lucas et al., 2019; Nilaweera et al., 2014; Sambrook Smith et al., 2019; Schmied et al., 2017; Sorsa et al., 2021; Viveiros &amp; Darling, 2018; Watson et al., 2019</w:t>
            </w:r>
          </w:p>
        </w:tc>
        <w:tc>
          <w:tcPr>
            <w:tcW w:w="158" w:type="pct"/>
          </w:tcPr>
          <w:p w14:paraId="3849E43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30</w:t>
            </w:r>
          </w:p>
        </w:tc>
        <w:tc>
          <w:tcPr>
            <w:tcW w:w="580" w:type="pct"/>
          </w:tcPr>
          <w:p w14:paraId="05C4320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52BEE9B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0117EDE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 xml:space="preserve">O’Mahen </w:t>
            </w:r>
          </w:p>
          <w:p w14:paraId="0E0EEFD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Pineros-Leano</w:t>
            </w:r>
          </w:p>
          <w:p w14:paraId="6E13F00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Young</w:t>
            </w:r>
          </w:p>
          <w:p w14:paraId="0DEC61F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Holopainen</w:t>
            </w:r>
          </w:p>
          <w:p w14:paraId="40766CE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p w14:paraId="1A3C107E"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0D5164F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069A9A7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7423A48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166CF50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6D015A7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67F8A5A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48F6EB0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43A347B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6A02AE4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p w14:paraId="03E4336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Hadfield 17 </w:t>
            </w:r>
          </w:p>
          <w:p w14:paraId="6495DCC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6444762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317542D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7A91B39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Vik</w:t>
            </w:r>
          </w:p>
          <w:p w14:paraId="42A40D1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2A95EAD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5460082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0324F71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Nilaweera</w:t>
            </w:r>
          </w:p>
          <w:p w14:paraId="3C28E98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0894B4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p w14:paraId="4BCFCBD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7DCB5C6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7DA5CEAF"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5CF710F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more studies rated as high or moderate confidence.</w:t>
            </w:r>
          </w:p>
        </w:tc>
      </w:tr>
      <w:tr w:rsidR="00E965A2" w:rsidRPr="00265687" w14:paraId="26669E4C" w14:textId="77777777" w:rsidTr="00003995">
        <w:tc>
          <w:tcPr>
            <w:tcW w:w="736" w:type="pct"/>
          </w:tcPr>
          <w:p w14:paraId="4758593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1.7.3 Additional personal difficulties</w:t>
            </w:r>
          </w:p>
        </w:tc>
        <w:tc>
          <w:tcPr>
            <w:tcW w:w="785" w:type="pct"/>
          </w:tcPr>
          <w:p w14:paraId="23646FA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Personal difficulties outside of PMH such as unemployment</w:t>
            </w:r>
          </w:p>
        </w:tc>
        <w:tc>
          <w:tcPr>
            <w:tcW w:w="958" w:type="pct"/>
          </w:tcPr>
          <w:p w14:paraId="5F1B0745"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Atif et al., 2016; Boyd et al., 2011; Kerker et al., 2018; Munodawafa et al., 2017; Rowan et al., 2010; Williams et al., 2016</w:t>
            </w:r>
          </w:p>
          <w:p w14:paraId="2AF2BA1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Hansotte et al., 2017</w:t>
            </w:r>
          </w:p>
        </w:tc>
        <w:tc>
          <w:tcPr>
            <w:tcW w:w="158" w:type="pct"/>
          </w:tcPr>
          <w:p w14:paraId="3CDA880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0" w:type="pct"/>
          </w:tcPr>
          <w:p w14:paraId="26A270A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40C8A244"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69" w:type="pct"/>
          </w:tcPr>
          <w:p w14:paraId="6C05DE3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382C050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0BC9DE5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5A63B906" w14:textId="77777777" w:rsidR="00E965A2" w:rsidRPr="00265687" w:rsidRDefault="00E965A2" w:rsidP="00003995">
            <w:pPr>
              <w:spacing w:line="240" w:lineRule="auto"/>
              <w:ind w:firstLine="0"/>
              <w:rPr>
                <w:rFonts w:ascii="Times New Roman" w:hAnsi="Times New Roman" w:cs="Times New Roman"/>
                <w:i/>
                <w:iCs/>
                <w:sz w:val="16"/>
                <w:szCs w:val="16"/>
              </w:rPr>
            </w:pPr>
          </w:p>
          <w:p w14:paraId="3EBDF9F7"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192B49F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2CC0EB9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001A9A1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tc>
        <w:tc>
          <w:tcPr>
            <w:tcW w:w="434" w:type="pct"/>
          </w:tcPr>
          <w:p w14:paraId="1795E123"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6BEAB675"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more studies rated as high or moderate confidence.</w:t>
            </w:r>
          </w:p>
        </w:tc>
      </w:tr>
      <w:tr w:rsidR="00E965A2" w:rsidRPr="00265687" w14:paraId="552CDBBA" w14:textId="77777777" w:rsidTr="00003995">
        <w:tc>
          <w:tcPr>
            <w:tcW w:w="5000" w:type="pct"/>
            <w:gridSpan w:val="9"/>
            <w:shd w:val="clear" w:color="auto" w:fill="DBDBDB" w:themeFill="accent3" w:themeFillTint="66"/>
          </w:tcPr>
          <w:p w14:paraId="49D395F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1.8 Sociodemographic factors</w:t>
            </w:r>
          </w:p>
        </w:tc>
      </w:tr>
      <w:tr w:rsidR="00E965A2" w:rsidRPr="00265687" w14:paraId="709AC031" w14:textId="77777777" w:rsidTr="00003995">
        <w:tc>
          <w:tcPr>
            <w:tcW w:w="736" w:type="pct"/>
          </w:tcPr>
          <w:p w14:paraId="34F654D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1.8.1 Ethnicity</w:t>
            </w:r>
          </w:p>
        </w:tc>
        <w:tc>
          <w:tcPr>
            <w:tcW w:w="785" w:type="pct"/>
          </w:tcPr>
          <w:p w14:paraId="6921E05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ethnicity</w:t>
            </w:r>
          </w:p>
        </w:tc>
        <w:tc>
          <w:tcPr>
            <w:tcW w:w="958" w:type="pct"/>
          </w:tcPr>
          <w:p w14:paraId="53A8962A"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Dennis &amp; Chung-Lee, 2006; Hansotte et al., 2017; Watson et al., 2019</w:t>
            </w:r>
          </w:p>
        </w:tc>
        <w:tc>
          <w:tcPr>
            <w:tcW w:w="158" w:type="pct"/>
          </w:tcPr>
          <w:p w14:paraId="0595AF5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0" w:type="pct"/>
          </w:tcPr>
          <w:p w14:paraId="5A7352AC"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15377CA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0CB7042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6426A64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39C4E8E6"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52279ED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55065FEC"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535FC8D0" w14:textId="77777777" w:rsidTr="00003995">
        <w:tc>
          <w:tcPr>
            <w:tcW w:w="736" w:type="pct"/>
          </w:tcPr>
          <w:p w14:paraId="7BCC015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1.8.2 Age</w:t>
            </w:r>
          </w:p>
        </w:tc>
        <w:tc>
          <w:tcPr>
            <w:tcW w:w="785" w:type="pct"/>
          </w:tcPr>
          <w:p w14:paraId="5C5D972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age</w:t>
            </w:r>
          </w:p>
        </w:tc>
        <w:tc>
          <w:tcPr>
            <w:tcW w:w="958" w:type="pct"/>
          </w:tcPr>
          <w:p w14:paraId="0D7D17A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Hansotte et al., 2017</w:t>
            </w:r>
          </w:p>
        </w:tc>
        <w:tc>
          <w:tcPr>
            <w:tcW w:w="158" w:type="pct"/>
          </w:tcPr>
          <w:p w14:paraId="130028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0810F72D"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0DE723C3"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77539BF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5D9378C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tc>
        <w:tc>
          <w:tcPr>
            <w:tcW w:w="434" w:type="pct"/>
          </w:tcPr>
          <w:p w14:paraId="7D8D0B2F"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26F30050"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all studies have moderate methodological concerns</w:t>
            </w:r>
          </w:p>
        </w:tc>
      </w:tr>
      <w:tr w:rsidR="00E965A2" w:rsidRPr="00265687" w14:paraId="6B600FCC" w14:textId="77777777" w:rsidTr="00003995">
        <w:tc>
          <w:tcPr>
            <w:tcW w:w="5000" w:type="pct"/>
            <w:gridSpan w:val="9"/>
            <w:shd w:val="clear" w:color="auto" w:fill="DBDBDB" w:themeFill="accent3" w:themeFillTint="66"/>
          </w:tcPr>
          <w:p w14:paraId="1CA7C5E8"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lastRenderedPageBreak/>
              <w:t>1.9 Mental health factors</w:t>
            </w:r>
          </w:p>
        </w:tc>
      </w:tr>
      <w:tr w:rsidR="00E965A2" w:rsidRPr="00265687" w14:paraId="58DC1AB3" w14:textId="77777777" w:rsidTr="00003995">
        <w:tc>
          <w:tcPr>
            <w:tcW w:w="736" w:type="pct"/>
          </w:tcPr>
          <w:p w14:paraId="5F4AFFF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1.9.1 Previous experiences of mental health care</w:t>
            </w:r>
          </w:p>
        </w:tc>
        <w:tc>
          <w:tcPr>
            <w:tcW w:w="785" w:type="pct"/>
          </w:tcPr>
          <w:p w14:paraId="5B4B88E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Previous experiences of mental health care</w:t>
            </w:r>
          </w:p>
        </w:tc>
        <w:tc>
          <w:tcPr>
            <w:tcW w:w="958" w:type="pct"/>
          </w:tcPr>
          <w:p w14:paraId="7BD06A72"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O’Mahen &amp; Flynn, 2008</w:t>
            </w:r>
          </w:p>
          <w:p w14:paraId="059097C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Button et al., 2017; Evans et al., 2020; Hadfield &amp; Wittkowski, 2017; Hansotte et al., 2017; Watson et al., 2019</w:t>
            </w:r>
          </w:p>
        </w:tc>
        <w:tc>
          <w:tcPr>
            <w:tcW w:w="158" w:type="pct"/>
          </w:tcPr>
          <w:p w14:paraId="171B19E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0" w:type="pct"/>
          </w:tcPr>
          <w:p w14:paraId="05BCF19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O’Mahen</w:t>
            </w:r>
          </w:p>
          <w:p w14:paraId="3C8CABF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Evans</w:t>
            </w:r>
          </w:p>
        </w:tc>
        <w:tc>
          <w:tcPr>
            <w:tcW w:w="469" w:type="pct"/>
          </w:tcPr>
          <w:p w14:paraId="7BAEA7A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7661B77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1DC7F9F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1BCD595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tc>
        <w:tc>
          <w:tcPr>
            <w:tcW w:w="434" w:type="pct"/>
          </w:tcPr>
          <w:p w14:paraId="2FE83113"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79AF65AA"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more studies rated as high or moderate confidence.</w:t>
            </w:r>
          </w:p>
        </w:tc>
      </w:tr>
      <w:tr w:rsidR="00E965A2" w:rsidRPr="00265687" w14:paraId="65706F38" w14:textId="77777777" w:rsidTr="00003995">
        <w:tc>
          <w:tcPr>
            <w:tcW w:w="736" w:type="pct"/>
          </w:tcPr>
          <w:p w14:paraId="0EF92D4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1.9.2 Previous diagnoses or symptoms</w:t>
            </w:r>
          </w:p>
        </w:tc>
        <w:tc>
          <w:tcPr>
            <w:tcW w:w="785" w:type="pct"/>
          </w:tcPr>
          <w:p w14:paraId="0849E37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Previous experiences of mental health symptoms or diagnoses</w:t>
            </w:r>
          </w:p>
        </w:tc>
        <w:tc>
          <w:tcPr>
            <w:tcW w:w="958" w:type="pct"/>
          </w:tcPr>
          <w:p w14:paraId="15A91A3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Sorsa et al., 2021</w:t>
            </w:r>
          </w:p>
        </w:tc>
        <w:tc>
          <w:tcPr>
            <w:tcW w:w="158" w:type="pct"/>
          </w:tcPr>
          <w:p w14:paraId="135E6CD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28835ACA"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523EBE90"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4C21899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3DA7E8D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tc>
        <w:tc>
          <w:tcPr>
            <w:tcW w:w="434" w:type="pct"/>
          </w:tcPr>
          <w:p w14:paraId="6D9CD739"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34F9925B"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all studies have moderate methodological concerns</w:t>
            </w:r>
          </w:p>
        </w:tc>
      </w:tr>
      <w:tr w:rsidR="00E965A2" w:rsidRPr="00265687" w14:paraId="50DEA5E4" w14:textId="77777777" w:rsidTr="00003995">
        <w:tc>
          <w:tcPr>
            <w:tcW w:w="736" w:type="pct"/>
          </w:tcPr>
          <w:p w14:paraId="2567A01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1.9.3 Current diagnoses or symptoms</w:t>
            </w:r>
          </w:p>
        </w:tc>
        <w:tc>
          <w:tcPr>
            <w:tcW w:w="785" w:type="pct"/>
          </w:tcPr>
          <w:p w14:paraId="1375900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Current experiences of mental health symptoms or diagnoses</w:t>
            </w:r>
          </w:p>
        </w:tc>
        <w:tc>
          <w:tcPr>
            <w:tcW w:w="958" w:type="pct"/>
          </w:tcPr>
          <w:p w14:paraId="20228E05"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Chartier et al., 2015; Friedman et al., 2010; Hadfield et al., 2019; Young et al., 2019</w:t>
            </w:r>
          </w:p>
          <w:p w14:paraId="68AF21D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Sorsa et al., 2021; Viveiros &amp; Darling, 2018</w:t>
            </w:r>
          </w:p>
        </w:tc>
        <w:tc>
          <w:tcPr>
            <w:tcW w:w="158" w:type="pct"/>
          </w:tcPr>
          <w:p w14:paraId="21B3298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0" w:type="pct"/>
          </w:tcPr>
          <w:p w14:paraId="714BE3E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Young</w:t>
            </w:r>
          </w:p>
        </w:tc>
        <w:tc>
          <w:tcPr>
            <w:tcW w:w="469" w:type="pct"/>
          </w:tcPr>
          <w:p w14:paraId="0772C49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Chartier</w:t>
            </w:r>
          </w:p>
        </w:tc>
        <w:tc>
          <w:tcPr>
            <w:tcW w:w="429" w:type="pct"/>
          </w:tcPr>
          <w:p w14:paraId="58EC02F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Friedman</w:t>
            </w:r>
          </w:p>
          <w:p w14:paraId="713A5CC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Hadfield 19</w:t>
            </w:r>
          </w:p>
          <w:p w14:paraId="6705133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p w14:paraId="48BFA46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7B133226"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2A77CC20"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6F20168A" w14:textId="77777777" w:rsidTr="00003995">
        <w:tc>
          <w:tcPr>
            <w:tcW w:w="5000" w:type="pct"/>
            <w:gridSpan w:val="9"/>
            <w:shd w:val="clear" w:color="auto" w:fill="A5A5A5" w:themeFill="accent3"/>
          </w:tcPr>
          <w:p w14:paraId="088EF37F"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2. HCPs</w:t>
            </w:r>
          </w:p>
        </w:tc>
      </w:tr>
      <w:tr w:rsidR="00E965A2" w:rsidRPr="00265687" w14:paraId="51318A0F" w14:textId="77777777" w:rsidTr="00003995">
        <w:tc>
          <w:tcPr>
            <w:tcW w:w="5000" w:type="pct"/>
            <w:gridSpan w:val="9"/>
            <w:shd w:val="clear" w:color="auto" w:fill="DBDBDB" w:themeFill="accent3" w:themeFillTint="66"/>
          </w:tcPr>
          <w:p w14:paraId="3D0DB04F"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2.1 HCPs knowledge about PMH</w:t>
            </w:r>
          </w:p>
        </w:tc>
      </w:tr>
      <w:tr w:rsidR="00E965A2" w:rsidRPr="00265687" w14:paraId="413FCF52" w14:textId="77777777" w:rsidTr="00003995">
        <w:tc>
          <w:tcPr>
            <w:tcW w:w="736" w:type="pct"/>
          </w:tcPr>
          <w:p w14:paraId="748A469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2.1.1 HCPs knowledge about PMI</w:t>
            </w:r>
          </w:p>
        </w:tc>
        <w:tc>
          <w:tcPr>
            <w:tcW w:w="785" w:type="pct"/>
          </w:tcPr>
          <w:p w14:paraId="77C3640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knowledge about PMH actual &amp; perceived by women</w:t>
            </w:r>
          </w:p>
        </w:tc>
        <w:tc>
          <w:tcPr>
            <w:tcW w:w="958" w:type="pct"/>
          </w:tcPr>
          <w:p w14:paraId="1DE1318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Beeber et al., 2009; Byatt et al., 2013; Ganann et al., 2019; Higgins et al., 2018; Judd et al., 2011; McCauley et al., 2019; McKenzie-McHarg et al., 2014; Noonan et al., 2018; Reed et al., 2014; Rowan et al., 2010</w:t>
            </w:r>
          </w:p>
          <w:p w14:paraId="6336629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Dennis &amp; Chung-Lee, 2006; Megnin-Viggars et al., 2015; Morrell et al., 2016; Slade et al., 2020; Viveiros &amp; Darling, 2018</w:t>
            </w:r>
          </w:p>
          <w:p w14:paraId="3871CE9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010F617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0" w:type="pct"/>
          </w:tcPr>
          <w:p w14:paraId="461B715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McCauley</w:t>
            </w:r>
          </w:p>
          <w:p w14:paraId="25D8FA2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p w14:paraId="100117F7"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15010CE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Beeber</w:t>
            </w:r>
          </w:p>
          <w:p w14:paraId="6458361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27209B4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28F0C03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Judd</w:t>
            </w:r>
          </w:p>
          <w:p w14:paraId="370BC3C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59622DB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Reed</w:t>
            </w:r>
          </w:p>
          <w:p w14:paraId="2680947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2DCC1137"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08BD341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Byatt</w:t>
            </w:r>
          </w:p>
          <w:p w14:paraId="5D84FAC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5196622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113FC67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56AE60D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7AC69B4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McKenzie-McHarg</w:t>
            </w:r>
          </w:p>
          <w:p w14:paraId="303FFE5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220BFEEF"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more studies rated as high or moderate confidence.</w:t>
            </w:r>
          </w:p>
        </w:tc>
      </w:tr>
      <w:tr w:rsidR="00E965A2" w:rsidRPr="00265687" w14:paraId="2DB09D4B" w14:textId="77777777" w:rsidTr="00003995">
        <w:tc>
          <w:tcPr>
            <w:tcW w:w="736" w:type="pct"/>
          </w:tcPr>
          <w:p w14:paraId="480154F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2.1.2 HCP’s knowledge about services/referral pathways</w:t>
            </w:r>
          </w:p>
        </w:tc>
        <w:tc>
          <w:tcPr>
            <w:tcW w:w="785" w:type="pct"/>
          </w:tcPr>
          <w:p w14:paraId="7625F30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knowledge about PMH services and referral pathways actual &amp; perceived by women</w:t>
            </w:r>
          </w:p>
        </w:tc>
        <w:tc>
          <w:tcPr>
            <w:tcW w:w="958" w:type="pct"/>
          </w:tcPr>
          <w:p w14:paraId="28E854B1"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Ganann et al., 2019; Higgins et al., 2018; Rowan et al., 2010</w:t>
            </w:r>
          </w:p>
          <w:p w14:paraId="7405D05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Hansotte et al., 2017; Sambrook Smith et al., 2019; Slade et al., 2020; Viveiros &amp; Darling, 2018</w:t>
            </w:r>
          </w:p>
        </w:tc>
        <w:tc>
          <w:tcPr>
            <w:tcW w:w="158" w:type="pct"/>
          </w:tcPr>
          <w:p w14:paraId="1E172CE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0" w:type="pct"/>
          </w:tcPr>
          <w:p w14:paraId="7A220E27"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0785DA8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Gannan</w:t>
            </w:r>
          </w:p>
          <w:p w14:paraId="351CC69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2BFBFB2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7CDFE98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tc>
        <w:tc>
          <w:tcPr>
            <w:tcW w:w="429" w:type="pct"/>
          </w:tcPr>
          <w:p w14:paraId="350DD2E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6E5FD37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6D411C6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p w14:paraId="75EB8C08"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68680F6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7B23F66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even split, round up more SRs</w:t>
            </w:r>
          </w:p>
        </w:tc>
      </w:tr>
      <w:tr w:rsidR="00E965A2" w:rsidRPr="00265687" w14:paraId="54C0899E" w14:textId="77777777" w:rsidTr="00003995">
        <w:tc>
          <w:tcPr>
            <w:tcW w:w="736" w:type="pct"/>
          </w:tcPr>
          <w:p w14:paraId="6B8F11F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2.1.3 HCPs confidence</w:t>
            </w:r>
          </w:p>
        </w:tc>
        <w:tc>
          <w:tcPr>
            <w:tcW w:w="785" w:type="pct"/>
          </w:tcPr>
          <w:p w14:paraId="6AB255F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confidence in addressing PMH</w:t>
            </w:r>
          </w:p>
        </w:tc>
        <w:tc>
          <w:tcPr>
            <w:tcW w:w="958" w:type="pct"/>
          </w:tcPr>
          <w:p w14:paraId="569938DA" w14:textId="77777777" w:rsidR="00E965A2" w:rsidRPr="00265687" w:rsidRDefault="00E965A2" w:rsidP="00003995">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 xml:space="preserve">Atif et al., 2019; Bina et al., 2018; Cox et al., 2017; Fernandez y Garcia et al., 2011; Higgins et al., 2018; Munodawafa et al., 2017; </w:t>
            </w:r>
            <w:r w:rsidRPr="00265687">
              <w:rPr>
                <w:rFonts w:ascii="Times New Roman" w:hAnsi="Times New Roman" w:cs="Times New Roman"/>
                <w:i/>
                <w:sz w:val="16"/>
                <w:lang w:val="es-ES"/>
              </w:rPr>
              <w:lastRenderedPageBreak/>
              <w:t>Nithianandan et al., 2016; Ormsby et al., 2018; Reed et al., 2014</w:t>
            </w:r>
          </w:p>
          <w:p w14:paraId="4F26E5A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2245051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9</w:t>
            </w:r>
          </w:p>
        </w:tc>
        <w:tc>
          <w:tcPr>
            <w:tcW w:w="580" w:type="pct"/>
          </w:tcPr>
          <w:p w14:paraId="4CE04F5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54519C1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59DE217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Ormsby</w:t>
            </w:r>
          </w:p>
        </w:tc>
        <w:tc>
          <w:tcPr>
            <w:tcW w:w="469" w:type="pct"/>
          </w:tcPr>
          <w:p w14:paraId="39B7409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18</w:t>
            </w:r>
          </w:p>
          <w:p w14:paraId="46353FE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03E0C44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Fernandez y Garcia</w:t>
            </w:r>
          </w:p>
          <w:p w14:paraId="60D799D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4A3574B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Reed</w:t>
            </w:r>
          </w:p>
          <w:p w14:paraId="7FCC7A3B"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627A282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Atif 19</w:t>
            </w:r>
          </w:p>
        </w:tc>
        <w:tc>
          <w:tcPr>
            <w:tcW w:w="434" w:type="pct"/>
          </w:tcPr>
          <w:p w14:paraId="0362A68D"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7A9C2EE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most studies rated as high or </w:t>
            </w:r>
            <w:r w:rsidRPr="00265687">
              <w:rPr>
                <w:rFonts w:ascii="Times New Roman" w:hAnsi="Times New Roman" w:cs="Times New Roman"/>
                <w:sz w:val="16"/>
                <w:szCs w:val="16"/>
              </w:rPr>
              <w:lastRenderedPageBreak/>
              <w:t>moderate confidence.</w:t>
            </w:r>
          </w:p>
        </w:tc>
      </w:tr>
      <w:tr w:rsidR="00E965A2" w:rsidRPr="00265687" w14:paraId="4D78B204" w14:textId="77777777" w:rsidTr="00003995">
        <w:tc>
          <w:tcPr>
            <w:tcW w:w="5000" w:type="pct"/>
            <w:gridSpan w:val="9"/>
            <w:shd w:val="clear" w:color="auto" w:fill="DBDBDB" w:themeFill="accent3" w:themeFillTint="66"/>
          </w:tcPr>
          <w:p w14:paraId="796C5EAB"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lastRenderedPageBreak/>
              <w:t>2.2 Getting it right the first time</w:t>
            </w:r>
          </w:p>
        </w:tc>
      </w:tr>
      <w:tr w:rsidR="00E965A2" w:rsidRPr="00265687" w14:paraId="4AFBF907" w14:textId="77777777" w:rsidTr="00003995">
        <w:tc>
          <w:tcPr>
            <w:tcW w:w="736" w:type="pct"/>
          </w:tcPr>
          <w:p w14:paraId="2A5232E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2.2.1 Being dismissive or normalising symptoms</w:t>
            </w:r>
          </w:p>
        </w:tc>
        <w:tc>
          <w:tcPr>
            <w:tcW w:w="785" w:type="pct"/>
          </w:tcPr>
          <w:p w14:paraId="2E7672A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dismissing or normalising symptoms</w:t>
            </w:r>
          </w:p>
        </w:tc>
        <w:tc>
          <w:tcPr>
            <w:tcW w:w="958" w:type="pct"/>
          </w:tcPr>
          <w:p w14:paraId="111A0C46"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 xml:space="preserve">Ganann et al., 2019 </w:t>
            </w:r>
          </w:p>
          <w:p w14:paraId="2F55A077"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Button et al., 2017; Dennis &amp; Chung-Lee, 2006; Forde et al., 2020; Hadfield &amp; Wittkowski, 2017; Hansotte et al., 2017; Megnin-Viggars et al., 2015; Newman et al., 2019; Sorsa et al., 2021; Watson et al., 2019</w:t>
            </w:r>
          </w:p>
          <w:p w14:paraId="02F9B03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3FE96C7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0" w:type="pct"/>
          </w:tcPr>
          <w:p w14:paraId="78F4010D"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43D95A6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046E76B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p w14:paraId="1CCE0F8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2836398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p w14:paraId="4349020C"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62E06DA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56DCBEE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6D95303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0F68591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tc>
        <w:tc>
          <w:tcPr>
            <w:tcW w:w="434" w:type="pct"/>
          </w:tcPr>
          <w:p w14:paraId="312ECBC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6B4B8360"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4EF85B7B" w14:textId="77777777" w:rsidTr="00003995">
        <w:tc>
          <w:tcPr>
            <w:tcW w:w="736" w:type="pct"/>
          </w:tcPr>
          <w:p w14:paraId="3F8D64D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2.2.2 Not recognising help seeking or PMI</w:t>
            </w:r>
          </w:p>
        </w:tc>
        <w:tc>
          <w:tcPr>
            <w:tcW w:w="785" w:type="pct"/>
          </w:tcPr>
          <w:p w14:paraId="2E61BFF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not recognising help seeking or PMI</w:t>
            </w:r>
          </w:p>
        </w:tc>
        <w:tc>
          <w:tcPr>
            <w:tcW w:w="958" w:type="pct"/>
          </w:tcPr>
          <w:p w14:paraId="770EC50A"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Bina, 2020; Button et al., 2017; Megnin-Viggars et al., 2015; Tobin et al., 2018; Watson et al., 2019</w:t>
            </w:r>
          </w:p>
        </w:tc>
        <w:tc>
          <w:tcPr>
            <w:tcW w:w="158" w:type="pct"/>
          </w:tcPr>
          <w:p w14:paraId="0CAA0E1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w:t>
            </w:r>
          </w:p>
        </w:tc>
        <w:tc>
          <w:tcPr>
            <w:tcW w:w="580" w:type="pct"/>
          </w:tcPr>
          <w:p w14:paraId="72EA5859"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234C34B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3D8DFC3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0B1166E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35A58A1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2AAFEDA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tc>
        <w:tc>
          <w:tcPr>
            <w:tcW w:w="434" w:type="pct"/>
          </w:tcPr>
          <w:p w14:paraId="3A3CC9DA"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491894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485F95BB" w14:textId="77777777" w:rsidTr="00003995">
        <w:tc>
          <w:tcPr>
            <w:tcW w:w="736" w:type="pct"/>
          </w:tcPr>
          <w:p w14:paraId="28DA6A2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2.2.3 Focussing on infant</w:t>
            </w:r>
          </w:p>
        </w:tc>
        <w:tc>
          <w:tcPr>
            <w:tcW w:w="785" w:type="pct"/>
          </w:tcPr>
          <w:p w14:paraId="5E2841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focussing mainly on the infant</w:t>
            </w:r>
          </w:p>
        </w:tc>
        <w:tc>
          <w:tcPr>
            <w:tcW w:w="958" w:type="pct"/>
          </w:tcPr>
          <w:p w14:paraId="495831D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Button et al., 2017; Megnin-Viggars et al., 2015</w:t>
            </w:r>
          </w:p>
        </w:tc>
        <w:tc>
          <w:tcPr>
            <w:tcW w:w="158" w:type="pct"/>
          </w:tcPr>
          <w:p w14:paraId="577DA3B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09FE27FB"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765077C3"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080F5AC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501AE76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tc>
        <w:tc>
          <w:tcPr>
            <w:tcW w:w="434" w:type="pct"/>
          </w:tcPr>
          <w:p w14:paraId="332C2319"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3F4B5744"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all studies have moderate methodological concerns</w:t>
            </w:r>
          </w:p>
        </w:tc>
      </w:tr>
      <w:tr w:rsidR="00E965A2" w:rsidRPr="00265687" w14:paraId="35E75399" w14:textId="77777777" w:rsidTr="00003995">
        <w:tc>
          <w:tcPr>
            <w:tcW w:w="736" w:type="pct"/>
          </w:tcPr>
          <w:p w14:paraId="1600127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2.2.4 Making time</w:t>
            </w:r>
          </w:p>
        </w:tc>
        <w:tc>
          <w:tcPr>
            <w:tcW w:w="785" w:type="pct"/>
          </w:tcPr>
          <w:p w14:paraId="1BD0DF1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A HCP who makes time to address PMH concerns</w:t>
            </w:r>
          </w:p>
        </w:tc>
        <w:tc>
          <w:tcPr>
            <w:tcW w:w="958" w:type="pct"/>
          </w:tcPr>
          <w:p w14:paraId="370AF48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Feinberg et al., 2006; Myors et al., 2015; Noonan et al., 2018</w:t>
            </w:r>
          </w:p>
          <w:p w14:paraId="3A53DF5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Hewitt et al., 2009; Megnin-Viggars et al., 2015; Slade et al., 2020; Viveiros &amp; Darling, 2018; Watson et al., 2019</w:t>
            </w:r>
          </w:p>
        </w:tc>
        <w:tc>
          <w:tcPr>
            <w:tcW w:w="158" w:type="pct"/>
          </w:tcPr>
          <w:p w14:paraId="3EAB256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0" w:type="pct"/>
          </w:tcPr>
          <w:p w14:paraId="46C7C23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tc>
        <w:tc>
          <w:tcPr>
            <w:tcW w:w="469" w:type="pct"/>
          </w:tcPr>
          <w:p w14:paraId="7873200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73A0C17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Myors</w:t>
            </w:r>
          </w:p>
          <w:p w14:paraId="792C293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2E36C5A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06487B7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25B4829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1903450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2D7B294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68EA800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073F399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1F91C2B5"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1C69FB19" w14:textId="77777777" w:rsidTr="00003995">
        <w:tc>
          <w:tcPr>
            <w:tcW w:w="736" w:type="pct"/>
          </w:tcPr>
          <w:p w14:paraId="067EF71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2.2.5 Assessment specific behaviours</w:t>
            </w:r>
          </w:p>
        </w:tc>
        <w:tc>
          <w:tcPr>
            <w:tcW w:w="785" w:type="pct"/>
          </w:tcPr>
          <w:p w14:paraId="4FDAE7E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assessment specific behaviours, such as asking about PMH, carrying out in a tick box way, or in a personalised way</w:t>
            </w:r>
          </w:p>
        </w:tc>
        <w:tc>
          <w:tcPr>
            <w:tcW w:w="958" w:type="pct"/>
          </w:tcPr>
          <w:p w14:paraId="1BFF76FD" w14:textId="77777777" w:rsidR="00E965A2" w:rsidRPr="00265687" w:rsidRDefault="00E965A2" w:rsidP="00003995">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Doering et al., 2017; Fernandez y Garcia et al., 2011; Nithianandan et al., 2016; Segre et al., 2014; Vik et al., 2009; Williams et al., 2016</w:t>
            </w:r>
          </w:p>
          <w:p w14:paraId="32849B3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Brealey et al., 2010; Sambrook Smith et al., 2019; Schmied et al., 2017; Slade et al., 2020; Viveiros &amp; Darling, 2018; Watson et al., 2019</w:t>
            </w:r>
          </w:p>
        </w:tc>
        <w:tc>
          <w:tcPr>
            <w:tcW w:w="158" w:type="pct"/>
          </w:tcPr>
          <w:p w14:paraId="2443FFA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w:t>
            </w:r>
          </w:p>
        </w:tc>
        <w:tc>
          <w:tcPr>
            <w:tcW w:w="580" w:type="pct"/>
          </w:tcPr>
          <w:p w14:paraId="5FB4502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237322B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13076B59"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69" w:type="pct"/>
          </w:tcPr>
          <w:p w14:paraId="1EADF6E6"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sz w:val="16"/>
                <w:szCs w:val="16"/>
              </w:rPr>
              <w:t>Fernandez y Garcia</w:t>
            </w:r>
          </w:p>
          <w:p w14:paraId="12E58690"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sz w:val="16"/>
                <w:szCs w:val="16"/>
              </w:rPr>
              <w:t>Segre</w:t>
            </w:r>
          </w:p>
          <w:p w14:paraId="0A67EDD9"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sz w:val="16"/>
                <w:szCs w:val="16"/>
              </w:rPr>
              <w:t>Williams</w:t>
            </w:r>
          </w:p>
          <w:p w14:paraId="501C65C3" w14:textId="77777777" w:rsidR="00E965A2" w:rsidRPr="00265687" w:rsidRDefault="00E965A2" w:rsidP="00003995">
            <w:pPr>
              <w:spacing w:line="240" w:lineRule="auto"/>
              <w:ind w:firstLine="0"/>
              <w:rPr>
                <w:rFonts w:ascii="Times New Roman" w:hAnsi="Times New Roman" w:cs="Times New Roman"/>
                <w:iCs/>
                <w:sz w:val="16"/>
                <w:szCs w:val="16"/>
              </w:rPr>
            </w:pPr>
            <w:r w:rsidRPr="00265687">
              <w:rPr>
                <w:rFonts w:ascii="Times New Roman" w:hAnsi="Times New Roman" w:cs="Times New Roman"/>
                <w:iCs/>
                <w:sz w:val="16"/>
                <w:szCs w:val="16"/>
              </w:rPr>
              <w:t>Sambrook-Smith</w:t>
            </w:r>
          </w:p>
          <w:p w14:paraId="6C78D210" w14:textId="77777777" w:rsidR="00E965A2" w:rsidRPr="00265687" w:rsidRDefault="00E965A2" w:rsidP="00003995">
            <w:pPr>
              <w:spacing w:line="240" w:lineRule="auto"/>
              <w:ind w:firstLine="0"/>
              <w:rPr>
                <w:rFonts w:ascii="Times New Roman" w:hAnsi="Times New Roman" w:cs="Times New Roman"/>
                <w:iCs/>
                <w:sz w:val="16"/>
                <w:szCs w:val="16"/>
              </w:rPr>
            </w:pPr>
            <w:r w:rsidRPr="00265687">
              <w:rPr>
                <w:rFonts w:ascii="Times New Roman" w:hAnsi="Times New Roman" w:cs="Times New Roman"/>
                <w:iCs/>
                <w:sz w:val="16"/>
                <w:szCs w:val="16"/>
              </w:rPr>
              <w:t>Slade</w:t>
            </w:r>
          </w:p>
          <w:p w14:paraId="721FA30D" w14:textId="77777777" w:rsidR="00E965A2" w:rsidRPr="00265687" w:rsidRDefault="00E965A2" w:rsidP="00003995">
            <w:pPr>
              <w:spacing w:line="240" w:lineRule="auto"/>
              <w:ind w:firstLine="0"/>
              <w:rPr>
                <w:rFonts w:ascii="Times New Roman" w:hAnsi="Times New Roman" w:cs="Times New Roman"/>
                <w:iCs/>
                <w:sz w:val="16"/>
                <w:szCs w:val="16"/>
              </w:rPr>
            </w:pPr>
            <w:r w:rsidRPr="00265687">
              <w:rPr>
                <w:rFonts w:ascii="Times New Roman" w:hAnsi="Times New Roman" w:cs="Times New Roman"/>
                <w:iCs/>
                <w:sz w:val="16"/>
                <w:szCs w:val="16"/>
              </w:rPr>
              <w:t>Watson</w:t>
            </w:r>
          </w:p>
        </w:tc>
        <w:tc>
          <w:tcPr>
            <w:tcW w:w="429" w:type="pct"/>
          </w:tcPr>
          <w:p w14:paraId="42BF11A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Vik</w:t>
            </w:r>
          </w:p>
          <w:p w14:paraId="3714E4B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37984C4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68B21D6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tc>
        <w:tc>
          <w:tcPr>
            <w:tcW w:w="451" w:type="pct"/>
          </w:tcPr>
          <w:p w14:paraId="141FA0D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384CA5EB" w14:textId="77777777" w:rsidTr="00003995">
        <w:tc>
          <w:tcPr>
            <w:tcW w:w="5000" w:type="pct"/>
            <w:gridSpan w:val="9"/>
            <w:shd w:val="clear" w:color="auto" w:fill="DBDBDB" w:themeFill="accent3" w:themeFillTint="66"/>
          </w:tcPr>
          <w:p w14:paraId="28D2C141"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2.3 HCPs’ attributes</w:t>
            </w:r>
          </w:p>
        </w:tc>
      </w:tr>
      <w:tr w:rsidR="00E965A2" w:rsidRPr="00265687" w14:paraId="7E1DAFE0" w14:textId="77777777" w:rsidTr="00003995">
        <w:tc>
          <w:tcPr>
            <w:tcW w:w="736" w:type="pct"/>
          </w:tcPr>
          <w:p w14:paraId="6F85F0E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2.3.1 Similar demographic characteristics</w:t>
            </w:r>
          </w:p>
        </w:tc>
        <w:tc>
          <w:tcPr>
            <w:tcW w:w="785" w:type="pct"/>
          </w:tcPr>
          <w:p w14:paraId="0077A12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 having similar demographics to women</w:t>
            </w:r>
          </w:p>
        </w:tc>
        <w:tc>
          <w:tcPr>
            <w:tcW w:w="958" w:type="pct"/>
          </w:tcPr>
          <w:p w14:paraId="086E9A9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Leger et al., 2015; Masood et al., 2015; Nithianandan et al., 2016; Shorey &amp; Ng, 2019</w:t>
            </w:r>
          </w:p>
          <w:p w14:paraId="162DF7B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lastRenderedPageBreak/>
              <w:t>Dennis &amp; Chung-Lee, 2006; Watson et al., 2019</w:t>
            </w:r>
          </w:p>
        </w:tc>
        <w:tc>
          <w:tcPr>
            <w:tcW w:w="158" w:type="pct"/>
          </w:tcPr>
          <w:p w14:paraId="7C83F5E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6</w:t>
            </w:r>
          </w:p>
        </w:tc>
        <w:tc>
          <w:tcPr>
            <w:tcW w:w="580" w:type="pct"/>
          </w:tcPr>
          <w:p w14:paraId="6D7ED5F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tc>
        <w:tc>
          <w:tcPr>
            <w:tcW w:w="469" w:type="pct"/>
          </w:tcPr>
          <w:p w14:paraId="35E3117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Leger</w:t>
            </w:r>
          </w:p>
          <w:p w14:paraId="6321C6A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21CE553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p w14:paraId="03A7544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Watson</w:t>
            </w:r>
          </w:p>
          <w:p w14:paraId="4558FDF6"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02139BDD"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454F2A6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091B79D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most studies </w:t>
            </w:r>
            <w:r w:rsidRPr="00265687">
              <w:rPr>
                <w:rFonts w:ascii="Times New Roman" w:hAnsi="Times New Roman" w:cs="Times New Roman"/>
                <w:sz w:val="16"/>
                <w:szCs w:val="16"/>
              </w:rPr>
              <w:lastRenderedPageBreak/>
              <w:t>rated as high or moderate confidence.</w:t>
            </w:r>
          </w:p>
        </w:tc>
      </w:tr>
      <w:tr w:rsidR="00E965A2" w:rsidRPr="00265687" w14:paraId="7F32FC92" w14:textId="77777777" w:rsidTr="00003995">
        <w:tc>
          <w:tcPr>
            <w:tcW w:w="736" w:type="pct"/>
          </w:tcPr>
          <w:p w14:paraId="53F119D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2.3.2 Culturally sensitive</w:t>
            </w:r>
          </w:p>
        </w:tc>
        <w:tc>
          <w:tcPr>
            <w:tcW w:w="785" w:type="pct"/>
          </w:tcPr>
          <w:p w14:paraId="637A05E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 being sensitive to women from all cultures</w:t>
            </w:r>
          </w:p>
        </w:tc>
        <w:tc>
          <w:tcPr>
            <w:tcW w:w="958" w:type="pct"/>
          </w:tcPr>
          <w:p w14:paraId="5B4262B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Cs/>
                <w:noProof/>
                <w:sz w:val="16"/>
                <w:szCs w:val="16"/>
              </w:rPr>
              <w:t>Kassam, 2019; Nilaweera et al., 2014; Viveiros &amp; Darling, 2018; Watson et al., 2019</w:t>
            </w:r>
            <w:r w:rsidRPr="00265687">
              <w:rPr>
                <w:rFonts w:ascii="Times New Roman" w:hAnsi="Times New Roman" w:cs="Times New Roman"/>
                <w:i/>
                <w:iCs/>
                <w:sz w:val="16"/>
                <w:szCs w:val="16"/>
              </w:rPr>
              <w:t xml:space="preserve">; </w:t>
            </w:r>
          </w:p>
        </w:tc>
        <w:tc>
          <w:tcPr>
            <w:tcW w:w="158" w:type="pct"/>
          </w:tcPr>
          <w:p w14:paraId="1CD1C57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0" w:type="pct"/>
          </w:tcPr>
          <w:p w14:paraId="369269C3"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29F0226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7C64849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3740418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Nilaweera</w:t>
            </w:r>
          </w:p>
          <w:p w14:paraId="371F487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462CB8D4"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3CBB798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 even split, round up because all SRs</w:t>
            </w:r>
          </w:p>
        </w:tc>
      </w:tr>
      <w:tr w:rsidR="00E965A2" w:rsidRPr="00265687" w14:paraId="7960FA75" w14:textId="77777777" w:rsidTr="00003995">
        <w:tc>
          <w:tcPr>
            <w:tcW w:w="736" w:type="pct"/>
          </w:tcPr>
          <w:p w14:paraId="621071E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2.3.3 Valued characteristics </w:t>
            </w:r>
          </w:p>
        </w:tc>
        <w:tc>
          <w:tcPr>
            <w:tcW w:w="785" w:type="pct"/>
          </w:tcPr>
          <w:p w14:paraId="2BEDED4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possessing valued characteristics Trustworthy, empathetic, kind, caring with a genuinine interest, and going above and beyond</w:t>
            </w:r>
          </w:p>
        </w:tc>
        <w:tc>
          <w:tcPr>
            <w:tcW w:w="958" w:type="pct"/>
          </w:tcPr>
          <w:p w14:paraId="61B39DA5"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Atif et al., 2016, 2019; Boyd et al., 2011; Doering et al., 2017; Kerker et al., 2018; Kim et al., 2009; Munodawafa et al., 2017; Myors et al., 2015; Pugh et al., 2015; Shorey &amp; Ng, 2019</w:t>
            </w:r>
          </w:p>
          <w:p w14:paraId="42B3A446"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Brealey et al., 2010; Button et al., 2017; Dennis &amp; Chung-Lee, 2006; Forde et al., 2020; Hadfield &amp; Wittkowski, 2017; Hewitt et al., 2009; Jones, 2019; Megnin-Viggars et al., 2015; Morrell et al., 2016; Newman et al., 2019; Schmied et al., 2017; Slade et al., 2020; Staneva et al., 2015; Watson et al., 2019</w:t>
            </w:r>
          </w:p>
          <w:p w14:paraId="00B1E96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4453AAF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25</w:t>
            </w:r>
          </w:p>
        </w:tc>
        <w:tc>
          <w:tcPr>
            <w:tcW w:w="580" w:type="pct"/>
          </w:tcPr>
          <w:p w14:paraId="58D2DFC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2CDFF25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2660E90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Pugh</w:t>
            </w:r>
          </w:p>
          <w:p w14:paraId="6ED8307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p w14:paraId="76C93D2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p w14:paraId="213B9986"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067D5E8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129F56E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05D4AB5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Myors</w:t>
            </w:r>
          </w:p>
          <w:p w14:paraId="4ABCF10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p w14:paraId="4D7798F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Forde</w:t>
            </w:r>
          </w:p>
          <w:p w14:paraId="0035475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16FF23E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5512524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p w14:paraId="3AEC514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16F820F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481642D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Kim</w:t>
            </w:r>
          </w:p>
          <w:p w14:paraId="190FA73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088E08A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4BEDA55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76ECAB7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707A91D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29394244"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14AFF2D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3D04B8B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792E1ED0"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6ADA8FD7" w14:textId="77777777" w:rsidTr="00003995">
        <w:tc>
          <w:tcPr>
            <w:tcW w:w="5000" w:type="pct"/>
            <w:gridSpan w:val="9"/>
            <w:shd w:val="clear" w:color="auto" w:fill="A5A5A5" w:themeFill="accent3"/>
          </w:tcPr>
          <w:p w14:paraId="1875661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3. Interpersonal</w:t>
            </w:r>
          </w:p>
        </w:tc>
      </w:tr>
      <w:tr w:rsidR="00E965A2" w:rsidRPr="00265687" w14:paraId="50A31BA5" w14:textId="77777777" w:rsidTr="00003995">
        <w:tc>
          <w:tcPr>
            <w:tcW w:w="736" w:type="pct"/>
          </w:tcPr>
          <w:p w14:paraId="5DCD253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3.1 Trusting relationship and rapport</w:t>
            </w:r>
          </w:p>
        </w:tc>
        <w:tc>
          <w:tcPr>
            <w:tcW w:w="785" w:type="pct"/>
          </w:tcPr>
          <w:p w14:paraId="221A720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development of a trusting relationship and rapport between HCP and women</w:t>
            </w:r>
          </w:p>
        </w:tc>
        <w:tc>
          <w:tcPr>
            <w:tcW w:w="958" w:type="pct"/>
          </w:tcPr>
          <w:p w14:paraId="6B941F7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Atif et al., 2016; Doering et al., 2017; Feinberg et al., 2006; Ganann et al., 2019; Hadfield et al., 2019; Higgins et al., 2018; Kerker et al., 2018; Leger et al., 2015; Noonan et al., 2018; Shakespeare et al., 2003; Shorey &amp; Ng, 2019; Willey et al., 2018; Williams et al., 2016; Young et al., 2019</w:t>
            </w:r>
            <w:r w:rsidRPr="00265687">
              <w:rPr>
                <w:rFonts w:ascii="Times New Roman" w:hAnsi="Times New Roman" w:cs="Times New Roman"/>
                <w:i/>
                <w:iCs/>
                <w:sz w:val="16"/>
                <w:szCs w:val="16"/>
              </w:rPr>
              <w:t xml:space="preserve"> </w:t>
            </w:r>
          </w:p>
          <w:p w14:paraId="2C893F8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Brealey et al., 2010; Dennis &amp; Chung-Lee, 2006; Hadfield &amp; Wittkowski, 2017; Hewitt et al., 2009; Megnin-Viggars et al., 2015; Morrell et al., 2016; Scope et al., 2017; Tobin et al., 2018</w:t>
            </w:r>
          </w:p>
        </w:tc>
        <w:tc>
          <w:tcPr>
            <w:tcW w:w="158" w:type="pct"/>
          </w:tcPr>
          <w:p w14:paraId="2855EEC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23</w:t>
            </w:r>
          </w:p>
        </w:tc>
        <w:tc>
          <w:tcPr>
            <w:tcW w:w="580" w:type="pct"/>
          </w:tcPr>
          <w:p w14:paraId="03B6745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0999962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Young</w:t>
            </w:r>
          </w:p>
          <w:p w14:paraId="642235A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p w14:paraId="0F7024B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p w14:paraId="5C3CBE3E"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215B3AD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43ED670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059578D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5249A40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6E2664C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Leger</w:t>
            </w:r>
          </w:p>
          <w:p w14:paraId="51F5F88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644BDD7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p w14:paraId="4D7BB4D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p w14:paraId="1DD6303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p w14:paraId="3D04951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73D81E1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4506716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tc>
        <w:tc>
          <w:tcPr>
            <w:tcW w:w="429" w:type="pct"/>
          </w:tcPr>
          <w:p w14:paraId="233966B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Hadfield 19</w:t>
            </w:r>
          </w:p>
          <w:p w14:paraId="6C27573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3C4900A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57AA679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3F543DA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1DCD316B"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34" w:type="pct"/>
          </w:tcPr>
          <w:p w14:paraId="63ED86D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2A5C114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290F725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07489970" w14:textId="77777777" w:rsidTr="00003995">
        <w:tc>
          <w:tcPr>
            <w:tcW w:w="736" w:type="pct"/>
          </w:tcPr>
          <w:p w14:paraId="1C687C2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3.2 Language barriers</w:t>
            </w:r>
          </w:p>
        </w:tc>
        <w:tc>
          <w:tcPr>
            <w:tcW w:w="785" w:type="pct"/>
          </w:tcPr>
          <w:p w14:paraId="6F70D87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Difficulties in communicating due to language barriers</w:t>
            </w:r>
          </w:p>
        </w:tc>
        <w:tc>
          <w:tcPr>
            <w:tcW w:w="958" w:type="pct"/>
          </w:tcPr>
          <w:p w14:paraId="572DFCD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Beeber et al., 2009; Doering et al., 2017; Ganann et al., 2019; Masood et al., 2015; Munodawafa et al., 2017; Nithianandan et al., 2016; Pineros-</w:t>
            </w:r>
            <w:r w:rsidRPr="00265687">
              <w:rPr>
                <w:rFonts w:ascii="Times New Roman" w:hAnsi="Times New Roman" w:cs="Times New Roman"/>
                <w:i/>
                <w:iCs/>
                <w:noProof/>
                <w:sz w:val="16"/>
                <w:szCs w:val="16"/>
              </w:rPr>
              <w:lastRenderedPageBreak/>
              <w:t>Leano et al., 2015; Segre et al., 2014; Willey et al., 2018; Williams et al., 2016</w:t>
            </w:r>
          </w:p>
          <w:p w14:paraId="1A499E3F"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Dennis &amp; Chung-Lee, 2006; Hansotte et al., 2017; Megnin-Viggars et al., 2015; Sambrook Smith et al., 2019; Schmied et al., 2017; Watson et al., 2019</w:t>
            </w:r>
          </w:p>
          <w:p w14:paraId="15489E1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1DE4E17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16</w:t>
            </w:r>
          </w:p>
        </w:tc>
        <w:tc>
          <w:tcPr>
            <w:tcW w:w="580" w:type="pct"/>
          </w:tcPr>
          <w:p w14:paraId="70A9A22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36BDFCB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3195F1B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6067F55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Pineros-Leano</w:t>
            </w:r>
          </w:p>
        </w:tc>
        <w:tc>
          <w:tcPr>
            <w:tcW w:w="469" w:type="pct"/>
          </w:tcPr>
          <w:p w14:paraId="0F3CEDD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Beeber</w:t>
            </w:r>
          </w:p>
          <w:p w14:paraId="2F7D310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70CE2D1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30A5700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Segre</w:t>
            </w:r>
          </w:p>
          <w:p w14:paraId="55C782E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Willey</w:t>
            </w:r>
          </w:p>
          <w:p w14:paraId="61F5A0E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272A6E4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21D446C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p w14:paraId="67ACC6C4"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6A5232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Hansotte</w:t>
            </w:r>
          </w:p>
          <w:p w14:paraId="6E572FA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21CC217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2F2BA49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385746EC"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most studies rated as high or </w:t>
            </w:r>
            <w:r w:rsidRPr="00265687">
              <w:rPr>
                <w:rFonts w:ascii="Times New Roman" w:hAnsi="Times New Roman" w:cs="Times New Roman"/>
                <w:sz w:val="16"/>
                <w:szCs w:val="16"/>
              </w:rPr>
              <w:lastRenderedPageBreak/>
              <w:t>moderate confidence.</w:t>
            </w:r>
          </w:p>
        </w:tc>
      </w:tr>
      <w:tr w:rsidR="00E965A2" w:rsidRPr="00265687" w14:paraId="35E54B86" w14:textId="77777777" w:rsidTr="00003995">
        <w:tc>
          <w:tcPr>
            <w:tcW w:w="736" w:type="pct"/>
          </w:tcPr>
          <w:p w14:paraId="07331F0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3.3 Shared decision making</w:t>
            </w:r>
          </w:p>
        </w:tc>
        <w:tc>
          <w:tcPr>
            <w:tcW w:w="785" w:type="pct"/>
          </w:tcPr>
          <w:p w14:paraId="4F3A120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Shared decision making between HCP and woman</w:t>
            </w:r>
          </w:p>
        </w:tc>
        <w:tc>
          <w:tcPr>
            <w:tcW w:w="958" w:type="pct"/>
          </w:tcPr>
          <w:p w14:paraId="01D18EA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Hadfield &amp; Wittkowski, 2017; Megnin-Viggars et al., 2015; Randall &amp; Briscoe, 2018; Scope et al., 2017</w:t>
            </w:r>
          </w:p>
        </w:tc>
        <w:tc>
          <w:tcPr>
            <w:tcW w:w="158" w:type="pct"/>
          </w:tcPr>
          <w:p w14:paraId="5F5956E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0" w:type="pct"/>
          </w:tcPr>
          <w:p w14:paraId="0168DB4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tc>
        <w:tc>
          <w:tcPr>
            <w:tcW w:w="469" w:type="pct"/>
          </w:tcPr>
          <w:p w14:paraId="2EB0219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36052A39"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7F318A8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2A9D7AC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Randall</w:t>
            </w:r>
          </w:p>
          <w:p w14:paraId="767CBED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tc>
        <w:tc>
          <w:tcPr>
            <w:tcW w:w="434" w:type="pct"/>
          </w:tcPr>
          <w:p w14:paraId="2AB26366"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189C0E82"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770CF707" w14:textId="77777777" w:rsidTr="00003995">
        <w:tc>
          <w:tcPr>
            <w:tcW w:w="736" w:type="pct"/>
          </w:tcPr>
          <w:p w14:paraId="388F134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3.4 Open and honest communication</w:t>
            </w:r>
          </w:p>
        </w:tc>
        <w:tc>
          <w:tcPr>
            <w:tcW w:w="785" w:type="pct"/>
          </w:tcPr>
          <w:p w14:paraId="63E4064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Open and honest communication between HCP and woman</w:t>
            </w:r>
          </w:p>
        </w:tc>
        <w:tc>
          <w:tcPr>
            <w:tcW w:w="958" w:type="pct"/>
          </w:tcPr>
          <w:p w14:paraId="3DD0B591"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Doering et al., 2017; Shakespeare et al., 2003; Vik et al., 2009; Willey et al., 2018</w:t>
            </w:r>
          </w:p>
          <w:p w14:paraId="0AD2603C"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sz w:val="16"/>
              </w:rPr>
              <w:t>Brealey et al., 2010; Hadfield &amp; Wittkowski, 2017; Hewitt et al., 2009; Schmied et al., 2017; Watson et al., 2019</w:t>
            </w:r>
          </w:p>
          <w:p w14:paraId="43C2882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18ED4BE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0" w:type="pct"/>
          </w:tcPr>
          <w:p w14:paraId="6284D42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1CCC893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p w14:paraId="6DB96FD4"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7E03F83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p w14:paraId="7956853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p w14:paraId="0742499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150E8E1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6A6CAB9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Vik</w:t>
            </w:r>
          </w:p>
          <w:p w14:paraId="6600A1E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414F8B5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tc>
        <w:tc>
          <w:tcPr>
            <w:tcW w:w="451" w:type="pct"/>
          </w:tcPr>
          <w:p w14:paraId="23A11E1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59557EFA" w14:textId="77777777" w:rsidTr="00003995">
        <w:tc>
          <w:tcPr>
            <w:tcW w:w="5000" w:type="pct"/>
            <w:gridSpan w:val="9"/>
            <w:shd w:val="clear" w:color="auto" w:fill="A5A5A5" w:themeFill="accent3"/>
          </w:tcPr>
          <w:p w14:paraId="476DC61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 Organisational</w:t>
            </w:r>
          </w:p>
        </w:tc>
      </w:tr>
      <w:tr w:rsidR="00E965A2" w:rsidRPr="00265687" w14:paraId="3B83DFC3" w14:textId="77777777" w:rsidTr="00003995">
        <w:tc>
          <w:tcPr>
            <w:tcW w:w="5000" w:type="pct"/>
            <w:gridSpan w:val="9"/>
            <w:shd w:val="clear" w:color="auto" w:fill="DBDBDB" w:themeFill="accent3" w:themeFillTint="66"/>
          </w:tcPr>
          <w:p w14:paraId="3FF52B1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4.1 Overall organisational aspects</w:t>
            </w:r>
          </w:p>
        </w:tc>
      </w:tr>
      <w:tr w:rsidR="00E965A2" w:rsidRPr="00265687" w14:paraId="45070A58" w14:textId="77777777" w:rsidTr="00003995">
        <w:tc>
          <w:tcPr>
            <w:tcW w:w="736" w:type="pct"/>
          </w:tcPr>
          <w:p w14:paraId="4D2C08B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4.1.1 Co location and buildings</w:t>
            </w:r>
          </w:p>
        </w:tc>
        <w:tc>
          <w:tcPr>
            <w:tcW w:w="785" w:type="pct"/>
          </w:tcPr>
          <w:p w14:paraId="2D573C4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Location of the service including co-location of different services within the same building</w:t>
            </w:r>
          </w:p>
        </w:tc>
        <w:tc>
          <w:tcPr>
            <w:tcW w:w="958" w:type="pct"/>
          </w:tcPr>
          <w:p w14:paraId="06AF7969" w14:textId="77777777" w:rsidR="00E965A2" w:rsidRPr="00265687" w:rsidRDefault="00E965A2" w:rsidP="00003995">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 xml:space="preserve">Boyd et al., 2011; Cox et al., 2017; Judd et al., 2011; Munodawafa et al., 2017; Ormsby et al., 2018; Young et al., 2019; </w:t>
            </w:r>
          </w:p>
          <w:p w14:paraId="14D164E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w:t>
            </w:r>
          </w:p>
          <w:p w14:paraId="401978E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tcPr>
          <w:p w14:paraId="2C40984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0" w:type="pct"/>
          </w:tcPr>
          <w:p w14:paraId="451EAB8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44A6CAF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Ormsby</w:t>
            </w:r>
          </w:p>
          <w:p w14:paraId="4DC5EBD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Young</w:t>
            </w:r>
          </w:p>
        </w:tc>
        <w:tc>
          <w:tcPr>
            <w:tcW w:w="469" w:type="pct"/>
          </w:tcPr>
          <w:p w14:paraId="3CF50C6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1FE9332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505BCB9C"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6C9F103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Judd</w:t>
            </w:r>
          </w:p>
          <w:p w14:paraId="2D3DE11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tc>
        <w:tc>
          <w:tcPr>
            <w:tcW w:w="434" w:type="pct"/>
          </w:tcPr>
          <w:p w14:paraId="39F080AD"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5A854077"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00A9B792" w14:textId="77777777" w:rsidTr="00003995">
        <w:tc>
          <w:tcPr>
            <w:tcW w:w="736" w:type="pct"/>
          </w:tcPr>
          <w:p w14:paraId="3A24A82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4.1.2 Service integration and collaborative working</w:t>
            </w:r>
          </w:p>
        </w:tc>
        <w:tc>
          <w:tcPr>
            <w:tcW w:w="785" w:type="pct"/>
          </w:tcPr>
          <w:p w14:paraId="2B531C3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Collaborative working across services</w:t>
            </w:r>
          </w:p>
          <w:p w14:paraId="2E6E00C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958" w:type="pct"/>
            <w:shd w:val="clear" w:color="auto" w:fill="auto"/>
          </w:tcPr>
          <w:p w14:paraId="4D1FF4B5"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Atif et al., 2016; Bina et al., 2018; Boyd et al., 2011; Byatt et al., 2013; Feinberg et al., 2006; Ganann et al., 2019; Hadfield et al., 2019; Judd et al., 2011; Lind et al., 2017; Lomonaco-Haycraft et al., 2018; Myors et al., 2015; Nithianandan et al., 2016; Noonan et al., 2018; Rowan et al., 2010</w:t>
            </w:r>
          </w:p>
          <w:p w14:paraId="5DFBA29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Newman et al., 2019; Sambrook Smith et al., 2019; Watson et al., 2019</w:t>
            </w:r>
          </w:p>
        </w:tc>
        <w:tc>
          <w:tcPr>
            <w:tcW w:w="158" w:type="pct"/>
          </w:tcPr>
          <w:p w14:paraId="199A393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0" w:type="pct"/>
          </w:tcPr>
          <w:p w14:paraId="4C9237E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20770D28"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69" w:type="pct"/>
          </w:tcPr>
          <w:p w14:paraId="12407D8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4F1BFD7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18</w:t>
            </w:r>
          </w:p>
          <w:p w14:paraId="7FD7366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7E5044B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6869458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299DEBB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Myors</w:t>
            </w:r>
          </w:p>
          <w:p w14:paraId="2A67CB5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6AF124A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4018A05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p w14:paraId="0BCB285C" w14:textId="77777777" w:rsidR="00E965A2" w:rsidRPr="00265687" w:rsidRDefault="00E965A2" w:rsidP="00003995">
            <w:pPr>
              <w:spacing w:line="240" w:lineRule="auto"/>
              <w:ind w:firstLine="0"/>
              <w:rPr>
                <w:rFonts w:ascii="Times New Roman" w:hAnsi="Times New Roman" w:cs="Times New Roman"/>
                <w:i/>
                <w:iCs/>
                <w:sz w:val="16"/>
                <w:szCs w:val="16"/>
              </w:rPr>
            </w:pPr>
          </w:p>
          <w:p w14:paraId="0BD7F83D"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775AF31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Byatt</w:t>
            </w:r>
          </w:p>
          <w:p w14:paraId="772C4BE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Hadfield</w:t>
            </w:r>
          </w:p>
          <w:p w14:paraId="796A11D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Judd</w:t>
            </w:r>
          </w:p>
          <w:p w14:paraId="753AAB2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Lind</w:t>
            </w:r>
          </w:p>
          <w:p w14:paraId="66C61AB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Lomonaco-Haycraft</w:t>
            </w:r>
          </w:p>
          <w:p w14:paraId="58FAD27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2968003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tc>
        <w:tc>
          <w:tcPr>
            <w:tcW w:w="434" w:type="pct"/>
          </w:tcPr>
          <w:p w14:paraId="15DDC6B4"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781CB71C"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63346090" w14:textId="77777777" w:rsidTr="00003995">
        <w:tc>
          <w:tcPr>
            <w:tcW w:w="736" w:type="pct"/>
          </w:tcPr>
          <w:p w14:paraId="09F3FC0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 xml:space="preserve">4.1.3 Collaboration within services </w:t>
            </w:r>
          </w:p>
        </w:tc>
        <w:tc>
          <w:tcPr>
            <w:tcW w:w="785" w:type="pct"/>
          </w:tcPr>
          <w:p w14:paraId="7018AE4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Collaborative working within services</w:t>
            </w:r>
          </w:p>
          <w:p w14:paraId="7DE1AF7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958" w:type="pct"/>
            <w:shd w:val="clear" w:color="auto" w:fill="auto"/>
          </w:tcPr>
          <w:p w14:paraId="561470B8"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Ammerman et al., 2014; Cox et al., 2017; Eappen et al., 2018; Higgins et al., 2018; Judd et al., 2011; Kerker et al., 2018; Lind et al., 2017; McKenzie-McHarg et al., 2014; Munodawafa et al., 2017; Nithianandan et al., 2016; Ormsby et al., 2018; Segre et al., 2014; Willey et al., 2018</w:t>
            </w:r>
          </w:p>
          <w:p w14:paraId="6935279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Sambrook Smith et al., 2019</w:t>
            </w:r>
          </w:p>
        </w:tc>
        <w:tc>
          <w:tcPr>
            <w:tcW w:w="158" w:type="pct"/>
            <w:shd w:val="clear" w:color="auto" w:fill="auto"/>
          </w:tcPr>
          <w:p w14:paraId="373DE45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0" w:type="pct"/>
          </w:tcPr>
          <w:p w14:paraId="5C6EA95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1C6240A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0055F67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Ormsby</w:t>
            </w:r>
          </w:p>
          <w:p w14:paraId="7CDC2F5A"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69" w:type="pct"/>
          </w:tcPr>
          <w:p w14:paraId="26119BE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0C96360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Eappen</w:t>
            </w:r>
          </w:p>
          <w:p w14:paraId="79A24C0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624AB06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Segre</w:t>
            </w:r>
          </w:p>
          <w:p w14:paraId="665F65B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p w14:paraId="74CE240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2349E941"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6586370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Ammerman</w:t>
            </w:r>
          </w:p>
          <w:p w14:paraId="68FB091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Judd</w:t>
            </w:r>
          </w:p>
          <w:p w14:paraId="0199DFD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072C7B4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Lind</w:t>
            </w:r>
          </w:p>
        </w:tc>
        <w:tc>
          <w:tcPr>
            <w:tcW w:w="434" w:type="pct"/>
          </w:tcPr>
          <w:p w14:paraId="5081C2D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McKenzie-McHarg</w:t>
            </w:r>
          </w:p>
        </w:tc>
        <w:tc>
          <w:tcPr>
            <w:tcW w:w="451" w:type="pct"/>
          </w:tcPr>
          <w:p w14:paraId="1D1C56A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7EF9CE93" w14:textId="77777777" w:rsidTr="00003995">
        <w:tc>
          <w:tcPr>
            <w:tcW w:w="736" w:type="pct"/>
          </w:tcPr>
          <w:p w14:paraId="6B695AB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4.1.4 Adequate workforce provision/ HCPs workload</w:t>
            </w:r>
          </w:p>
        </w:tc>
        <w:tc>
          <w:tcPr>
            <w:tcW w:w="785" w:type="pct"/>
          </w:tcPr>
          <w:p w14:paraId="43CAEA1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Ensuring and adequate workforce provision so PMH can be addressed </w:t>
            </w:r>
          </w:p>
        </w:tc>
        <w:tc>
          <w:tcPr>
            <w:tcW w:w="958" w:type="pct"/>
            <w:shd w:val="clear" w:color="auto" w:fill="auto"/>
          </w:tcPr>
          <w:p w14:paraId="5A843246"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Ammerman et al., 2014; Bina et al., 2018; Drozd et al., 2018; Feinberg et al., 2006; Ganann et al., 2019; Higgins et al., 2018; Kerker et al., 2018; Kim et al., 2009; McCauley et al., 2019; Nakku et al., 2016; Nithianandan et al., 2016; Noonan et al., 2018; Rowan et al., 2010; Vik et al., 2009; Willey et al., 2018</w:t>
            </w:r>
          </w:p>
          <w:p w14:paraId="1C899C2C" w14:textId="77777777" w:rsidR="00E965A2" w:rsidRPr="00265687" w:rsidRDefault="00E965A2" w:rsidP="00003995">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 Viveiros &amp; Darling, 2018</w:t>
            </w:r>
          </w:p>
          <w:p w14:paraId="6638F74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32747BC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0" w:type="pct"/>
          </w:tcPr>
          <w:p w14:paraId="39BE22B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McCauley</w:t>
            </w:r>
          </w:p>
          <w:p w14:paraId="4E47A08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tc>
        <w:tc>
          <w:tcPr>
            <w:tcW w:w="469" w:type="pct"/>
          </w:tcPr>
          <w:p w14:paraId="2CE5214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18</w:t>
            </w:r>
          </w:p>
          <w:p w14:paraId="6D3B2F6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1297927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5BDA8A5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69F909E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11FE0A3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59DB6A6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tc>
        <w:tc>
          <w:tcPr>
            <w:tcW w:w="429" w:type="pct"/>
          </w:tcPr>
          <w:p w14:paraId="518EAE2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Ammerman</w:t>
            </w:r>
          </w:p>
          <w:p w14:paraId="69BB6D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Drozd</w:t>
            </w:r>
          </w:p>
          <w:p w14:paraId="56535A9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56C869D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Kim</w:t>
            </w:r>
          </w:p>
          <w:p w14:paraId="619236E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4150F9C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Vik</w:t>
            </w:r>
          </w:p>
          <w:p w14:paraId="5A8C5563" w14:textId="77777777" w:rsidR="00E965A2" w:rsidRPr="00265687" w:rsidRDefault="00E965A2" w:rsidP="00003995">
            <w:pPr>
              <w:spacing w:line="240" w:lineRule="auto"/>
              <w:ind w:firstLine="0"/>
              <w:rPr>
                <w:rFonts w:ascii="Times New Roman" w:hAnsi="Times New Roman" w:cs="Times New Roman"/>
                <w:i/>
                <w:iCs/>
                <w:sz w:val="16"/>
                <w:szCs w:val="16"/>
              </w:rPr>
            </w:pPr>
          </w:p>
          <w:p w14:paraId="54B492FA"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34" w:type="pct"/>
          </w:tcPr>
          <w:p w14:paraId="2E775CC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342E537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51" w:type="pct"/>
          </w:tcPr>
          <w:p w14:paraId="70441580"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0EFCEA47" w14:textId="77777777" w:rsidTr="00003995">
        <w:tc>
          <w:tcPr>
            <w:tcW w:w="736" w:type="pct"/>
          </w:tcPr>
          <w:p w14:paraId="5076E00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4.1.5 Clear assessment and referral process</w:t>
            </w:r>
          </w:p>
        </w:tc>
        <w:tc>
          <w:tcPr>
            <w:tcW w:w="785" w:type="pct"/>
          </w:tcPr>
          <w:p w14:paraId="7B7C50E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Clear assessment and referral processes within the organisation</w:t>
            </w:r>
          </w:p>
        </w:tc>
        <w:tc>
          <w:tcPr>
            <w:tcW w:w="958" w:type="pct"/>
            <w:shd w:val="clear" w:color="auto" w:fill="auto"/>
          </w:tcPr>
          <w:p w14:paraId="6B3916F1"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Cox et al., 2017; Feinberg et al., 2006; Ganann et al., 2019; Judd et al., 2011; Kerker et al., 2018; Kim et al., 2009; Nithianandan et al., 2016; Rowan et al., 2010; Segre et al., 2014; Williams et al., 2016</w:t>
            </w:r>
          </w:p>
          <w:p w14:paraId="08321829" w14:textId="77777777" w:rsidR="00E965A2" w:rsidRPr="00265687" w:rsidRDefault="00E965A2" w:rsidP="00003995">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w:t>
            </w:r>
          </w:p>
          <w:p w14:paraId="04D5931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1077D98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0" w:type="pct"/>
          </w:tcPr>
          <w:p w14:paraId="60E0EE8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tc>
        <w:tc>
          <w:tcPr>
            <w:tcW w:w="469" w:type="pct"/>
          </w:tcPr>
          <w:p w14:paraId="302B8CC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11C3AE8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1B0BC99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2E41571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Segre</w:t>
            </w:r>
          </w:p>
          <w:p w14:paraId="1BB6A76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tc>
        <w:tc>
          <w:tcPr>
            <w:tcW w:w="429" w:type="pct"/>
          </w:tcPr>
          <w:p w14:paraId="494208E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055BFC2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Kim</w:t>
            </w:r>
          </w:p>
          <w:p w14:paraId="34E6330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7E403D8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01844CEB"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34" w:type="pct"/>
          </w:tcPr>
          <w:p w14:paraId="4B8778C3"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27309CD2"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23B1F0B6" w14:textId="77777777" w:rsidTr="00003995">
        <w:tc>
          <w:tcPr>
            <w:tcW w:w="736" w:type="pct"/>
          </w:tcPr>
          <w:p w14:paraId="17B44BE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4.1.6 Provision of supervision</w:t>
            </w:r>
          </w:p>
        </w:tc>
        <w:tc>
          <w:tcPr>
            <w:tcW w:w="785" w:type="pct"/>
          </w:tcPr>
          <w:p w14:paraId="7AD1D4C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Supervision for HCPs</w:t>
            </w:r>
          </w:p>
        </w:tc>
        <w:tc>
          <w:tcPr>
            <w:tcW w:w="958" w:type="pct"/>
            <w:shd w:val="clear" w:color="auto" w:fill="auto"/>
          </w:tcPr>
          <w:p w14:paraId="5EDBF483" w14:textId="77777777" w:rsidR="00E965A2" w:rsidRPr="00265687" w:rsidRDefault="00E965A2" w:rsidP="00003995">
            <w:pPr>
              <w:spacing w:line="240" w:lineRule="auto"/>
              <w:ind w:firstLine="0"/>
              <w:rPr>
                <w:rFonts w:ascii="Times New Roman" w:hAnsi="Times New Roman" w:cs="Times New Roman"/>
                <w:i/>
                <w:sz w:val="16"/>
                <w:lang w:val="es-ES"/>
              </w:rPr>
            </w:pPr>
            <w:r w:rsidRPr="00265687">
              <w:rPr>
                <w:rFonts w:ascii="Times New Roman" w:hAnsi="Times New Roman" w:cs="Times New Roman"/>
                <w:i/>
                <w:color w:val="000000"/>
                <w:sz w:val="16"/>
                <w:lang w:val="es-ES"/>
              </w:rPr>
              <w:t>Atif et al., 2019; Munodawafa et al., 2017; Vik et al., 2009</w:t>
            </w:r>
          </w:p>
        </w:tc>
        <w:tc>
          <w:tcPr>
            <w:tcW w:w="158" w:type="pct"/>
            <w:shd w:val="clear" w:color="auto" w:fill="auto"/>
          </w:tcPr>
          <w:p w14:paraId="37401DE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w:t>
            </w:r>
          </w:p>
        </w:tc>
        <w:tc>
          <w:tcPr>
            <w:tcW w:w="580" w:type="pct"/>
          </w:tcPr>
          <w:p w14:paraId="31C9133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tc>
        <w:tc>
          <w:tcPr>
            <w:tcW w:w="469" w:type="pct"/>
          </w:tcPr>
          <w:p w14:paraId="09F32A6E"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50AF84B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7882661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Vik</w:t>
            </w:r>
          </w:p>
        </w:tc>
        <w:tc>
          <w:tcPr>
            <w:tcW w:w="434" w:type="pct"/>
          </w:tcPr>
          <w:p w14:paraId="3D949BB6"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0926770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7D6444A9" w14:textId="77777777" w:rsidTr="00003995">
        <w:tc>
          <w:tcPr>
            <w:tcW w:w="736" w:type="pct"/>
          </w:tcPr>
          <w:p w14:paraId="7C6C386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4.1.7 Training</w:t>
            </w:r>
          </w:p>
        </w:tc>
        <w:tc>
          <w:tcPr>
            <w:tcW w:w="785" w:type="pct"/>
          </w:tcPr>
          <w:p w14:paraId="5EBDA44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Provision of training for all HCPs working with perinatal women</w:t>
            </w:r>
          </w:p>
        </w:tc>
        <w:tc>
          <w:tcPr>
            <w:tcW w:w="958" w:type="pct"/>
            <w:shd w:val="clear" w:color="auto" w:fill="auto"/>
          </w:tcPr>
          <w:p w14:paraId="2C545392"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 xml:space="preserve">Ammerman et al., 2014; Atif et al., 2016, 2019; Beeber et al., 2009; Bina et al., 2018; Boyd et al., 2011; Chartier et al., 2015; Doering et al., 2017; Drozd et al., 2018; Feinberg et al., 2006; Ganann et al., 2019; Judd et al., 2011; Kerker et al., 2018; Kim et al., 2009; Leger et al., 2015; Lind et al., 2017; McKenzie-McHarg et al., </w:t>
            </w:r>
            <w:r w:rsidRPr="00265687">
              <w:rPr>
                <w:rFonts w:ascii="Times New Roman" w:hAnsi="Times New Roman" w:cs="Times New Roman"/>
                <w:i/>
                <w:color w:val="000000"/>
                <w:sz w:val="16"/>
              </w:rPr>
              <w:lastRenderedPageBreak/>
              <w:t>2014; Munodawafa et al., 2017; Nakku et al., 2016; Nithianandan et al., 2016; Noonan et al., 2018; Reed et al., 2014; Rowan et al., 2010; Shorey &amp; Ng, 2019; Willey et al., 2018; Williams et al., 2016</w:t>
            </w:r>
          </w:p>
          <w:p w14:paraId="3A16D3B8" w14:textId="77777777" w:rsidR="00E965A2" w:rsidRPr="00265687" w:rsidRDefault="00E965A2" w:rsidP="00003995">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 Brealey et al., 2010</w:t>
            </w:r>
          </w:p>
          <w:p w14:paraId="18C4FED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5871D63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28</w:t>
            </w:r>
          </w:p>
        </w:tc>
        <w:tc>
          <w:tcPr>
            <w:tcW w:w="580" w:type="pct"/>
          </w:tcPr>
          <w:p w14:paraId="223336A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21C53DA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26DAE8F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tc>
        <w:tc>
          <w:tcPr>
            <w:tcW w:w="469" w:type="pct"/>
          </w:tcPr>
          <w:p w14:paraId="37290A0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3C72796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Beeber</w:t>
            </w:r>
          </w:p>
          <w:p w14:paraId="0EA8032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18</w:t>
            </w:r>
          </w:p>
          <w:p w14:paraId="5E8D41A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6C1DCCF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Chartier</w:t>
            </w:r>
          </w:p>
          <w:p w14:paraId="4E4CD2E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7443EA8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Leger</w:t>
            </w:r>
          </w:p>
          <w:p w14:paraId="6C88BAC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5472ECD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Reed</w:t>
            </w:r>
          </w:p>
          <w:p w14:paraId="57F5C28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Shorey</w:t>
            </w:r>
          </w:p>
          <w:p w14:paraId="0A33E87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p w14:paraId="046A050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724EE727"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5806C3A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Ammerman</w:t>
            </w:r>
          </w:p>
          <w:p w14:paraId="168D64B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495E9CE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Drozd</w:t>
            </w:r>
          </w:p>
          <w:p w14:paraId="4DB5EF2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Judd</w:t>
            </w:r>
          </w:p>
          <w:p w14:paraId="57A4B5E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64E47AF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Kim</w:t>
            </w:r>
          </w:p>
          <w:p w14:paraId="2C4D90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Lind</w:t>
            </w:r>
          </w:p>
          <w:p w14:paraId="369BF9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18AE0F4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tc>
        <w:tc>
          <w:tcPr>
            <w:tcW w:w="434" w:type="pct"/>
          </w:tcPr>
          <w:p w14:paraId="688D39C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McKenzie-McHarg</w:t>
            </w:r>
          </w:p>
          <w:p w14:paraId="0CEDCA4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tc>
        <w:tc>
          <w:tcPr>
            <w:tcW w:w="451" w:type="pct"/>
          </w:tcPr>
          <w:p w14:paraId="1976CB5C"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6D02A18F" w14:textId="77777777" w:rsidTr="00003995">
        <w:tc>
          <w:tcPr>
            <w:tcW w:w="736" w:type="pct"/>
          </w:tcPr>
          <w:p w14:paraId="0AAB091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4.1.9 Organisational goals/guidelines</w:t>
            </w:r>
          </w:p>
        </w:tc>
        <w:tc>
          <w:tcPr>
            <w:tcW w:w="785" w:type="pct"/>
          </w:tcPr>
          <w:p w14:paraId="5E88C7B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Clear organisational goals and guidelines</w:t>
            </w:r>
          </w:p>
        </w:tc>
        <w:tc>
          <w:tcPr>
            <w:tcW w:w="958" w:type="pct"/>
          </w:tcPr>
          <w:p w14:paraId="40639EB0" w14:textId="77777777" w:rsidR="00E965A2" w:rsidRPr="00265687" w:rsidRDefault="00E965A2" w:rsidP="00003995">
            <w:pPr>
              <w:spacing w:line="240" w:lineRule="auto"/>
              <w:ind w:firstLine="0"/>
              <w:rPr>
                <w:rFonts w:ascii="Times New Roman" w:hAnsi="Times New Roman" w:cs="Times New Roman"/>
                <w:i/>
                <w:sz w:val="16"/>
              </w:rPr>
            </w:pPr>
            <w:r w:rsidRPr="00265687">
              <w:rPr>
                <w:rFonts w:ascii="Times New Roman" w:hAnsi="Times New Roman" w:cs="Times New Roman"/>
                <w:i/>
                <w:sz w:val="16"/>
              </w:rPr>
              <w:t>Ammerman et al., 2014; Willey et al., 2018</w:t>
            </w:r>
          </w:p>
        </w:tc>
        <w:tc>
          <w:tcPr>
            <w:tcW w:w="158" w:type="pct"/>
            <w:shd w:val="clear" w:color="auto" w:fill="auto"/>
          </w:tcPr>
          <w:p w14:paraId="48CB978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0" w:type="pct"/>
          </w:tcPr>
          <w:p w14:paraId="45813531"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08E26B2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tc>
        <w:tc>
          <w:tcPr>
            <w:tcW w:w="429" w:type="pct"/>
          </w:tcPr>
          <w:p w14:paraId="71355C2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Ammerman</w:t>
            </w:r>
          </w:p>
        </w:tc>
        <w:tc>
          <w:tcPr>
            <w:tcW w:w="434" w:type="pct"/>
          </w:tcPr>
          <w:p w14:paraId="271E4693"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4F86449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even split, round down because not SRs</w:t>
            </w:r>
          </w:p>
        </w:tc>
      </w:tr>
      <w:tr w:rsidR="00E965A2" w:rsidRPr="00265687" w14:paraId="357ABB18" w14:textId="77777777" w:rsidTr="00003995">
        <w:tc>
          <w:tcPr>
            <w:tcW w:w="5000" w:type="pct"/>
            <w:gridSpan w:val="9"/>
            <w:shd w:val="clear" w:color="auto" w:fill="DBDBDB" w:themeFill="accent3" w:themeFillTint="66"/>
          </w:tcPr>
          <w:p w14:paraId="18FCCE15"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 Characteristics of PMH Care</w:t>
            </w:r>
          </w:p>
        </w:tc>
      </w:tr>
      <w:tr w:rsidR="00E965A2" w:rsidRPr="00265687" w14:paraId="7E962693" w14:textId="77777777" w:rsidTr="00003995">
        <w:tc>
          <w:tcPr>
            <w:tcW w:w="5000" w:type="pct"/>
            <w:gridSpan w:val="9"/>
            <w:shd w:val="clear" w:color="auto" w:fill="EDEDED" w:themeFill="accent3" w:themeFillTint="33"/>
          </w:tcPr>
          <w:p w14:paraId="40685BCA"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4.2.1 Across the care pathway</w:t>
            </w:r>
          </w:p>
        </w:tc>
      </w:tr>
      <w:tr w:rsidR="00E965A2" w:rsidRPr="00265687" w14:paraId="5D3FA675" w14:textId="77777777" w:rsidTr="00003995">
        <w:tc>
          <w:tcPr>
            <w:tcW w:w="736" w:type="pct"/>
          </w:tcPr>
          <w:p w14:paraId="6152DF9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4.2.1.1 Continuity of carer</w:t>
            </w:r>
          </w:p>
        </w:tc>
        <w:tc>
          <w:tcPr>
            <w:tcW w:w="785" w:type="pct"/>
          </w:tcPr>
          <w:p w14:paraId="4357BBC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provides the same HCP along the care pathway</w:t>
            </w:r>
          </w:p>
        </w:tc>
        <w:tc>
          <w:tcPr>
            <w:tcW w:w="958" w:type="pct"/>
            <w:shd w:val="clear" w:color="auto" w:fill="auto"/>
          </w:tcPr>
          <w:p w14:paraId="17CBB609"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Chartier et al., 2015; Higgins et al., 2018; Nithianandan et al., 2016; O’Mahen &amp; Flynn, 2008; Rowan et al., 2010; Willey et al., 2018</w:t>
            </w:r>
          </w:p>
          <w:p w14:paraId="7D132A98" w14:textId="77777777" w:rsidR="00E965A2" w:rsidRPr="00265687" w:rsidRDefault="00E965A2" w:rsidP="00003995">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Brealey et al., 2010; Button et al., 2017; Dennis &amp; Chung-Lee, 2006; Hadfield &amp; Wittkowski, 2017; Megnin-Viggars et al., 2015; Sambrook Smith et al., 2019; Slade et al., 2020; Tobin et al., 2018; Viveiros &amp; Darling, 2018; Watson et al., 2019</w:t>
            </w:r>
          </w:p>
          <w:p w14:paraId="6355F35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73644C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0" w:type="pct"/>
          </w:tcPr>
          <w:p w14:paraId="69C6A8E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054B5F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O’Mahen</w:t>
            </w:r>
          </w:p>
          <w:p w14:paraId="378A05C2"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69" w:type="pct"/>
          </w:tcPr>
          <w:p w14:paraId="450BB85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Chartier</w:t>
            </w:r>
          </w:p>
          <w:p w14:paraId="6DACE6A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1D18B1B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p w14:paraId="576588E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6D40CE5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6A38DF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22D21B3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716BD65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510B9A8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4533364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58B645D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63A13EB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3BEFB98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76ACB7E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5B18B0B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278EF2BA" w14:textId="77777777" w:rsidTr="00003995">
        <w:tc>
          <w:tcPr>
            <w:tcW w:w="736" w:type="pct"/>
          </w:tcPr>
          <w:p w14:paraId="6DE1B1C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4.2.1.2 Culturally sensitive care</w:t>
            </w:r>
          </w:p>
        </w:tc>
        <w:tc>
          <w:tcPr>
            <w:tcW w:w="785" w:type="pct"/>
          </w:tcPr>
          <w:p w14:paraId="066D8F3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culturally sensitive to women's needs</w:t>
            </w:r>
          </w:p>
        </w:tc>
        <w:tc>
          <w:tcPr>
            <w:tcW w:w="958" w:type="pct"/>
            <w:shd w:val="clear" w:color="auto" w:fill="auto"/>
          </w:tcPr>
          <w:p w14:paraId="341AD5F7"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Ganann et al., 2019; Nithianandan et al., 2016; Noonan et al., 2018; Shorey &amp; Ng, 2019</w:t>
            </w:r>
            <w:r w:rsidRPr="00265687">
              <w:rPr>
                <w:rFonts w:ascii="Times New Roman" w:hAnsi="Times New Roman" w:cs="Times New Roman"/>
                <w:i/>
                <w:color w:val="000000"/>
                <w:sz w:val="16"/>
                <w:szCs w:val="16"/>
              </w:rPr>
              <w:t xml:space="preserve"> </w:t>
            </w:r>
          </w:p>
          <w:p w14:paraId="048F410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Bina, 2020; Brealey et al., 2010; Button et al., 2017; Dennis &amp; Chung-Lee, 2006; Giscombe et al., 2020; Hadfield &amp; Wittkowski, 2017; Hansotte et al., 2017; Hewitt et al., 2009; Jones, 2019; Kassam, 2019; Sambrook Smith et al., 2019; Schmied et al., 2017; Tobin et al., 2018; Viveiros &amp; Darling, 2018; Watson et al., 2019</w:t>
            </w:r>
          </w:p>
        </w:tc>
        <w:tc>
          <w:tcPr>
            <w:tcW w:w="158" w:type="pct"/>
            <w:shd w:val="clear" w:color="auto" w:fill="auto"/>
          </w:tcPr>
          <w:p w14:paraId="06BF147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w:t>
            </w:r>
          </w:p>
        </w:tc>
        <w:tc>
          <w:tcPr>
            <w:tcW w:w="580" w:type="pct"/>
          </w:tcPr>
          <w:p w14:paraId="6B801DE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2D07DB2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p w14:paraId="216EE526"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365999F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2673F37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4950F8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p w14:paraId="4248C4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w:t>
            </w:r>
          </w:p>
          <w:p w14:paraId="7CB8308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412BC41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470DFCE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7EACB26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42456DB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7C8DE96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6B4006E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1255E11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03A96EC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160C657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p w14:paraId="749D92DE"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5C184C8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2B3CB6E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5340956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Giscombe</w:t>
            </w:r>
          </w:p>
          <w:p w14:paraId="6FB15F92"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02AC503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1080A759" w14:textId="77777777" w:rsidTr="00003995">
        <w:tc>
          <w:tcPr>
            <w:tcW w:w="736" w:type="pct"/>
          </w:tcPr>
          <w:p w14:paraId="320296C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4.2.1.3 Privacy &amp; confidentiality</w:t>
            </w:r>
          </w:p>
        </w:tc>
        <w:tc>
          <w:tcPr>
            <w:tcW w:w="785" w:type="pct"/>
          </w:tcPr>
          <w:p w14:paraId="285E11A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private and maintains women's confidentiality</w:t>
            </w:r>
          </w:p>
        </w:tc>
        <w:tc>
          <w:tcPr>
            <w:tcW w:w="958" w:type="pct"/>
            <w:shd w:val="clear" w:color="auto" w:fill="auto"/>
          </w:tcPr>
          <w:p w14:paraId="3BD8F017" w14:textId="77777777" w:rsidR="00E965A2" w:rsidRPr="00265687" w:rsidRDefault="00E965A2" w:rsidP="00003995">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 xml:space="preserve">Atif et al., 2019; Feinberg et al., 2006; Higgins et al., 2018; Jallo et </w:t>
            </w:r>
            <w:r w:rsidRPr="00265687">
              <w:rPr>
                <w:rFonts w:ascii="Times New Roman" w:hAnsi="Times New Roman" w:cs="Times New Roman"/>
                <w:i/>
                <w:color w:val="000000"/>
                <w:sz w:val="16"/>
                <w:lang w:val="es-ES"/>
              </w:rPr>
              <w:lastRenderedPageBreak/>
              <w:t>al., 2015; Nithianandan et al., 2016; O’Mahen &amp; Flynn, 2008</w:t>
            </w:r>
          </w:p>
          <w:p w14:paraId="0C7F7ED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Giscombe et al., 2020</w:t>
            </w:r>
          </w:p>
        </w:tc>
        <w:tc>
          <w:tcPr>
            <w:tcW w:w="158" w:type="pct"/>
            <w:shd w:val="clear" w:color="auto" w:fill="auto"/>
          </w:tcPr>
          <w:p w14:paraId="1230F75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7</w:t>
            </w:r>
          </w:p>
        </w:tc>
        <w:tc>
          <w:tcPr>
            <w:tcW w:w="580" w:type="pct"/>
          </w:tcPr>
          <w:p w14:paraId="7B8C744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5656AFA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O’Mahen</w:t>
            </w:r>
          </w:p>
        </w:tc>
        <w:tc>
          <w:tcPr>
            <w:tcW w:w="469" w:type="pct"/>
          </w:tcPr>
          <w:p w14:paraId="569E438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1090ACE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1945786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1929C00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Jallo</w:t>
            </w:r>
          </w:p>
        </w:tc>
        <w:tc>
          <w:tcPr>
            <w:tcW w:w="429" w:type="pct"/>
          </w:tcPr>
          <w:p w14:paraId="71B85229"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4734E0A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Giscombe</w:t>
            </w:r>
          </w:p>
        </w:tc>
        <w:tc>
          <w:tcPr>
            <w:tcW w:w="451" w:type="pct"/>
          </w:tcPr>
          <w:p w14:paraId="529A9CD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 xml:space="preserve">most studies </w:t>
            </w:r>
            <w:r w:rsidRPr="00265687">
              <w:rPr>
                <w:rFonts w:ascii="Times New Roman" w:hAnsi="Times New Roman" w:cs="Times New Roman"/>
                <w:sz w:val="16"/>
                <w:szCs w:val="16"/>
              </w:rPr>
              <w:lastRenderedPageBreak/>
              <w:t>rated as high or moderate confidence.</w:t>
            </w:r>
          </w:p>
        </w:tc>
      </w:tr>
      <w:tr w:rsidR="00E965A2" w:rsidRPr="00265687" w14:paraId="2D35D4A5" w14:textId="77777777" w:rsidTr="00003995">
        <w:tc>
          <w:tcPr>
            <w:tcW w:w="736" w:type="pct"/>
          </w:tcPr>
          <w:p w14:paraId="32A0CBB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4.2.1.4 Dedicated person/ PMH Champion</w:t>
            </w:r>
          </w:p>
        </w:tc>
        <w:tc>
          <w:tcPr>
            <w:tcW w:w="785" w:type="pct"/>
          </w:tcPr>
          <w:p w14:paraId="5DB4D34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has a dedicated person or PMH champion</w:t>
            </w:r>
          </w:p>
        </w:tc>
        <w:tc>
          <w:tcPr>
            <w:tcW w:w="958" w:type="pct"/>
            <w:shd w:val="clear" w:color="auto" w:fill="auto"/>
          </w:tcPr>
          <w:p w14:paraId="7D1AE8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i/>
                <w:noProof/>
                <w:color w:val="000000"/>
                <w:sz w:val="16"/>
                <w:szCs w:val="16"/>
              </w:rPr>
              <w:t>Chartier et al., 2015; Ganann et al., 2019; Kim et al., 2009; Lomonaco-Haycraft et al., 2018; Nithianandan et al., 2016; Rowan et al., 2010; Willey et al., 2018</w:t>
            </w:r>
            <w:r w:rsidRPr="00265687">
              <w:rPr>
                <w:rFonts w:ascii="Times New Roman" w:hAnsi="Times New Roman" w:cs="Times New Roman"/>
                <w:i/>
                <w:color w:val="000000"/>
                <w:sz w:val="16"/>
                <w:szCs w:val="16"/>
              </w:rPr>
              <w:t xml:space="preserve"> </w:t>
            </w:r>
            <w:r w:rsidRPr="00265687">
              <w:rPr>
                <w:rFonts w:ascii="Times New Roman" w:hAnsi="Times New Roman" w:cs="Times New Roman"/>
                <w:noProof/>
                <w:color w:val="000000"/>
                <w:sz w:val="16"/>
                <w:szCs w:val="16"/>
              </w:rPr>
              <w:t>Bina, 2020; Megnin-Viggars et al., 2015</w:t>
            </w:r>
          </w:p>
        </w:tc>
        <w:tc>
          <w:tcPr>
            <w:tcW w:w="158" w:type="pct"/>
            <w:shd w:val="clear" w:color="auto" w:fill="auto"/>
          </w:tcPr>
          <w:p w14:paraId="0C6759B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0" w:type="pct"/>
          </w:tcPr>
          <w:p w14:paraId="73E8A3C1"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3EDF15C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Chartier</w:t>
            </w:r>
          </w:p>
          <w:p w14:paraId="0F5263A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66C5F60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p w14:paraId="537B5343"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3D36157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Kim</w:t>
            </w:r>
          </w:p>
          <w:p w14:paraId="5EE183A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Lomonaco-Haycraft</w:t>
            </w:r>
          </w:p>
          <w:p w14:paraId="0C84F50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63B84F4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w:t>
            </w:r>
          </w:p>
          <w:p w14:paraId="30C632C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tc>
        <w:tc>
          <w:tcPr>
            <w:tcW w:w="434" w:type="pct"/>
          </w:tcPr>
          <w:p w14:paraId="3E97E4C6"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643054E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7DF3A4D7" w14:textId="77777777" w:rsidTr="00003995">
        <w:tc>
          <w:tcPr>
            <w:tcW w:w="736" w:type="pct"/>
          </w:tcPr>
          <w:p w14:paraId="052B96A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4.2.1.5 Logistical support</w:t>
            </w:r>
          </w:p>
        </w:tc>
        <w:tc>
          <w:tcPr>
            <w:tcW w:w="785" w:type="pct"/>
          </w:tcPr>
          <w:p w14:paraId="743F874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Logistical support for women including easily accessible location, childcare, travel costs</w:t>
            </w:r>
          </w:p>
        </w:tc>
        <w:tc>
          <w:tcPr>
            <w:tcW w:w="958" w:type="pct"/>
            <w:shd w:val="clear" w:color="auto" w:fill="auto"/>
          </w:tcPr>
          <w:p w14:paraId="44352C8C"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Ganann et al., 2019; Hadfield &amp; Wittkowski, 2017; Leger et al., 2015; Masood et al., 2015; Nakku et al., 2016; Nithianandan et al., 2016; Ormsby et al., 2018</w:t>
            </w:r>
          </w:p>
          <w:p w14:paraId="46FABF9D"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color w:val="000000"/>
                <w:sz w:val="16"/>
              </w:rPr>
              <w:t>Button et al., 2017; Jones, 2019; Mollard et al., 2016; Newman et al., 2019; Scope et al., 2017; Watson et al., 2019</w:t>
            </w:r>
          </w:p>
        </w:tc>
        <w:tc>
          <w:tcPr>
            <w:tcW w:w="158" w:type="pct"/>
            <w:shd w:val="clear" w:color="auto" w:fill="auto"/>
          </w:tcPr>
          <w:p w14:paraId="1C95D23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w:t>
            </w:r>
          </w:p>
        </w:tc>
        <w:tc>
          <w:tcPr>
            <w:tcW w:w="580" w:type="pct"/>
          </w:tcPr>
          <w:p w14:paraId="3AAD415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23B0B8D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Ormsby</w:t>
            </w:r>
          </w:p>
        </w:tc>
        <w:tc>
          <w:tcPr>
            <w:tcW w:w="469" w:type="pct"/>
          </w:tcPr>
          <w:p w14:paraId="4DB0E5B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1669080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Leger</w:t>
            </w:r>
          </w:p>
          <w:p w14:paraId="5666B68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3D74869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3A5D631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2BAF67B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Hadfield 19</w:t>
            </w:r>
          </w:p>
          <w:p w14:paraId="032987D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6B4DA9E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1D7B2E5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Mollard</w:t>
            </w:r>
          </w:p>
          <w:p w14:paraId="19AD143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1FEDA20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tc>
        <w:tc>
          <w:tcPr>
            <w:tcW w:w="434" w:type="pct"/>
          </w:tcPr>
          <w:p w14:paraId="7A6DBFC8"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5F63424E"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5D79B6B8" w14:textId="77777777" w:rsidTr="00003995">
        <w:tc>
          <w:tcPr>
            <w:tcW w:w="736" w:type="pct"/>
          </w:tcPr>
          <w:p w14:paraId="0707CBA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4.2.1.6 Home delivery</w:t>
            </w:r>
          </w:p>
        </w:tc>
        <w:tc>
          <w:tcPr>
            <w:tcW w:w="785" w:type="pct"/>
          </w:tcPr>
          <w:p w14:paraId="511BE5A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delivered at home</w:t>
            </w:r>
          </w:p>
        </w:tc>
        <w:tc>
          <w:tcPr>
            <w:tcW w:w="958" w:type="pct"/>
            <w:shd w:val="clear" w:color="auto" w:fill="auto"/>
          </w:tcPr>
          <w:p w14:paraId="364750A1" w14:textId="77777777" w:rsidR="00E965A2" w:rsidRPr="00265687" w:rsidRDefault="00E965A2" w:rsidP="00003995">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Ammerman et al., 2014; Beeber et al., 2009; Judd et al., 2011; Leger et al., 2015; Munodawafa et al., 2017; Myors et al., 2015</w:t>
            </w:r>
          </w:p>
          <w:p w14:paraId="68ECF31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Brealey et al., 2010; Hadfield &amp; Wittkowski, 2017; Hansotte et al., 2017; Jones, 2019</w:t>
            </w:r>
          </w:p>
        </w:tc>
        <w:tc>
          <w:tcPr>
            <w:tcW w:w="158" w:type="pct"/>
            <w:shd w:val="clear" w:color="auto" w:fill="auto"/>
          </w:tcPr>
          <w:p w14:paraId="6536F24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10</w:t>
            </w:r>
          </w:p>
        </w:tc>
        <w:tc>
          <w:tcPr>
            <w:tcW w:w="580" w:type="pct"/>
          </w:tcPr>
          <w:p w14:paraId="07F972B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tc>
        <w:tc>
          <w:tcPr>
            <w:tcW w:w="469" w:type="pct"/>
          </w:tcPr>
          <w:p w14:paraId="07B2F06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Beeber</w:t>
            </w:r>
          </w:p>
          <w:p w14:paraId="76BCBCE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Leger</w:t>
            </w:r>
          </w:p>
          <w:p w14:paraId="41A72FC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i/>
                <w:iCs/>
                <w:sz w:val="16"/>
                <w:szCs w:val="16"/>
              </w:rPr>
              <w:t>Myors</w:t>
            </w:r>
          </w:p>
          <w:p w14:paraId="45E09A9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tc>
        <w:tc>
          <w:tcPr>
            <w:tcW w:w="429" w:type="pct"/>
          </w:tcPr>
          <w:p w14:paraId="54968C2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Ammerman</w:t>
            </w:r>
          </w:p>
          <w:p w14:paraId="2E8ADDE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Judd</w:t>
            </w:r>
          </w:p>
          <w:p w14:paraId="2070A45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1C5C7B6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tc>
        <w:tc>
          <w:tcPr>
            <w:tcW w:w="434" w:type="pct"/>
          </w:tcPr>
          <w:p w14:paraId="22F6552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tc>
        <w:tc>
          <w:tcPr>
            <w:tcW w:w="451" w:type="pct"/>
          </w:tcPr>
          <w:p w14:paraId="5F2D073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even split, rounded up because SRs*</w:t>
            </w:r>
          </w:p>
        </w:tc>
      </w:tr>
      <w:tr w:rsidR="00E965A2" w:rsidRPr="00265687" w14:paraId="6BC42334" w14:textId="77777777" w:rsidTr="00003995">
        <w:tc>
          <w:tcPr>
            <w:tcW w:w="736" w:type="pct"/>
          </w:tcPr>
          <w:p w14:paraId="21639B7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4.2.1.7 Hospital delivery</w:t>
            </w:r>
          </w:p>
        </w:tc>
        <w:tc>
          <w:tcPr>
            <w:tcW w:w="785" w:type="pct"/>
          </w:tcPr>
          <w:p w14:paraId="0550104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delivered in hopsital/medical setting</w:t>
            </w:r>
          </w:p>
        </w:tc>
        <w:tc>
          <w:tcPr>
            <w:tcW w:w="958" w:type="pct"/>
            <w:shd w:val="clear" w:color="auto" w:fill="auto"/>
          </w:tcPr>
          <w:p w14:paraId="6B8D4AC8"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Atif et al., 2019; Boyd et al., 2011; Kerker et al., 2018; Shakespeare et al., 2003</w:t>
            </w:r>
          </w:p>
          <w:p w14:paraId="267AD67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Dennis &amp; Chung-Lee, 2006</w:t>
            </w:r>
          </w:p>
        </w:tc>
        <w:tc>
          <w:tcPr>
            <w:tcW w:w="158" w:type="pct"/>
            <w:shd w:val="clear" w:color="auto" w:fill="auto"/>
          </w:tcPr>
          <w:p w14:paraId="5181633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w:t>
            </w:r>
          </w:p>
        </w:tc>
        <w:tc>
          <w:tcPr>
            <w:tcW w:w="580" w:type="pct"/>
          </w:tcPr>
          <w:p w14:paraId="6BC8680F"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024CE5F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5B1DDD9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tc>
        <w:tc>
          <w:tcPr>
            <w:tcW w:w="429" w:type="pct"/>
          </w:tcPr>
          <w:p w14:paraId="23CB971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546F5F8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tc>
        <w:tc>
          <w:tcPr>
            <w:tcW w:w="434" w:type="pct"/>
          </w:tcPr>
          <w:p w14:paraId="4FAFF37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2C1CE684"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43B5ABB7" w14:textId="77777777" w:rsidTr="00003995">
        <w:tc>
          <w:tcPr>
            <w:tcW w:w="736" w:type="pct"/>
          </w:tcPr>
          <w:p w14:paraId="5E87662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4.2.1.8 Provision of information</w:t>
            </w:r>
          </w:p>
        </w:tc>
        <w:tc>
          <w:tcPr>
            <w:tcW w:w="785" w:type="pct"/>
          </w:tcPr>
          <w:p w14:paraId="0B6674C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Whether care provides information</w:t>
            </w:r>
          </w:p>
        </w:tc>
        <w:tc>
          <w:tcPr>
            <w:tcW w:w="958" w:type="pct"/>
          </w:tcPr>
          <w:p w14:paraId="749AE03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Hadfield &amp; Wittkowski, 2017; Jones, 2019; Megnin-Viggars et al., 2015; Morrell et al., 2016; Randall &amp; Briscoe, 2018; Schmied et al., 2017</w:t>
            </w:r>
          </w:p>
        </w:tc>
        <w:tc>
          <w:tcPr>
            <w:tcW w:w="158" w:type="pct"/>
            <w:shd w:val="clear" w:color="auto" w:fill="auto"/>
          </w:tcPr>
          <w:p w14:paraId="74997E3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0" w:type="pct"/>
          </w:tcPr>
          <w:p w14:paraId="3F8C002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tc>
        <w:tc>
          <w:tcPr>
            <w:tcW w:w="469" w:type="pct"/>
          </w:tcPr>
          <w:p w14:paraId="78EE17C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tc>
        <w:tc>
          <w:tcPr>
            <w:tcW w:w="429" w:type="pct"/>
          </w:tcPr>
          <w:p w14:paraId="6114128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5A18877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7A11845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Randall</w:t>
            </w:r>
          </w:p>
          <w:p w14:paraId="0D0F12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16565B7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tc>
        <w:tc>
          <w:tcPr>
            <w:tcW w:w="451" w:type="pct"/>
          </w:tcPr>
          <w:p w14:paraId="0A002C71"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5FDCD752" w14:textId="77777777" w:rsidTr="00003995">
        <w:tc>
          <w:tcPr>
            <w:tcW w:w="736" w:type="pct"/>
          </w:tcPr>
          <w:p w14:paraId="2B895BF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4.2.1.9 Technology</w:t>
            </w:r>
          </w:p>
        </w:tc>
        <w:tc>
          <w:tcPr>
            <w:tcW w:w="785" w:type="pct"/>
          </w:tcPr>
          <w:p w14:paraId="4F997CA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use of technology in care</w:t>
            </w:r>
          </w:p>
        </w:tc>
        <w:tc>
          <w:tcPr>
            <w:tcW w:w="958" w:type="pct"/>
            <w:shd w:val="clear" w:color="auto" w:fill="auto"/>
          </w:tcPr>
          <w:p w14:paraId="4E4EEFEC"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 xml:space="preserve">Doering et al., 2017; Feinberg et al., 2006; Fernandez y Garcia et al., 2011; Jallo et al., 2015; Kim et al., 2009; Lind et al., 2017; Noonan et al., 2018; Pineros-Leano et al., 2015; </w:t>
            </w:r>
            <w:r w:rsidRPr="00265687">
              <w:rPr>
                <w:rFonts w:ascii="Times New Roman" w:hAnsi="Times New Roman" w:cs="Times New Roman"/>
                <w:i/>
                <w:noProof/>
                <w:color w:val="000000"/>
                <w:sz w:val="16"/>
                <w:szCs w:val="16"/>
              </w:rPr>
              <w:lastRenderedPageBreak/>
              <w:t>Shorey &amp; Ng, 2019; Willey et al., 2018; Williams et al., 2016</w:t>
            </w:r>
          </w:p>
          <w:p w14:paraId="45571CD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39FADB8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11</w:t>
            </w:r>
          </w:p>
        </w:tc>
        <w:tc>
          <w:tcPr>
            <w:tcW w:w="580" w:type="pct"/>
          </w:tcPr>
          <w:p w14:paraId="67C44E9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7108B9F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Pineros-Leano</w:t>
            </w:r>
          </w:p>
        </w:tc>
        <w:tc>
          <w:tcPr>
            <w:tcW w:w="469" w:type="pct"/>
          </w:tcPr>
          <w:p w14:paraId="76D25BB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7F16785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Fernandez y Garcia</w:t>
            </w:r>
          </w:p>
          <w:p w14:paraId="1C13863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Jallo</w:t>
            </w:r>
          </w:p>
          <w:p w14:paraId="3411838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1EF0138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p w14:paraId="7B293BE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Willey</w:t>
            </w:r>
          </w:p>
          <w:p w14:paraId="77EC6A1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tc>
        <w:tc>
          <w:tcPr>
            <w:tcW w:w="429" w:type="pct"/>
          </w:tcPr>
          <w:p w14:paraId="43AF6F7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Kim</w:t>
            </w:r>
          </w:p>
          <w:p w14:paraId="3C530F9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Lind</w:t>
            </w:r>
          </w:p>
          <w:p w14:paraId="598A60B5"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34" w:type="pct"/>
          </w:tcPr>
          <w:p w14:paraId="2CACF0D2"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019F85CE"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42CC8E44" w14:textId="77777777" w:rsidTr="00003995">
        <w:tc>
          <w:tcPr>
            <w:tcW w:w="736" w:type="pct"/>
          </w:tcPr>
          <w:p w14:paraId="363D5A6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4.2.1.10 Service inclusion criteria</w:t>
            </w:r>
          </w:p>
        </w:tc>
        <w:tc>
          <w:tcPr>
            <w:tcW w:w="785" w:type="pct"/>
          </w:tcPr>
          <w:p w14:paraId="6AC2F3A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Inclusion criteria of services </w:t>
            </w:r>
          </w:p>
        </w:tc>
        <w:tc>
          <w:tcPr>
            <w:tcW w:w="958" w:type="pct"/>
            <w:shd w:val="clear" w:color="auto" w:fill="auto"/>
          </w:tcPr>
          <w:p w14:paraId="5409D7EF"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Boyd et al., 2011; Ganann et al., 2019</w:t>
            </w:r>
          </w:p>
          <w:p w14:paraId="18ADC13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Viveiros &amp; Darling, 2018</w:t>
            </w:r>
          </w:p>
        </w:tc>
        <w:tc>
          <w:tcPr>
            <w:tcW w:w="158" w:type="pct"/>
            <w:shd w:val="clear" w:color="auto" w:fill="auto"/>
          </w:tcPr>
          <w:p w14:paraId="5CDB440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w:t>
            </w:r>
          </w:p>
        </w:tc>
        <w:tc>
          <w:tcPr>
            <w:tcW w:w="580" w:type="pct"/>
          </w:tcPr>
          <w:p w14:paraId="62CED9CD"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34866BF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23E871B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tc>
        <w:tc>
          <w:tcPr>
            <w:tcW w:w="429" w:type="pct"/>
          </w:tcPr>
          <w:p w14:paraId="275F5FE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10EF2CBD"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4293FFE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48A43833" w14:textId="77777777" w:rsidTr="00003995">
        <w:tc>
          <w:tcPr>
            <w:tcW w:w="5000" w:type="pct"/>
            <w:gridSpan w:val="9"/>
            <w:shd w:val="clear" w:color="auto" w:fill="EDEDED" w:themeFill="accent3" w:themeFillTint="33"/>
          </w:tcPr>
          <w:p w14:paraId="3C7AA8A3"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4.2.2 Assessment specific characteristics</w:t>
            </w:r>
          </w:p>
        </w:tc>
      </w:tr>
      <w:tr w:rsidR="00E965A2" w:rsidRPr="00265687" w14:paraId="3C3B9CF3" w14:textId="77777777" w:rsidTr="00003995">
        <w:tc>
          <w:tcPr>
            <w:tcW w:w="736" w:type="pct"/>
          </w:tcPr>
          <w:p w14:paraId="5F0CE53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4.2.2.1 Wording of assessment tools</w:t>
            </w:r>
          </w:p>
        </w:tc>
        <w:tc>
          <w:tcPr>
            <w:tcW w:w="785" w:type="pct"/>
          </w:tcPr>
          <w:p w14:paraId="0CC1CC3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How assessment tools are worded</w:t>
            </w:r>
          </w:p>
        </w:tc>
        <w:tc>
          <w:tcPr>
            <w:tcW w:w="958" w:type="pct"/>
            <w:shd w:val="clear" w:color="auto" w:fill="auto"/>
          </w:tcPr>
          <w:p w14:paraId="01C42909"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Doering et al., 2017; Segre et al., 2014; Williams et al., 2016</w:t>
            </w:r>
          </w:p>
          <w:p w14:paraId="5D66E39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Brealey et al., 2010; Button et al., 2017; Hewitt et al., 2009</w:t>
            </w:r>
          </w:p>
        </w:tc>
        <w:tc>
          <w:tcPr>
            <w:tcW w:w="158" w:type="pct"/>
            <w:shd w:val="clear" w:color="auto" w:fill="auto"/>
          </w:tcPr>
          <w:p w14:paraId="4F35B68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0" w:type="pct"/>
          </w:tcPr>
          <w:p w14:paraId="5AA7488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5E956E4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tc>
        <w:tc>
          <w:tcPr>
            <w:tcW w:w="469" w:type="pct"/>
          </w:tcPr>
          <w:p w14:paraId="25B5805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Segre</w:t>
            </w:r>
          </w:p>
          <w:p w14:paraId="3F08CFC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tc>
        <w:tc>
          <w:tcPr>
            <w:tcW w:w="429" w:type="pct"/>
          </w:tcPr>
          <w:p w14:paraId="50173CF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tc>
        <w:tc>
          <w:tcPr>
            <w:tcW w:w="434" w:type="pct"/>
          </w:tcPr>
          <w:p w14:paraId="268B84E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5175BD2C"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2CE7307B"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7867FB20" w14:textId="77777777" w:rsidTr="00003995">
        <w:tc>
          <w:tcPr>
            <w:tcW w:w="736" w:type="pct"/>
          </w:tcPr>
          <w:p w14:paraId="5600ED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4.2.2.2 Acceptability of assessment/ screening</w:t>
            </w:r>
          </w:p>
        </w:tc>
        <w:tc>
          <w:tcPr>
            <w:tcW w:w="785" w:type="pct"/>
          </w:tcPr>
          <w:p w14:paraId="7CB5245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Whether assessment tools and assessment/screening in general are acceptable to women and HCPs</w:t>
            </w:r>
          </w:p>
        </w:tc>
        <w:tc>
          <w:tcPr>
            <w:tcW w:w="958" w:type="pct"/>
            <w:shd w:val="clear" w:color="auto" w:fill="auto"/>
          </w:tcPr>
          <w:p w14:paraId="4C3F3B99"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Boyd et al., 2011; Doering et al., 2017; Feinberg et al., 2006; Ganann et al., 2019; Kim et al., 2009; Nithianandan et al., 2016; Segre et al., 2014; Shakespeare et al., 2003; Vik et al., 2009; Willey et al., 2018</w:t>
            </w:r>
          </w:p>
          <w:p w14:paraId="30DE464F"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color w:val="000000"/>
                <w:sz w:val="16"/>
              </w:rPr>
              <w:t>Brealey et al., 2010; Evans et al., 2020; Hewitt et al., 2009; Megnin-Viggars et al., 2015; Mollard et al., 2016; Sambrook Smith et al., 2019; Viveiros &amp; Darling, 2018</w:t>
            </w:r>
          </w:p>
        </w:tc>
        <w:tc>
          <w:tcPr>
            <w:tcW w:w="158" w:type="pct"/>
            <w:shd w:val="clear" w:color="auto" w:fill="auto"/>
          </w:tcPr>
          <w:p w14:paraId="5A3C037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0" w:type="pct"/>
          </w:tcPr>
          <w:p w14:paraId="4B5EB47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0B3F16B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0E568B1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Evans</w:t>
            </w:r>
          </w:p>
          <w:p w14:paraId="29230F2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tc>
        <w:tc>
          <w:tcPr>
            <w:tcW w:w="469" w:type="pct"/>
          </w:tcPr>
          <w:p w14:paraId="4109398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19F12BF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54306B7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60985C3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Segre</w:t>
            </w:r>
          </w:p>
          <w:p w14:paraId="5015D66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p w14:paraId="70D04C3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p w14:paraId="0208EFC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2BE2E994"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3B278F2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Kim</w:t>
            </w:r>
          </w:p>
          <w:p w14:paraId="77ABF1C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Vik</w:t>
            </w:r>
          </w:p>
          <w:p w14:paraId="1A686AD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32D78F7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Mollard</w:t>
            </w:r>
          </w:p>
          <w:p w14:paraId="12A7045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2C5E8E7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tc>
        <w:tc>
          <w:tcPr>
            <w:tcW w:w="451" w:type="pct"/>
          </w:tcPr>
          <w:p w14:paraId="428B6329"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26F211C3" w14:textId="77777777" w:rsidTr="00003995">
        <w:tc>
          <w:tcPr>
            <w:tcW w:w="5000" w:type="pct"/>
            <w:gridSpan w:val="9"/>
            <w:shd w:val="clear" w:color="auto" w:fill="EDEDED" w:themeFill="accent3" w:themeFillTint="33"/>
          </w:tcPr>
          <w:p w14:paraId="4819F5A8"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4.2.3 Intervention characteristics</w:t>
            </w:r>
          </w:p>
        </w:tc>
      </w:tr>
      <w:tr w:rsidR="00E965A2" w:rsidRPr="00265687" w14:paraId="3B4FB287" w14:textId="77777777" w:rsidTr="00003995">
        <w:tc>
          <w:tcPr>
            <w:tcW w:w="736" w:type="pct"/>
          </w:tcPr>
          <w:p w14:paraId="2FA0369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4.2.3.1 Opportunity to talk</w:t>
            </w:r>
          </w:p>
        </w:tc>
        <w:tc>
          <w:tcPr>
            <w:tcW w:w="785" w:type="pct"/>
          </w:tcPr>
          <w:p w14:paraId="305BF78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Interventions that provide an opportunity to talk</w:t>
            </w:r>
          </w:p>
        </w:tc>
        <w:tc>
          <w:tcPr>
            <w:tcW w:w="958" w:type="pct"/>
            <w:shd w:val="clear" w:color="auto" w:fill="auto"/>
          </w:tcPr>
          <w:p w14:paraId="5333F5B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Dennis &amp; Chung-Lee, 2006; Evans et al., 2020; Hadfield &amp; Wittkowski, 2017; Jones et al., 2014; Kassam, 2019; Morrell et al., 2016; Praetorius et al., 2020</w:t>
            </w:r>
          </w:p>
        </w:tc>
        <w:tc>
          <w:tcPr>
            <w:tcW w:w="158" w:type="pct"/>
            <w:shd w:val="clear" w:color="auto" w:fill="auto"/>
          </w:tcPr>
          <w:p w14:paraId="0B66817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0" w:type="pct"/>
          </w:tcPr>
          <w:p w14:paraId="7681821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Evans</w:t>
            </w:r>
          </w:p>
          <w:p w14:paraId="6169116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tc>
        <w:tc>
          <w:tcPr>
            <w:tcW w:w="469" w:type="pct"/>
          </w:tcPr>
          <w:p w14:paraId="16CDCDA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70563CD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37696D35" w14:textId="77777777" w:rsidR="00E965A2" w:rsidRPr="00265687" w:rsidRDefault="00E965A2" w:rsidP="00003995">
            <w:pPr>
              <w:spacing w:line="240" w:lineRule="auto"/>
              <w:ind w:firstLine="0"/>
              <w:rPr>
                <w:rFonts w:ascii="Times New Roman" w:hAnsi="Times New Roman" w:cs="Times New Roman"/>
                <w:sz w:val="16"/>
                <w:szCs w:val="16"/>
              </w:rPr>
            </w:pPr>
          </w:p>
        </w:tc>
        <w:tc>
          <w:tcPr>
            <w:tcW w:w="429" w:type="pct"/>
          </w:tcPr>
          <w:p w14:paraId="628F676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Praetorius</w:t>
            </w:r>
          </w:p>
        </w:tc>
        <w:tc>
          <w:tcPr>
            <w:tcW w:w="434" w:type="pct"/>
          </w:tcPr>
          <w:p w14:paraId="327E38B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2F520EE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7A12B8F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r w:rsidR="00E965A2" w:rsidRPr="00265687" w14:paraId="31A92CC3" w14:textId="77777777" w:rsidTr="00003995">
        <w:tc>
          <w:tcPr>
            <w:tcW w:w="736" w:type="pct"/>
          </w:tcPr>
          <w:p w14:paraId="7B80BF2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4.2.3.2 Individualised and person centred</w:t>
            </w:r>
          </w:p>
        </w:tc>
        <w:tc>
          <w:tcPr>
            <w:tcW w:w="785" w:type="pct"/>
          </w:tcPr>
          <w:p w14:paraId="1533354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Indiviudalised and person centred interventions/care</w:t>
            </w:r>
          </w:p>
        </w:tc>
        <w:tc>
          <w:tcPr>
            <w:tcW w:w="958" w:type="pct"/>
            <w:shd w:val="clear" w:color="auto" w:fill="auto"/>
          </w:tcPr>
          <w:p w14:paraId="688EEE08"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Chartier et al., 2015; Doering et al., 2017; Ganann et al., 2019; Masood et al., 2015; McKenzie-McHarg et al., 2014; Noonan et al., 2018; O’Mahen &amp; Flynn, 2008; Pugh et al., 2015; Segre et al., 2014; Shorey &amp; Ng, 2019</w:t>
            </w:r>
          </w:p>
          <w:p w14:paraId="4E4E8691" w14:textId="77777777" w:rsidR="00E965A2" w:rsidRPr="00265687" w:rsidRDefault="00E965A2" w:rsidP="00003995">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 xml:space="preserve">Evans et al., 2020; Hadfield &amp; Wittkowski, 2017; Megnin-Viggars et al., 2015; Morrell et al., 2016; Schmied et al., 2017; Scope et al., </w:t>
            </w:r>
            <w:r w:rsidRPr="00265687">
              <w:rPr>
                <w:rFonts w:ascii="Times New Roman" w:hAnsi="Times New Roman" w:cs="Times New Roman"/>
                <w:noProof/>
                <w:color w:val="000000"/>
                <w:sz w:val="16"/>
                <w:szCs w:val="16"/>
              </w:rPr>
              <w:lastRenderedPageBreak/>
              <w:t>2017; Slade et al., 2020; Watson et al., 2019</w:t>
            </w:r>
          </w:p>
          <w:p w14:paraId="358D447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SH </w:t>
            </w:r>
          </w:p>
        </w:tc>
        <w:tc>
          <w:tcPr>
            <w:tcW w:w="158" w:type="pct"/>
            <w:shd w:val="clear" w:color="auto" w:fill="auto"/>
          </w:tcPr>
          <w:p w14:paraId="0788504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19</w:t>
            </w:r>
          </w:p>
        </w:tc>
        <w:tc>
          <w:tcPr>
            <w:tcW w:w="580" w:type="pct"/>
          </w:tcPr>
          <w:p w14:paraId="137BFBA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1672CD7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O’Mahen</w:t>
            </w:r>
          </w:p>
          <w:p w14:paraId="4D40980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Pugh</w:t>
            </w:r>
          </w:p>
          <w:p w14:paraId="421644C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Evans</w:t>
            </w:r>
          </w:p>
          <w:p w14:paraId="6B594B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p w14:paraId="5BA4EE3C"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6154505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Chartier</w:t>
            </w:r>
          </w:p>
          <w:p w14:paraId="7A9AB33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1BDABCE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318E5F2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3DE56EE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Segre</w:t>
            </w:r>
          </w:p>
          <w:p w14:paraId="25DD5B6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p w14:paraId="380962E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5B25016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35B2B39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239F868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39F90CD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226E4A2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7C1EAC66"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3FC8D22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McKenzie-McHarg</w:t>
            </w:r>
          </w:p>
        </w:tc>
        <w:tc>
          <w:tcPr>
            <w:tcW w:w="451" w:type="pct"/>
          </w:tcPr>
          <w:p w14:paraId="1632B07B"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1139C1EA" w14:textId="77777777" w:rsidTr="00003995">
        <w:tc>
          <w:tcPr>
            <w:tcW w:w="736" w:type="pct"/>
          </w:tcPr>
          <w:p w14:paraId="4226F2A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4.2.3.3 Appropriateness</w:t>
            </w:r>
          </w:p>
        </w:tc>
        <w:tc>
          <w:tcPr>
            <w:tcW w:w="785" w:type="pct"/>
          </w:tcPr>
          <w:p w14:paraId="6B37EB4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Appropriateness of intervention being offered, from women and HCPs point of view</w:t>
            </w:r>
          </w:p>
        </w:tc>
        <w:tc>
          <w:tcPr>
            <w:tcW w:w="958" w:type="pct"/>
            <w:shd w:val="clear" w:color="auto" w:fill="auto"/>
          </w:tcPr>
          <w:p w14:paraId="5B48D662"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Atif et al., 2019; Bina et al., 2018; Chartier et al., 2015; Drozd et al., 2018; Leger et al., 2015; McKenzie-McHarg et al., 2014; Munodawafa et al., 2017; Noonan et al., 2018; Ormsby et al., 2018; Pugh et al., 2015; Reed et al., 2014; Shorey &amp; Ng, 2019</w:t>
            </w:r>
          </w:p>
          <w:p w14:paraId="1455493E" w14:textId="77777777" w:rsidR="00E965A2" w:rsidRPr="00265687" w:rsidRDefault="00E965A2" w:rsidP="00003995">
            <w:pPr>
              <w:spacing w:line="240" w:lineRule="auto"/>
              <w:ind w:firstLine="0"/>
              <w:rPr>
                <w:rFonts w:ascii="Times New Roman" w:hAnsi="Times New Roman" w:cs="Times New Roman"/>
                <w:sz w:val="16"/>
              </w:rPr>
            </w:pPr>
            <w:r w:rsidRPr="00265687">
              <w:rPr>
                <w:rFonts w:ascii="Times New Roman" w:hAnsi="Times New Roman" w:cs="Times New Roman"/>
                <w:color w:val="000000"/>
                <w:sz w:val="16"/>
              </w:rPr>
              <w:t>Evans et al., 2020; Megnin-Viggars et al., 2015; Scope et al., 2017</w:t>
            </w:r>
          </w:p>
        </w:tc>
        <w:tc>
          <w:tcPr>
            <w:tcW w:w="158" w:type="pct"/>
            <w:shd w:val="clear" w:color="auto" w:fill="auto"/>
          </w:tcPr>
          <w:p w14:paraId="26E7889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15</w:t>
            </w:r>
          </w:p>
        </w:tc>
        <w:tc>
          <w:tcPr>
            <w:tcW w:w="580" w:type="pct"/>
          </w:tcPr>
          <w:p w14:paraId="1B70FEF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58F26DA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Ormsby</w:t>
            </w:r>
          </w:p>
          <w:p w14:paraId="676649C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Pugh</w:t>
            </w:r>
          </w:p>
          <w:p w14:paraId="5A2A5A5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Evans</w:t>
            </w:r>
          </w:p>
        </w:tc>
        <w:tc>
          <w:tcPr>
            <w:tcW w:w="469" w:type="pct"/>
          </w:tcPr>
          <w:p w14:paraId="25D9D5F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18</w:t>
            </w:r>
          </w:p>
          <w:p w14:paraId="30F31ED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Chartier</w:t>
            </w:r>
          </w:p>
          <w:p w14:paraId="79F295A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Leger</w:t>
            </w:r>
          </w:p>
          <w:p w14:paraId="6A637A4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0556337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Reed</w:t>
            </w:r>
          </w:p>
          <w:p w14:paraId="5701D90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tc>
        <w:tc>
          <w:tcPr>
            <w:tcW w:w="429" w:type="pct"/>
          </w:tcPr>
          <w:p w14:paraId="7CF028E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245EF33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Drozd</w:t>
            </w:r>
          </w:p>
          <w:p w14:paraId="69A4C2F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70D87CF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3C3EAD2E"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34" w:type="pct"/>
          </w:tcPr>
          <w:p w14:paraId="4B86800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McKenzie-McHarg</w:t>
            </w:r>
          </w:p>
        </w:tc>
        <w:tc>
          <w:tcPr>
            <w:tcW w:w="451" w:type="pct"/>
          </w:tcPr>
          <w:p w14:paraId="01EA3682"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59BB8BD3" w14:textId="77777777" w:rsidTr="00003995">
        <w:tc>
          <w:tcPr>
            <w:tcW w:w="736" w:type="pct"/>
          </w:tcPr>
          <w:p w14:paraId="6FD0F9A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4.2.3.4 Flexible</w:t>
            </w:r>
          </w:p>
        </w:tc>
        <w:tc>
          <w:tcPr>
            <w:tcW w:w="785" w:type="pct"/>
          </w:tcPr>
          <w:p w14:paraId="3F07B0F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Flexibility of intervention</w:t>
            </w:r>
          </w:p>
        </w:tc>
        <w:tc>
          <w:tcPr>
            <w:tcW w:w="958" w:type="pct"/>
            <w:shd w:val="clear" w:color="auto" w:fill="auto"/>
          </w:tcPr>
          <w:p w14:paraId="251C3637"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Atif et al., 2019; Bina et al., 2018; Ganann et al., 2019; Hadfield et al., 2019; Judd et al., 2011; Munodawafa et al., 2017; O’Mahen &amp; Flynn, 2008; Pugh et al., 2015; Shorey &amp; Ng, 2019</w:t>
            </w:r>
          </w:p>
          <w:p w14:paraId="4658B0F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Sorsa et al., 2021; Watson et al., 2019</w:t>
            </w:r>
          </w:p>
        </w:tc>
        <w:tc>
          <w:tcPr>
            <w:tcW w:w="158" w:type="pct"/>
            <w:shd w:val="clear" w:color="auto" w:fill="auto"/>
          </w:tcPr>
          <w:p w14:paraId="5389335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0" w:type="pct"/>
          </w:tcPr>
          <w:p w14:paraId="518475D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p w14:paraId="61AA7B8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O’Mahen</w:t>
            </w:r>
          </w:p>
          <w:p w14:paraId="64518E2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Pugh</w:t>
            </w:r>
          </w:p>
        </w:tc>
        <w:tc>
          <w:tcPr>
            <w:tcW w:w="469" w:type="pct"/>
          </w:tcPr>
          <w:p w14:paraId="27C7838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18</w:t>
            </w:r>
          </w:p>
          <w:p w14:paraId="2C0C9FB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7B57FDA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p w14:paraId="79A9F4A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081AE17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19</w:t>
            </w:r>
          </w:p>
          <w:p w14:paraId="0A485A6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Hadfield 19</w:t>
            </w:r>
          </w:p>
          <w:p w14:paraId="14C05EB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Judd</w:t>
            </w:r>
          </w:p>
          <w:p w14:paraId="32FF12D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tc>
        <w:tc>
          <w:tcPr>
            <w:tcW w:w="434" w:type="pct"/>
          </w:tcPr>
          <w:p w14:paraId="7E817818"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47E93C4F"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2CCD2044" w14:textId="77777777" w:rsidTr="00003995">
        <w:tc>
          <w:tcPr>
            <w:tcW w:w="736" w:type="pct"/>
          </w:tcPr>
          <w:p w14:paraId="0AEFF16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4.2.3.5 Group support</w:t>
            </w:r>
          </w:p>
        </w:tc>
        <w:tc>
          <w:tcPr>
            <w:tcW w:w="785" w:type="pct"/>
          </w:tcPr>
          <w:p w14:paraId="320D98E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Group/peer support as an intervention</w:t>
            </w:r>
          </w:p>
        </w:tc>
        <w:tc>
          <w:tcPr>
            <w:tcW w:w="958" w:type="pct"/>
            <w:shd w:val="clear" w:color="auto" w:fill="auto"/>
          </w:tcPr>
          <w:p w14:paraId="4EB063A9"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Hadfield et al., 2019; Masood et al., 2015; Nakku et al., 2016</w:t>
            </w:r>
          </w:p>
          <w:p w14:paraId="5FEC20A3" w14:textId="77777777" w:rsidR="00E965A2" w:rsidRPr="00265687" w:rsidRDefault="00E965A2" w:rsidP="00003995">
            <w:pPr>
              <w:spacing w:line="240" w:lineRule="auto"/>
              <w:ind w:firstLine="0"/>
              <w:rPr>
                <w:rFonts w:ascii="Times New Roman" w:hAnsi="Times New Roman" w:cs="Times New Roman"/>
                <w:color w:val="000000"/>
                <w:sz w:val="16"/>
              </w:rPr>
            </w:pPr>
            <w:r w:rsidRPr="00265687">
              <w:rPr>
                <w:rFonts w:ascii="Times New Roman" w:hAnsi="Times New Roman" w:cs="Times New Roman"/>
                <w:color w:val="000000"/>
                <w:sz w:val="16"/>
              </w:rPr>
              <w:t>Dennis &amp; Chung-Lee, 2006; Evans et al., 2020; Hadfield &amp; Wittkowski, 2017; Holopainen &amp; Hakulinen, 2019; Jones et al., 2014; Megnin-Viggars et al., 2015; Schmied et al., 2017; Scope et al., 2017; Slade et al., 2020; Tobin et al., 2018; Watson et al., 2019</w:t>
            </w:r>
          </w:p>
          <w:p w14:paraId="00ACE9A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048D713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0" w:type="pct"/>
          </w:tcPr>
          <w:p w14:paraId="413DC70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Evans</w:t>
            </w:r>
          </w:p>
          <w:p w14:paraId="7A09B17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Holopainen</w:t>
            </w:r>
          </w:p>
        </w:tc>
        <w:tc>
          <w:tcPr>
            <w:tcW w:w="469" w:type="pct"/>
          </w:tcPr>
          <w:p w14:paraId="60EA133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0EF0484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3310913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1DA0069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1F2A4C6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Tobin </w:t>
            </w:r>
          </w:p>
          <w:p w14:paraId="34C24BC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1CE135B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Hadfield 19</w:t>
            </w:r>
          </w:p>
          <w:p w14:paraId="06D7222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0644DB4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1A9CE85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108B331F"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4734DEF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525B68A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17C99E5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0E0C97CB" w14:textId="77777777" w:rsidTr="00003995">
        <w:tc>
          <w:tcPr>
            <w:tcW w:w="736" w:type="pct"/>
          </w:tcPr>
          <w:p w14:paraId="545B994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4.2.3.7 Face to face delivery</w:t>
            </w:r>
          </w:p>
        </w:tc>
        <w:tc>
          <w:tcPr>
            <w:tcW w:w="785" w:type="pct"/>
          </w:tcPr>
          <w:p w14:paraId="591545E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Face to face delivery of intervention</w:t>
            </w:r>
          </w:p>
        </w:tc>
        <w:tc>
          <w:tcPr>
            <w:tcW w:w="958" w:type="pct"/>
          </w:tcPr>
          <w:p w14:paraId="2027F029" w14:textId="77777777" w:rsidR="00E965A2" w:rsidRPr="00265687" w:rsidRDefault="00E965A2" w:rsidP="00003995">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O’Mahen &amp; Flynn, 2008; Pugh et al., 2015; Shorey &amp; Ng, 2019</w:t>
            </w:r>
            <w:r w:rsidRPr="00265687">
              <w:rPr>
                <w:rFonts w:ascii="Times New Roman" w:hAnsi="Times New Roman" w:cs="Times New Roman"/>
                <w:i/>
                <w:sz w:val="16"/>
                <w:szCs w:val="16"/>
              </w:rPr>
              <w:t xml:space="preserve"> </w:t>
            </w:r>
          </w:p>
          <w:p w14:paraId="373519A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Schmied et al., 2017</w:t>
            </w:r>
          </w:p>
          <w:p w14:paraId="0B26F85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shd w:val="clear" w:color="auto" w:fill="auto"/>
          </w:tcPr>
          <w:p w14:paraId="7110CF3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0" w:type="pct"/>
          </w:tcPr>
          <w:p w14:paraId="2CE9FC4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O’Mahen</w:t>
            </w:r>
          </w:p>
          <w:p w14:paraId="2780B39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Pugh</w:t>
            </w:r>
          </w:p>
        </w:tc>
        <w:tc>
          <w:tcPr>
            <w:tcW w:w="469" w:type="pct"/>
          </w:tcPr>
          <w:p w14:paraId="0F75B83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Shorey</w:t>
            </w:r>
          </w:p>
        </w:tc>
        <w:tc>
          <w:tcPr>
            <w:tcW w:w="429" w:type="pct"/>
          </w:tcPr>
          <w:p w14:paraId="3228D71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63D087A3"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51F062D6"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5C49F34B" w14:textId="77777777" w:rsidTr="00003995">
        <w:tc>
          <w:tcPr>
            <w:tcW w:w="5000" w:type="pct"/>
            <w:gridSpan w:val="9"/>
            <w:shd w:val="clear" w:color="auto" w:fill="A5A5A5" w:themeFill="accent3"/>
          </w:tcPr>
          <w:p w14:paraId="1427F761"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5. Commissioners </w:t>
            </w:r>
          </w:p>
        </w:tc>
      </w:tr>
      <w:tr w:rsidR="00E965A2" w:rsidRPr="00265687" w14:paraId="73323A00" w14:textId="77777777" w:rsidTr="00003995">
        <w:tc>
          <w:tcPr>
            <w:tcW w:w="736" w:type="pct"/>
          </w:tcPr>
          <w:p w14:paraId="1C0760C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5.1 Referral pathways</w:t>
            </w:r>
          </w:p>
        </w:tc>
        <w:tc>
          <w:tcPr>
            <w:tcW w:w="785" w:type="pct"/>
          </w:tcPr>
          <w:p w14:paraId="6218BF0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Clear referral pathways</w:t>
            </w:r>
          </w:p>
        </w:tc>
        <w:tc>
          <w:tcPr>
            <w:tcW w:w="958" w:type="pct"/>
            <w:shd w:val="clear" w:color="auto" w:fill="auto"/>
          </w:tcPr>
          <w:p w14:paraId="6A648E35"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Ammerman et al., 2014; Boyd et al., 2011; Higgins et al., 2018; Nithianandan et al., 2016; Rowan et al., 2010; Willey et al., 2018</w:t>
            </w:r>
          </w:p>
          <w:p w14:paraId="2EB0895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58" w:type="pct"/>
            <w:shd w:val="clear" w:color="auto" w:fill="auto"/>
          </w:tcPr>
          <w:p w14:paraId="459141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0" w:type="pct"/>
          </w:tcPr>
          <w:p w14:paraId="709BA00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tc>
        <w:tc>
          <w:tcPr>
            <w:tcW w:w="469" w:type="pct"/>
          </w:tcPr>
          <w:p w14:paraId="1D561DF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0BC8008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12C8B0D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Willey</w:t>
            </w:r>
          </w:p>
        </w:tc>
        <w:tc>
          <w:tcPr>
            <w:tcW w:w="429" w:type="pct"/>
          </w:tcPr>
          <w:p w14:paraId="3835806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Ammerman</w:t>
            </w:r>
          </w:p>
          <w:p w14:paraId="778C984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tc>
        <w:tc>
          <w:tcPr>
            <w:tcW w:w="434" w:type="pct"/>
          </w:tcPr>
          <w:p w14:paraId="67BAF552"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0A622BAD"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5FEC928A" w14:textId="77777777" w:rsidTr="00003995">
        <w:tc>
          <w:tcPr>
            <w:tcW w:w="736" w:type="pct"/>
          </w:tcPr>
          <w:p w14:paraId="68E80E0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5.2 Lack of appropriate or timely services</w:t>
            </w:r>
          </w:p>
        </w:tc>
        <w:tc>
          <w:tcPr>
            <w:tcW w:w="785" w:type="pct"/>
          </w:tcPr>
          <w:p w14:paraId="296E2DE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Lack of appropriate and timely services to refer women onto </w:t>
            </w:r>
          </w:p>
        </w:tc>
        <w:tc>
          <w:tcPr>
            <w:tcW w:w="958" w:type="pct"/>
            <w:shd w:val="clear" w:color="auto" w:fill="auto"/>
          </w:tcPr>
          <w:p w14:paraId="02E2F1B3" w14:textId="77777777" w:rsidR="00E965A2" w:rsidRPr="00265687" w:rsidRDefault="00E965A2" w:rsidP="00003995">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 xml:space="preserve">Boyd et al., 2011; Doering et al., 2017; Ganann et al., 2019; Higgins et al., 2018; Kerker et al., 2018; Leger et al., 2015; Lomonaco-Haycraft et al., 2018; Munodawafa et al., 2017; Myors et al., 2015; Nakku et al., 2016; Noonan et al., 2018; Rowan et al., 2010; Williams et al., 2016 </w:t>
            </w:r>
          </w:p>
          <w:p w14:paraId="575F1527" w14:textId="77777777" w:rsidR="00E965A2" w:rsidRPr="00265687" w:rsidRDefault="00E965A2" w:rsidP="00003995">
            <w:pPr>
              <w:spacing w:line="240" w:lineRule="auto"/>
              <w:ind w:firstLine="0"/>
              <w:rPr>
                <w:rFonts w:ascii="Times New Roman" w:hAnsi="Times New Roman" w:cs="Times New Roman"/>
                <w:color w:val="000000"/>
                <w:sz w:val="16"/>
              </w:rPr>
            </w:pPr>
            <w:r w:rsidRPr="00265687">
              <w:rPr>
                <w:rFonts w:ascii="Times New Roman" w:hAnsi="Times New Roman" w:cs="Times New Roman"/>
                <w:color w:val="000000"/>
                <w:sz w:val="16"/>
              </w:rPr>
              <w:t>Bina, 2020; Button et al., 2017; Jones, 2019; Jones et al., 2014; Megnin-Viggars et al., 2015; Newman et al., 2019; Sambrook Smith et al., 2019; Tobin et al., 2018; Viveiros &amp; Darling, 2018</w:t>
            </w:r>
          </w:p>
          <w:p w14:paraId="75BB4AB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2D2D4AC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w:t>
            </w:r>
          </w:p>
        </w:tc>
        <w:tc>
          <w:tcPr>
            <w:tcW w:w="580" w:type="pct"/>
          </w:tcPr>
          <w:p w14:paraId="3D99C20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4EB5604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Munodawafa</w:t>
            </w:r>
          </w:p>
        </w:tc>
        <w:tc>
          <w:tcPr>
            <w:tcW w:w="469" w:type="pct"/>
          </w:tcPr>
          <w:p w14:paraId="1F3C816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6F3D29E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187E5D5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42CE956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Leger</w:t>
            </w:r>
          </w:p>
          <w:p w14:paraId="0A46C4B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Myors</w:t>
            </w:r>
          </w:p>
          <w:p w14:paraId="57F4BB8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62CBF6B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45C503A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32290AF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6B96402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7E29031E"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0669910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1AECBDF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Lomonaco-Haycraft</w:t>
            </w:r>
          </w:p>
          <w:p w14:paraId="0741589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p w14:paraId="70F0963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58BF6B0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427A14C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607D093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37D654E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3484BD7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6364A4D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tc>
        <w:tc>
          <w:tcPr>
            <w:tcW w:w="451" w:type="pct"/>
          </w:tcPr>
          <w:p w14:paraId="2714B18F"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2FEF6F3A" w14:textId="77777777" w:rsidTr="00003995">
        <w:tc>
          <w:tcPr>
            <w:tcW w:w="736" w:type="pct"/>
          </w:tcPr>
          <w:p w14:paraId="11BE9EF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5.3 Financial complexities</w:t>
            </w:r>
          </w:p>
        </w:tc>
        <w:tc>
          <w:tcPr>
            <w:tcW w:w="785" w:type="pct"/>
          </w:tcPr>
          <w:p w14:paraId="58E418C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Financial complexities including funding, and sourcing money and resources for services and financial reimbursement</w:t>
            </w:r>
          </w:p>
        </w:tc>
        <w:tc>
          <w:tcPr>
            <w:tcW w:w="958" w:type="pct"/>
            <w:shd w:val="clear" w:color="auto" w:fill="auto"/>
          </w:tcPr>
          <w:p w14:paraId="41968D76"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Cox et al., 2017; Feinberg et al., 2006; Friedman et al., 2010; Ganann et al., 2019; Kim et al., 2009; Lomonaco-Haycraft et al., 2018; Ormsby et al., 2018; Rowan et al., 2010</w:t>
            </w:r>
          </w:p>
          <w:p w14:paraId="47BDD08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57F634D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0" w:type="pct"/>
          </w:tcPr>
          <w:p w14:paraId="1B552B5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Ormsby</w:t>
            </w:r>
          </w:p>
        </w:tc>
        <w:tc>
          <w:tcPr>
            <w:tcW w:w="469" w:type="pct"/>
          </w:tcPr>
          <w:p w14:paraId="2D6C744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34B5D98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3F66F5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tc>
        <w:tc>
          <w:tcPr>
            <w:tcW w:w="429" w:type="pct"/>
          </w:tcPr>
          <w:p w14:paraId="6BD3A18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Friedman</w:t>
            </w:r>
          </w:p>
          <w:p w14:paraId="30E7AB07"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Kim</w:t>
            </w:r>
          </w:p>
          <w:p w14:paraId="42990B6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Lomonaco-Haycraft</w:t>
            </w:r>
          </w:p>
          <w:p w14:paraId="045647E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Rowan</w:t>
            </w:r>
          </w:p>
        </w:tc>
        <w:tc>
          <w:tcPr>
            <w:tcW w:w="434" w:type="pct"/>
          </w:tcPr>
          <w:p w14:paraId="7D123812"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3EFDF6B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Weighting of high confidence for one paper means we round up</w:t>
            </w:r>
          </w:p>
        </w:tc>
      </w:tr>
      <w:tr w:rsidR="00E965A2" w:rsidRPr="00265687" w14:paraId="5B8A3B2C" w14:textId="77777777" w:rsidTr="00003995">
        <w:tc>
          <w:tcPr>
            <w:tcW w:w="5000" w:type="pct"/>
            <w:gridSpan w:val="9"/>
            <w:shd w:val="clear" w:color="auto" w:fill="A5A5A5" w:themeFill="accent3"/>
          </w:tcPr>
          <w:p w14:paraId="0F8AD140"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6. Political</w:t>
            </w:r>
          </w:p>
        </w:tc>
      </w:tr>
      <w:tr w:rsidR="00E965A2" w:rsidRPr="00265687" w14:paraId="2C90E96E" w14:textId="77777777" w:rsidTr="00003995">
        <w:tc>
          <w:tcPr>
            <w:tcW w:w="736" w:type="pct"/>
          </w:tcPr>
          <w:p w14:paraId="610CE64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6.1 Immigration status</w:t>
            </w:r>
          </w:p>
        </w:tc>
        <w:tc>
          <w:tcPr>
            <w:tcW w:w="785" w:type="pct"/>
          </w:tcPr>
          <w:p w14:paraId="46EBA6E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How the immigration status of women may impact their PMH care journey</w:t>
            </w:r>
          </w:p>
        </w:tc>
        <w:tc>
          <w:tcPr>
            <w:tcW w:w="958" w:type="pct"/>
            <w:shd w:val="clear" w:color="auto" w:fill="auto"/>
          </w:tcPr>
          <w:p w14:paraId="596E0B8F" w14:textId="77777777" w:rsidR="00E965A2" w:rsidRPr="00265687" w:rsidRDefault="00E965A2" w:rsidP="00003995">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Cox et al., 2017; Ganann et al., 2019</w:t>
            </w:r>
          </w:p>
          <w:p w14:paraId="6DBE5685" w14:textId="77777777" w:rsidR="00E965A2" w:rsidRPr="00265687" w:rsidRDefault="00E965A2" w:rsidP="00003995">
            <w:pPr>
              <w:spacing w:line="240" w:lineRule="auto"/>
              <w:ind w:firstLine="0"/>
              <w:rPr>
                <w:rFonts w:ascii="Times New Roman" w:hAnsi="Times New Roman" w:cs="Times New Roman"/>
                <w:color w:val="000000"/>
                <w:sz w:val="16"/>
              </w:rPr>
            </w:pPr>
            <w:r w:rsidRPr="00265687">
              <w:rPr>
                <w:rFonts w:ascii="Times New Roman" w:hAnsi="Times New Roman" w:cs="Times New Roman"/>
                <w:color w:val="000000"/>
                <w:sz w:val="16"/>
              </w:rPr>
              <w:t>Bina, 2020; Giscombe et al., 2020; Hansotte et al., 2017; Kassam, 2019; Schmied et al., 2017; Tobin et al., 2018; Watson et al., 2019</w:t>
            </w:r>
          </w:p>
          <w:p w14:paraId="3A0A29E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32F6208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0" w:type="pct"/>
          </w:tcPr>
          <w:p w14:paraId="274A3821" w14:textId="77777777" w:rsidR="00E965A2" w:rsidRPr="00265687" w:rsidRDefault="00E965A2" w:rsidP="00003995">
            <w:pPr>
              <w:spacing w:line="240" w:lineRule="auto"/>
              <w:ind w:firstLine="0"/>
              <w:rPr>
                <w:rFonts w:ascii="Times New Roman" w:hAnsi="Times New Roman" w:cs="Times New Roman"/>
                <w:sz w:val="16"/>
                <w:szCs w:val="16"/>
              </w:rPr>
            </w:pPr>
          </w:p>
        </w:tc>
        <w:tc>
          <w:tcPr>
            <w:tcW w:w="469" w:type="pct"/>
          </w:tcPr>
          <w:p w14:paraId="65580B1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7DAEB85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32E3B26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 17</w:t>
            </w:r>
          </w:p>
          <w:p w14:paraId="64402BE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0CE11AE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32D0FB0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163B652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7FA5788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tc>
        <w:tc>
          <w:tcPr>
            <w:tcW w:w="434" w:type="pct"/>
          </w:tcPr>
          <w:p w14:paraId="0A0E366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Giscombe</w:t>
            </w:r>
          </w:p>
        </w:tc>
        <w:tc>
          <w:tcPr>
            <w:tcW w:w="451" w:type="pct"/>
          </w:tcPr>
          <w:p w14:paraId="5E48DE9C"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60265606" w14:textId="77777777" w:rsidTr="00003995">
        <w:tc>
          <w:tcPr>
            <w:tcW w:w="736" w:type="pct"/>
          </w:tcPr>
          <w:p w14:paraId="4E57E3D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5.2 Economic status &amp; healthcare costs</w:t>
            </w:r>
          </w:p>
        </w:tc>
        <w:tc>
          <w:tcPr>
            <w:tcW w:w="785" w:type="pct"/>
          </w:tcPr>
          <w:p w14:paraId="1CCDC3B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How the cost of healthcare, and women's economic status may impact their PMH care journey</w:t>
            </w:r>
          </w:p>
        </w:tc>
        <w:tc>
          <w:tcPr>
            <w:tcW w:w="958" w:type="pct"/>
            <w:shd w:val="clear" w:color="auto" w:fill="auto"/>
          </w:tcPr>
          <w:p w14:paraId="1CDA3E4A"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Atif et al., 2016; Boyd et al., 2011; Cox et al., 2017; Doering et al., 2017; Ganann et al., 2019; Lomonaco-Haycraft et al., 2018; Munodawafa et al., 2017; Nakku et al., 2016; Ormsby et al., 2018</w:t>
            </w:r>
          </w:p>
          <w:p w14:paraId="7B946B8E" w14:textId="77777777" w:rsidR="00E965A2" w:rsidRPr="00265687" w:rsidRDefault="00E965A2" w:rsidP="00003995">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 Hansotte et al., 2017; Jones, 2019; Kassam, 2019; Lucas et al., 2019; Tobin et al., 2018; Viveiros &amp; Darling, 2018</w:t>
            </w:r>
          </w:p>
          <w:p w14:paraId="07EF1C2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7B17B77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w:t>
            </w:r>
          </w:p>
        </w:tc>
        <w:tc>
          <w:tcPr>
            <w:tcW w:w="580" w:type="pct"/>
          </w:tcPr>
          <w:p w14:paraId="57E746D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Doering</w:t>
            </w:r>
          </w:p>
          <w:p w14:paraId="5E96BAA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Ormsby</w:t>
            </w:r>
          </w:p>
          <w:p w14:paraId="5783196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tc>
        <w:tc>
          <w:tcPr>
            <w:tcW w:w="469" w:type="pct"/>
          </w:tcPr>
          <w:p w14:paraId="5B72F0AA"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63879EF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64E987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Cox</w:t>
            </w:r>
          </w:p>
          <w:p w14:paraId="6DEECF1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7D8BAF9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72DC5F5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0B436A7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34577467" w14:textId="77777777" w:rsidR="00E965A2" w:rsidRPr="00265687" w:rsidRDefault="00E965A2" w:rsidP="00003995">
            <w:pPr>
              <w:spacing w:line="240" w:lineRule="auto"/>
              <w:ind w:firstLine="0"/>
              <w:rPr>
                <w:rFonts w:ascii="Times New Roman" w:hAnsi="Times New Roman" w:cs="Times New Roman"/>
                <w:i/>
                <w:iCs/>
                <w:sz w:val="16"/>
                <w:szCs w:val="16"/>
              </w:rPr>
            </w:pPr>
          </w:p>
        </w:tc>
        <w:tc>
          <w:tcPr>
            <w:tcW w:w="429" w:type="pct"/>
          </w:tcPr>
          <w:p w14:paraId="1A1956D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Lomonaca-Haycraft</w:t>
            </w:r>
          </w:p>
          <w:p w14:paraId="5925D55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1B75626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014C4144"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6570844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288E6E15"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7B21F0F8"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71A7BA84" w14:textId="77777777" w:rsidTr="00003995">
        <w:tc>
          <w:tcPr>
            <w:tcW w:w="5000" w:type="pct"/>
            <w:gridSpan w:val="9"/>
            <w:shd w:val="clear" w:color="auto" w:fill="A5A5A5" w:themeFill="accent3"/>
          </w:tcPr>
          <w:p w14:paraId="39BF0ECE"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7. Societal</w:t>
            </w:r>
          </w:p>
        </w:tc>
      </w:tr>
      <w:tr w:rsidR="00E965A2" w:rsidRPr="00265687" w14:paraId="00456488" w14:textId="77777777" w:rsidTr="00003995">
        <w:tc>
          <w:tcPr>
            <w:tcW w:w="736" w:type="pct"/>
          </w:tcPr>
          <w:p w14:paraId="4AAB574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7.1 Stigma</w:t>
            </w:r>
          </w:p>
        </w:tc>
        <w:tc>
          <w:tcPr>
            <w:tcW w:w="785" w:type="pct"/>
          </w:tcPr>
          <w:p w14:paraId="2A41473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Stigma related to mental illness</w:t>
            </w:r>
          </w:p>
        </w:tc>
        <w:tc>
          <w:tcPr>
            <w:tcW w:w="958" w:type="pct"/>
            <w:shd w:val="clear" w:color="auto" w:fill="auto"/>
          </w:tcPr>
          <w:p w14:paraId="2555064F"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 xml:space="preserve">Atif et al., 2016, 2019; Boyd et al., 2011; Chartier et al., 2015; Cox et al., 2017; Feinberg et al., 2006; </w:t>
            </w:r>
            <w:r w:rsidRPr="00265687">
              <w:rPr>
                <w:rFonts w:ascii="Times New Roman" w:hAnsi="Times New Roman" w:cs="Times New Roman"/>
                <w:i/>
                <w:noProof/>
                <w:color w:val="000000"/>
                <w:sz w:val="16"/>
                <w:szCs w:val="16"/>
              </w:rPr>
              <w:lastRenderedPageBreak/>
              <w:t>Higgins et al., 2018; Kerker et al., 2018; McCauley et al., 2019; McKenzie-McHarg et al., 2014; Munodawafa et al., 2017; Myors et al., 2015; Nakku et al., 2016; Nithianandan et al., 2016; Noonan et al., 2018; O’Mahen &amp; Flynn, 2008; Shakespeare et al., 2003; Vik et al., 2009; Williams et al., 2016; Young et al., 2019</w:t>
            </w:r>
          </w:p>
          <w:p w14:paraId="49DFC091" w14:textId="77777777" w:rsidR="00E965A2" w:rsidRPr="00265687" w:rsidRDefault="00E965A2" w:rsidP="00003995">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et al., 2018; Button et al., 2017; Dennis &amp; Chung-Lee, 2006; Giscombe et al., 2020; Hadfield &amp; Wittkowski, 2017; Hansotte et al., 2017; Hewitt et al., 2009; Holopainen &amp; Hakulinen, 2019; A. Jones, 2019; Kassam, 2019; Lucas et al., 2019; Megnin-Viggars et al., 2015; Mollard et al., 2016; Morrell et al., 2016; Nilaweera et al., 2014; Sambrook Smith et al., 2019; Schmied et al., 2017; Scope et al., 2017; Sorsa et al., 2021; Tobin et al., 2018; Viveiros &amp; Darling, 2018; Watson et al., 2019</w:t>
            </w:r>
          </w:p>
          <w:p w14:paraId="27EB598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0AD6B4F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43</w:t>
            </w:r>
          </w:p>
        </w:tc>
        <w:tc>
          <w:tcPr>
            <w:tcW w:w="580" w:type="pct"/>
          </w:tcPr>
          <w:p w14:paraId="69E9133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McCauley</w:t>
            </w:r>
          </w:p>
          <w:p w14:paraId="2D91FFC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Munodowafa</w:t>
            </w:r>
          </w:p>
          <w:p w14:paraId="550DC82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Nithiananden</w:t>
            </w:r>
          </w:p>
          <w:p w14:paraId="0CC5A5F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O’Mahen</w:t>
            </w:r>
          </w:p>
          <w:p w14:paraId="157BD37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Young</w:t>
            </w:r>
          </w:p>
          <w:p w14:paraId="4A6D1A1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Holopainen</w:t>
            </w:r>
          </w:p>
          <w:p w14:paraId="568E6FE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p w14:paraId="31677CF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Morrell</w:t>
            </w:r>
          </w:p>
        </w:tc>
        <w:tc>
          <w:tcPr>
            <w:tcW w:w="469" w:type="pct"/>
          </w:tcPr>
          <w:p w14:paraId="6A328C6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Atif 16</w:t>
            </w:r>
          </w:p>
          <w:p w14:paraId="30409EB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3A148EEB"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Chartier</w:t>
            </w:r>
          </w:p>
          <w:p w14:paraId="41BBA41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Feinberg</w:t>
            </w:r>
          </w:p>
          <w:p w14:paraId="5691D9B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345A54D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Myors</w:t>
            </w:r>
          </w:p>
          <w:p w14:paraId="08768724"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462B364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02CE6FE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p w14:paraId="44A8B608"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175C301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 17</w:t>
            </w:r>
          </w:p>
          <w:p w14:paraId="46ACE0E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713BF65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2467842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3245F73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412A603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Atif 19</w:t>
            </w:r>
          </w:p>
          <w:p w14:paraId="11B9BFED"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Kerker</w:t>
            </w:r>
          </w:p>
          <w:p w14:paraId="1E04A57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Vik</w:t>
            </w:r>
          </w:p>
          <w:p w14:paraId="334B985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Bina 20</w:t>
            </w:r>
          </w:p>
          <w:p w14:paraId="761F6B6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2E6985E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2141A24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6DFBC86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6F43D0E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Mollard</w:t>
            </w:r>
          </w:p>
          <w:p w14:paraId="17B17A9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Nilaweera</w:t>
            </w:r>
          </w:p>
          <w:p w14:paraId="0EB8E2E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65E474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Scope</w:t>
            </w:r>
          </w:p>
          <w:p w14:paraId="08451E4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p w14:paraId="5EA7071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48C80F3E"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lastRenderedPageBreak/>
              <w:t>McKenzie-McHarg</w:t>
            </w:r>
          </w:p>
          <w:p w14:paraId="3DFD8A1A"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42A7D35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Giscombe</w:t>
            </w:r>
          </w:p>
        </w:tc>
        <w:tc>
          <w:tcPr>
            <w:tcW w:w="451" w:type="pct"/>
          </w:tcPr>
          <w:p w14:paraId="3B63D73F"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lastRenderedPageBreak/>
              <w:t xml:space="preserve">Moderate confidence - </w:t>
            </w:r>
            <w:r w:rsidRPr="00265687">
              <w:rPr>
                <w:rFonts w:ascii="Times New Roman" w:hAnsi="Times New Roman" w:cs="Times New Roman"/>
                <w:sz w:val="16"/>
                <w:szCs w:val="16"/>
              </w:rPr>
              <w:t xml:space="preserve">most studies </w:t>
            </w:r>
            <w:r w:rsidRPr="00265687">
              <w:rPr>
                <w:rFonts w:ascii="Times New Roman" w:hAnsi="Times New Roman" w:cs="Times New Roman"/>
                <w:sz w:val="16"/>
                <w:szCs w:val="16"/>
              </w:rPr>
              <w:lastRenderedPageBreak/>
              <w:t>rated as high or moderate confidence.</w:t>
            </w:r>
          </w:p>
        </w:tc>
      </w:tr>
      <w:tr w:rsidR="00E965A2" w:rsidRPr="00265687" w14:paraId="1C2EB603" w14:textId="77777777" w:rsidTr="00003995">
        <w:tc>
          <w:tcPr>
            <w:tcW w:w="736" w:type="pct"/>
          </w:tcPr>
          <w:p w14:paraId="012E645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7.2 Culture</w:t>
            </w:r>
          </w:p>
        </w:tc>
        <w:tc>
          <w:tcPr>
            <w:tcW w:w="785" w:type="pct"/>
          </w:tcPr>
          <w:p w14:paraId="6BCB1FA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Cultural beliefs about mental illness and seeking and accessing help</w:t>
            </w:r>
          </w:p>
        </w:tc>
        <w:tc>
          <w:tcPr>
            <w:tcW w:w="958" w:type="pct"/>
            <w:shd w:val="clear" w:color="auto" w:fill="auto"/>
          </w:tcPr>
          <w:p w14:paraId="6A8A935C" w14:textId="77777777" w:rsidR="00E965A2" w:rsidRPr="00265687" w:rsidRDefault="00E965A2" w:rsidP="00003995">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 xml:space="preserve">Atif et al., 2016; Bina et al., 2018; Boyd et al., 2011; Feinberg et al., 2006; Friedman et al., 2010; Ganann et al., 2019; Higgins et al., 2018; Masood et al., 2015; McCauley et al., 2019; Nakku et al., 2016; Noonan et al., 2018; Segre et al., 2014  </w:t>
            </w:r>
          </w:p>
          <w:p w14:paraId="6144247C" w14:textId="77777777" w:rsidR="00E965A2" w:rsidRPr="00265687" w:rsidRDefault="00E965A2" w:rsidP="00003995">
            <w:pPr>
              <w:spacing w:line="240" w:lineRule="auto"/>
              <w:ind w:firstLine="0"/>
              <w:rPr>
                <w:rFonts w:ascii="Times New Roman" w:hAnsi="Times New Roman" w:cs="Times New Roman"/>
                <w:color w:val="000000"/>
                <w:sz w:val="16"/>
                <w:lang w:val="es-ES"/>
              </w:rPr>
            </w:pPr>
            <w:r w:rsidRPr="00265687">
              <w:rPr>
                <w:rFonts w:ascii="Times New Roman" w:hAnsi="Times New Roman" w:cs="Times New Roman"/>
                <w:color w:val="000000"/>
                <w:sz w:val="16"/>
                <w:lang w:val="es-ES"/>
              </w:rPr>
              <w:t>Brealey et al., 2010; Button et al., 2017; Dennis &amp; Chung-Lee, 2006; Giscombe et al., 2020; Hansotte et al., 2017; Hewitt et al., 2009; Holopainen &amp; Hakulinen, 2019; Jones, 2019; Kassam, 2019; Megnin-Viggars et al., 2015; Praetorius et al., 2020; Sambrook Smith et al., 2019; Schmied et al., 2017; Staneva et al., 2015; Tobin et al., 2018; Viveiros &amp; Darling, 2018; Watson et al., 2019; Wittkowski et al., 2014</w:t>
            </w:r>
          </w:p>
          <w:p w14:paraId="0E3890C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lastRenderedPageBreak/>
              <w:t>SH</w:t>
            </w:r>
          </w:p>
        </w:tc>
        <w:tc>
          <w:tcPr>
            <w:tcW w:w="158" w:type="pct"/>
            <w:shd w:val="clear" w:color="auto" w:fill="auto"/>
          </w:tcPr>
          <w:p w14:paraId="2B15D83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30</w:t>
            </w:r>
          </w:p>
        </w:tc>
        <w:tc>
          <w:tcPr>
            <w:tcW w:w="580" w:type="pct"/>
          </w:tcPr>
          <w:p w14:paraId="00146DE2"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McCauley</w:t>
            </w:r>
          </w:p>
          <w:p w14:paraId="2AC8178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Holopainen</w:t>
            </w:r>
          </w:p>
          <w:p w14:paraId="593C224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tc>
        <w:tc>
          <w:tcPr>
            <w:tcW w:w="469" w:type="pct"/>
          </w:tcPr>
          <w:p w14:paraId="72FC3C7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Atif 16</w:t>
            </w:r>
          </w:p>
          <w:p w14:paraId="51A9457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Bina 18</w:t>
            </w:r>
          </w:p>
          <w:p w14:paraId="65DA35E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Boyd</w:t>
            </w:r>
          </w:p>
          <w:p w14:paraId="7F52B2AF"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Feinberg</w:t>
            </w:r>
          </w:p>
          <w:p w14:paraId="229DE6A0"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Ganann</w:t>
            </w:r>
          </w:p>
          <w:p w14:paraId="1EA55621"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Higgins</w:t>
            </w:r>
          </w:p>
          <w:p w14:paraId="47E5E6D6"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Masood</w:t>
            </w:r>
          </w:p>
          <w:p w14:paraId="59D57815"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Nakku</w:t>
            </w:r>
          </w:p>
          <w:p w14:paraId="6D6C9D6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Noonan</w:t>
            </w:r>
          </w:p>
          <w:p w14:paraId="7ADEBE0C"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Segre</w:t>
            </w:r>
          </w:p>
          <w:p w14:paraId="4E2DBF8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4C1990E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0BD8FF95"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p w14:paraId="1ED1AEC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Tobin</w:t>
            </w:r>
          </w:p>
          <w:p w14:paraId="6D2BC6BC"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4374197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Friedman</w:t>
            </w:r>
          </w:p>
          <w:p w14:paraId="580134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4136F0C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73BFC72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19</w:t>
            </w:r>
          </w:p>
          <w:p w14:paraId="1F47FA3D"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2757AC5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Praetorius</w:t>
            </w:r>
          </w:p>
          <w:p w14:paraId="697B1F3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Schmied</w:t>
            </w:r>
          </w:p>
          <w:p w14:paraId="3369F8EB" w14:textId="77777777" w:rsidR="00E965A2" w:rsidRPr="00265687" w:rsidRDefault="00E965A2" w:rsidP="00003995">
            <w:pPr>
              <w:spacing w:line="240" w:lineRule="auto"/>
              <w:ind w:firstLine="0"/>
              <w:rPr>
                <w:rFonts w:ascii="Times New Roman" w:hAnsi="Times New Roman" w:cs="Times New Roman"/>
                <w:sz w:val="16"/>
                <w:szCs w:val="16"/>
              </w:rPr>
            </w:pPr>
          </w:p>
        </w:tc>
        <w:tc>
          <w:tcPr>
            <w:tcW w:w="434" w:type="pct"/>
          </w:tcPr>
          <w:p w14:paraId="037F2B1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40A4AB0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08431D8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Giscombe</w:t>
            </w:r>
          </w:p>
        </w:tc>
        <w:tc>
          <w:tcPr>
            <w:tcW w:w="451" w:type="pct"/>
          </w:tcPr>
          <w:p w14:paraId="11D10EBA"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Moderate confidence - </w:t>
            </w:r>
            <w:r w:rsidRPr="00265687">
              <w:rPr>
                <w:rFonts w:ascii="Times New Roman" w:hAnsi="Times New Roman" w:cs="Times New Roman"/>
                <w:sz w:val="16"/>
                <w:szCs w:val="16"/>
              </w:rPr>
              <w:t>most studies rated as high or moderate confidence.</w:t>
            </w:r>
          </w:p>
        </w:tc>
      </w:tr>
      <w:tr w:rsidR="00E965A2" w:rsidRPr="00265687" w14:paraId="30900CB3" w14:textId="77777777" w:rsidTr="00003995">
        <w:tc>
          <w:tcPr>
            <w:tcW w:w="736" w:type="pct"/>
          </w:tcPr>
          <w:p w14:paraId="47094CA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7.3 Maternal norms</w:t>
            </w:r>
          </w:p>
        </w:tc>
        <w:tc>
          <w:tcPr>
            <w:tcW w:w="785" w:type="pct"/>
          </w:tcPr>
          <w:p w14:paraId="4ACEB26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Maternal norms of being a "good mother" and a "strong woman"</w:t>
            </w:r>
          </w:p>
        </w:tc>
        <w:tc>
          <w:tcPr>
            <w:tcW w:w="958" w:type="pct"/>
            <w:shd w:val="clear" w:color="auto" w:fill="auto"/>
          </w:tcPr>
          <w:p w14:paraId="769E1BE9" w14:textId="77777777" w:rsidR="00E965A2" w:rsidRPr="00265687" w:rsidRDefault="00E965A2" w:rsidP="00003995">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Shakespeare et al., 2003; Williams et al., 2016</w:t>
            </w:r>
          </w:p>
          <w:p w14:paraId="2AA1B055" w14:textId="77777777" w:rsidR="00E965A2" w:rsidRPr="00265687" w:rsidRDefault="00E965A2" w:rsidP="00003995">
            <w:pPr>
              <w:spacing w:line="240" w:lineRule="auto"/>
              <w:ind w:firstLine="0"/>
              <w:rPr>
                <w:rFonts w:ascii="Times New Roman" w:hAnsi="Times New Roman" w:cs="Times New Roman"/>
                <w:noProof/>
                <w:color w:val="000000"/>
                <w:sz w:val="16"/>
                <w:szCs w:val="16"/>
              </w:rPr>
            </w:pPr>
            <w:r w:rsidRPr="00265687">
              <w:rPr>
                <w:rFonts w:ascii="Times New Roman" w:hAnsi="Times New Roman" w:cs="Times New Roman"/>
                <w:noProof/>
                <w:color w:val="000000"/>
                <w:sz w:val="16"/>
                <w:szCs w:val="16"/>
              </w:rPr>
              <w:t>Bina, 2020; Brealey et al., 2010; Button et al., 2017; Dennis &amp; Chung-Lee, 2006; Hadfield &amp; Wittkowski, 2017; Hansotte et al., 2017; Hewitt et al., 2009; Holopainen &amp; Hakulinen, 2019; Johnson et al., 2020; Jones et al., 2014; Kassam, 2019; Lucas et al., 2019; Megnin-Viggars et al., 2015; Mollard et al., 2016; Newman et al., 2019; Nilaweera et al., 2014; Praetorius et al., 2020; Sambrook Smith et al., 2019; Schmied et al., 2017; Slade et al., 2020; Sorsa et al., 2021; Staneva et al., 2015; Viveiros &amp; Darling, 2018; Watson et al., 2019</w:t>
            </w:r>
          </w:p>
          <w:p w14:paraId="17F67BE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58" w:type="pct"/>
            <w:shd w:val="clear" w:color="auto" w:fill="auto"/>
          </w:tcPr>
          <w:p w14:paraId="65FD2523"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27</w:t>
            </w:r>
          </w:p>
        </w:tc>
        <w:tc>
          <w:tcPr>
            <w:tcW w:w="580" w:type="pct"/>
          </w:tcPr>
          <w:p w14:paraId="3B869B1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Hewitt</w:t>
            </w:r>
          </w:p>
          <w:p w14:paraId="35F87FF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Holopainen</w:t>
            </w:r>
          </w:p>
          <w:p w14:paraId="19532DC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Lucas</w:t>
            </w:r>
          </w:p>
        </w:tc>
        <w:tc>
          <w:tcPr>
            <w:tcW w:w="469" w:type="pct"/>
          </w:tcPr>
          <w:p w14:paraId="27102AD3"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Shakespeare</w:t>
            </w:r>
          </w:p>
          <w:p w14:paraId="324799F9" w14:textId="77777777" w:rsidR="00E965A2" w:rsidRPr="00265687" w:rsidRDefault="00E965A2" w:rsidP="00003995">
            <w:pPr>
              <w:spacing w:line="240" w:lineRule="auto"/>
              <w:ind w:firstLine="0"/>
              <w:rPr>
                <w:rFonts w:ascii="Times New Roman" w:hAnsi="Times New Roman" w:cs="Times New Roman"/>
                <w:i/>
                <w:iCs/>
                <w:sz w:val="16"/>
                <w:szCs w:val="16"/>
              </w:rPr>
            </w:pPr>
            <w:r w:rsidRPr="00265687">
              <w:rPr>
                <w:rFonts w:ascii="Times New Roman" w:hAnsi="Times New Roman" w:cs="Times New Roman"/>
                <w:i/>
                <w:iCs/>
                <w:sz w:val="16"/>
                <w:szCs w:val="16"/>
              </w:rPr>
              <w:t>Williams</w:t>
            </w:r>
          </w:p>
          <w:p w14:paraId="7FEABD9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Hadfield</w:t>
            </w:r>
          </w:p>
          <w:p w14:paraId="6B777B4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Kassam</w:t>
            </w:r>
          </w:p>
          <w:p w14:paraId="61C05822"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Sambrook-Smith</w:t>
            </w:r>
          </w:p>
          <w:p w14:paraId="2B02035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Slade</w:t>
            </w:r>
          </w:p>
          <w:p w14:paraId="0748000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Staneva</w:t>
            </w:r>
          </w:p>
          <w:p w14:paraId="7035959B"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Watson</w:t>
            </w:r>
          </w:p>
        </w:tc>
        <w:tc>
          <w:tcPr>
            <w:tcW w:w="429" w:type="pct"/>
          </w:tcPr>
          <w:p w14:paraId="52B95AB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Bina 20</w:t>
            </w:r>
          </w:p>
          <w:p w14:paraId="2BD8E3B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Button</w:t>
            </w:r>
          </w:p>
          <w:p w14:paraId="3AA390E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Hansotte</w:t>
            </w:r>
          </w:p>
          <w:p w14:paraId="2FFBEAE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Megnin-Viggars</w:t>
            </w:r>
          </w:p>
          <w:p w14:paraId="6E70789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Mollard</w:t>
            </w:r>
          </w:p>
          <w:p w14:paraId="6BCF014F"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Newman</w:t>
            </w:r>
          </w:p>
          <w:p w14:paraId="7F722669"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Nilaweera</w:t>
            </w:r>
          </w:p>
          <w:p w14:paraId="59388DF1"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Praetorius</w:t>
            </w:r>
          </w:p>
          <w:p w14:paraId="69AA43DE"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Sorsa</w:t>
            </w:r>
          </w:p>
          <w:p w14:paraId="43FA9C60"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Viveiros</w:t>
            </w:r>
          </w:p>
        </w:tc>
        <w:tc>
          <w:tcPr>
            <w:tcW w:w="434" w:type="pct"/>
          </w:tcPr>
          <w:p w14:paraId="004DEAF7"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Brealey</w:t>
            </w:r>
          </w:p>
          <w:p w14:paraId="483BC246"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Dennis</w:t>
            </w:r>
          </w:p>
          <w:p w14:paraId="3798C848" w14:textId="77777777" w:rsidR="00E965A2" w:rsidRPr="00265687" w:rsidRDefault="00E965A2" w:rsidP="00003995">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Jones 14</w:t>
            </w:r>
          </w:p>
          <w:p w14:paraId="7B4833A4" w14:textId="77777777" w:rsidR="00E965A2" w:rsidRPr="00265687" w:rsidRDefault="00E965A2" w:rsidP="00003995">
            <w:pPr>
              <w:spacing w:line="240" w:lineRule="auto"/>
              <w:ind w:firstLine="0"/>
              <w:rPr>
                <w:rFonts w:ascii="Times New Roman" w:hAnsi="Times New Roman" w:cs="Times New Roman"/>
                <w:sz w:val="16"/>
                <w:szCs w:val="16"/>
              </w:rPr>
            </w:pPr>
          </w:p>
        </w:tc>
        <w:tc>
          <w:tcPr>
            <w:tcW w:w="451" w:type="pct"/>
          </w:tcPr>
          <w:p w14:paraId="1BF21158" w14:textId="77777777" w:rsidR="00E965A2" w:rsidRPr="00265687" w:rsidRDefault="00E965A2" w:rsidP="00003995">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 </w:t>
            </w:r>
            <w:r w:rsidRPr="00265687">
              <w:rPr>
                <w:rFonts w:ascii="Times New Roman" w:hAnsi="Times New Roman" w:cs="Times New Roman"/>
                <w:sz w:val="16"/>
                <w:szCs w:val="16"/>
              </w:rPr>
              <w:t>most studies have moderate methodological concerns</w:t>
            </w:r>
          </w:p>
        </w:tc>
      </w:tr>
    </w:tbl>
    <w:p w14:paraId="41E91544" w14:textId="4976108F" w:rsidR="00E965A2" w:rsidRPr="00265687" w:rsidRDefault="00E965A2" w:rsidP="00E965A2">
      <w:pPr>
        <w:pStyle w:val="CommentText"/>
      </w:pPr>
      <w:r w:rsidRPr="00265687">
        <w:rPr>
          <w:rStyle w:val="CommentReference"/>
        </w:rPr>
        <w:t/>
      </w:r>
      <w:r w:rsidRPr="00265687">
        <w:t>Overall, the systematic reviews received lower methodological quality scores, however when there is an even split, if there are more systematic reviews, the higher quality rating is chosen. This is because systematic reviews are seen as higher in the evidence pyramid, than primary research studies (</w:t>
      </w:r>
      <w:hyperlink r:id="rId13" w:history="1">
        <w:r w:rsidRPr="00265687">
          <w:rPr>
            <w:rStyle w:val="Hyperlink"/>
          </w:rPr>
          <w:t>https://academicguides.waldenu.edu/library/healthevidence/evidencepyramid</w:t>
        </w:r>
      </w:hyperlink>
      <w:r w:rsidRPr="00265687">
        <w:t xml:space="preserve">). </w:t>
      </w:r>
    </w:p>
    <w:p w14:paraId="5D635463" w14:textId="586ABDAA" w:rsidR="006C0027" w:rsidRPr="00265687" w:rsidRDefault="006C0027" w:rsidP="00BE7DC4">
      <w:pPr>
        <w:spacing w:line="240" w:lineRule="auto"/>
        <w:ind w:firstLine="0"/>
        <w:rPr>
          <w:rFonts w:ascii="Times New Roman" w:hAnsi="Times New Roman" w:cs="Times New Roman"/>
        </w:rPr>
      </w:pPr>
    </w:p>
    <w:p w14:paraId="50CE9139" w14:textId="77777777" w:rsidR="001840B0" w:rsidRPr="00265687" w:rsidRDefault="001840B0" w:rsidP="00BE7DC4">
      <w:pPr>
        <w:spacing w:line="240" w:lineRule="auto"/>
        <w:ind w:firstLine="0"/>
        <w:rPr>
          <w:rFonts w:ascii="Times New Roman" w:hAnsi="Times New Roman" w:cs="Times New Roman"/>
        </w:rPr>
      </w:pPr>
      <w:r w:rsidRPr="00265687">
        <w:rPr>
          <w:rFonts w:ascii="Times New Roman" w:hAnsi="Times New Roman" w:cs="Times New Roman"/>
        </w:rPr>
        <w:br w:type="page"/>
      </w:r>
    </w:p>
    <w:p w14:paraId="11FB01FF" w14:textId="5259EE41" w:rsidR="007A71F9" w:rsidRPr="00367A93" w:rsidRDefault="00367A93" w:rsidP="00367A93">
      <w:pPr>
        <w:pStyle w:val="Heading1"/>
        <w:rPr>
          <w:rFonts w:ascii="Times New Roman" w:hAnsi="Times New Roman" w:cs="Times New Roman"/>
          <w:color w:val="auto"/>
          <w:sz w:val="24"/>
          <w:szCs w:val="24"/>
        </w:rPr>
      </w:pPr>
      <w:bookmarkStart w:id="6" w:name="_Toc108781724"/>
      <w:r w:rsidRPr="00367A93">
        <w:rPr>
          <w:rFonts w:ascii="Times New Roman" w:hAnsi="Times New Roman" w:cs="Times New Roman"/>
          <w:i/>
          <w:iCs/>
          <w:color w:val="auto"/>
          <w:sz w:val="24"/>
          <w:szCs w:val="24"/>
        </w:rPr>
        <w:lastRenderedPageBreak/>
        <w:t xml:space="preserve">Supplementary </w:t>
      </w:r>
      <w:r>
        <w:rPr>
          <w:rFonts w:ascii="Times New Roman" w:hAnsi="Times New Roman" w:cs="Times New Roman"/>
          <w:i/>
          <w:iCs/>
          <w:color w:val="auto"/>
          <w:sz w:val="24"/>
          <w:szCs w:val="24"/>
        </w:rPr>
        <w:t>M</w:t>
      </w:r>
      <w:r w:rsidRPr="00367A93">
        <w:rPr>
          <w:rFonts w:ascii="Times New Roman" w:hAnsi="Times New Roman" w:cs="Times New Roman"/>
          <w:i/>
          <w:iCs/>
          <w:color w:val="auto"/>
          <w:sz w:val="24"/>
          <w:szCs w:val="24"/>
        </w:rPr>
        <w:t>aterials 5:</w:t>
      </w:r>
      <w:r w:rsidR="007A71F9" w:rsidRPr="00367A93">
        <w:rPr>
          <w:rFonts w:ascii="Times New Roman" w:hAnsi="Times New Roman" w:cs="Times New Roman"/>
          <w:color w:val="auto"/>
          <w:sz w:val="24"/>
          <w:szCs w:val="24"/>
        </w:rPr>
        <w:t xml:space="preserve"> </w:t>
      </w:r>
      <w:r w:rsidR="005F1B39" w:rsidRPr="00367A93">
        <w:rPr>
          <w:rFonts w:ascii="Times New Roman" w:hAnsi="Times New Roman" w:cs="Times New Roman"/>
          <w:color w:val="auto"/>
          <w:sz w:val="24"/>
          <w:szCs w:val="24"/>
        </w:rPr>
        <w:t>GRADE-CERQual Coherence rating table</w:t>
      </w:r>
      <w:bookmarkEnd w:id="6"/>
    </w:p>
    <w:tbl>
      <w:tblPr>
        <w:tblStyle w:val="TableGrid2"/>
        <w:tblW w:w="5000" w:type="pct"/>
        <w:tblLook w:val="04A0" w:firstRow="1" w:lastRow="0" w:firstColumn="1" w:lastColumn="0" w:noHBand="0" w:noVBand="1"/>
      </w:tblPr>
      <w:tblGrid>
        <w:gridCol w:w="2041"/>
        <w:gridCol w:w="2177"/>
        <w:gridCol w:w="2660"/>
        <w:gridCol w:w="428"/>
        <w:gridCol w:w="1603"/>
        <w:gridCol w:w="1293"/>
        <w:gridCol w:w="1184"/>
        <w:gridCol w:w="1199"/>
        <w:gridCol w:w="1363"/>
      </w:tblGrid>
      <w:tr w:rsidR="00ED2CE1" w:rsidRPr="00ED2CE1" w14:paraId="22D3015E" w14:textId="77777777" w:rsidTr="006A54BC">
        <w:trPr>
          <w:tblHeader/>
        </w:trPr>
        <w:tc>
          <w:tcPr>
            <w:tcW w:w="738" w:type="pct"/>
            <w:shd w:val="clear" w:color="auto" w:fill="A5A5A5" w:themeFill="accent3"/>
          </w:tcPr>
          <w:p w14:paraId="75098985"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Theme</w:t>
            </w:r>
          </w:p>
        </w:tc>
        <w:tc>
          <w:tcPr>
            <w:tcW w:w="787" w:type="pct"/>
            <w:shd w:val="clear" w:color="auto" w:fill="A5A5A5" w:themeFill="accent3"/>
          </w:tcPr>
          <w:p w14:paraId="09ED9FE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Definition of theme</w:t>
            </w:r>
          </w:p>
        </w:tc>
        <w:tc>
          <w:tcPr>
            <w:tcW w:w="960" w:type="pct"/>
            <w:shd w:val="clear" w:color="auto" w:fill="A5A5A5" w:themeFill="accent3"/>
          </w:tcPr>
          <w:p w14:paraId="7C1BA8F1"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Studies citing this theme</w:t>
            </w:r>
          </w:p>
        </w:tc>
        <w:tc>
          <w:tcPr>
            <w:tcW w:w="160" w:type="pct"/>
            <w:shd w:val="clear" w:color="auto" w:fill="A5A5A5" w:themeFill="accent3"/>
          </w:tcPr>
          <w:p w14:paraId="4C2D31D1"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N</w:t>
            </w:r>
          </w:p>
        </w:tc>
        <w:tc>
          <w:tcPr>
            <w:tcW w:w="1918" w:type="pct"/>
            <w:gridSpan w:val="4"/>
            <w:shd w:val="clear" w:color="auto" w:fill="A5A5A5" w:themeFill="accent3"/>
          </w:tcPr>
          <w:p w14:paraId="7CDCF9F6"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Methodological rating</w:t>
            </w:r>
          </w:p>
          <w:p w14:paraId="446E46C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Adequacy rating</w:t>
            </w:r>
          </w:p>
          <w:p w14:paraId="559F312A"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Coherence rating</w:t>
            </w:r>
          </w:p>
          <w:p w14:paraId="572DFA6A"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 xml:space="preserve">Relevance rating </w:t>
            </w:r>
          </w:p>
        </w:tc>
        <w:tc>
          <w:tcPr>
            <w:tcW w:w="437" w:type="pct"/>
            <w:shd w:val="clear" w:color="auto" w:fill="A5A5A5" w:themeFill="accent3"/>
          </w:tcPr>
          <w:p w14:paraId="19EC8C6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Overall CERQUAL Rating</w:t>
            </w:r>
          </w:p>
        </w:tc>
      </w:tr>
      <w:tr w:rsidR="00ED2CE1" w:rsidRPr="00ED2CE1" w14:paraId="509C6611" w14:textId="77777777" w:rsidTr="006A54BC">
        <w:trPr>
          <w:tblHeader/>
        </w:trPr>
        <w:tc>
          <w:tcPr>
            <w:tcW w:w="5000" w:type="pct"/>
            <w:gridSpan w:val="9"/>
            <w:shd w:val="clear" w:color="auto" w:fill="A5A5A5" w:themeFill="accent3"/>
          </w:tcPr>
          <w:p w14:paraId="13E84499"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 Women</w:t>
            </w:r>
          </w:p>
        </w:tc>
      </w:tr>
      <w:tr w:rsidR="00ED2CE1" w:rsidRPr="00ED2CE1" w14:paraId="15004DD6" w14:textId="77777777" w:rsidTr="006A54BC">
        <w:tc>
          <w:tcPr>
            <w:tcW w:w="5000" w:type="pct"/>
            <w:gridSpan w:val="9"/>
            <w:shd w:val="clear" w:color="auto" w:fill="DBDBDB" w:themeFill="accent3" w:themeFillTint="66"/>
          </w:tcPr>
          <w:p w14:paraId="1B0474C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1.1 Beliefs about health services</w:t>
            </w:r>
          </w:p>
        </w:tc>
      </w:tr>
      <w:tr w:rsidR="00ED2CE1" w:rsidRPr="00ED2CE1" w14:paraId="48BAF66D" w14:textId="77777777" w:rsidTr="006A54BC">
        <w:tc>
          <w:tcPr>
            <w:tcW w:w="738" w:type="pct"/>
          </w:tcPr>
          <w:p w14:paraId="47B6BAE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1.1.1 Services only offer medication</w:t>
            </w:r>
          </w:p>
        </w:tc>
        <w:tc>
          <w:tcPr>
            <w:tcW w:w="787" w:type="pct"/>
          </w:tcPr>
          <w:p w14:paraId="482DC1B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The belief that health services will only offer medication to treat PMH concerns</w:t>
            </w:r>
          </w:p>
        </w:tc>
        <w:tc>
          <w:tcPr>
            <w:tcW w:w="960" w:type="pct"/>
          </w:tcPr>
          <w:p w14:paraId="1E6D0BA8"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22"/>
                <w:lang w:val="nl-NL" w:eastAsia="en-US"/>
              </w:rPr>
            </w:pPr>
            <w:r w:rsidRPr="00ED2CE1">
              <w:rPr>
                <w:rFonts w:ascii="Times New Roman" w:eastAsiaTheme="minorHAnsi" w:hAnsi="Times New Roman" w:cs="Times New Roman"/>
                <w:i/>
                <w:color w:val="000000"/>
                <w:kern w:val="0"/>
                <w:sz w:val="16"/>
                <w:szCs w:val="22"/>
                <w:lang w:val="nl-NL" w:eastAsia="en-US"/>
              </w:rPr>
              <w:t>Doering et al., 2017; Ganann et al., 2019; Williams et al., 2016; Young et al., 2019;</w:t>
            </w:r>
            <w:r w:rsidRPr="00ED2CE1">
              <w:rPr>
                <w:rFonts w:ascii="Times New Roman" w:eastAsiaTheme="minorHAnsi" w:hAnsi="Times New Roman" w:cs="Times New Roman"/>
                <w:color w:val="000000"/>
                <w:kern w:val="0"/>
                <w:sz w:val="16"/>
                <w:szCs w:val="22"/>
                <w:lang w:val="nl-NL" w:eastAsia="en-US"/>
              </w:rPr>
              <w:t xml:space="preserve"> </w:t>
            </w:r>
          </w:p>
          <w:p w14:paraId="5864E9C5"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val="nl-NL" w:eastAsia="en-US"/>
              </w:rPr>
            </w:pPr>
            <w:r w:rsidRPr="00ED2CE1">
              <w:rPr>
                <w:rFonts w:ascii="Times New Roman" w:eastAsiaTheme="minorHAnsi" w:hAnsi="Times New Roman" w:cs="Times New Roman"/>
                <w:color w:val="000000"/>
                <w:kern w:val="0"/>
                <w:sz w:val="16"/>
                <w:szCs w:val="22"/>
                <w:lang w:val="nl-NL" w:eastAsia="en-US"/>
              </w:rPr>
              <w:t>Bina, 2020; Button et al., 2017; Dennis &amp; Chung-Lee, 2006; Hadfield &amp; Wittkowski, 2017; Jones, 2019; Megnin-Viggars et al., 2015; Nilaweera et al., 2014; Sorsa et al., 2021; Tobin et al., 2018</w:t>
            </w:r>
          </w:p>
        </w:tc>
        <w:tc>
          <w:tcPr>
            <w:tcW w:w="160" w:type="pct"/>
          </w:tcPr>
          <w:p w14:paraId="32691E2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14</w:t>
            </w:r>
          </w:p>
        </w:tc>
        <w:tc>
          <w:tcPr>
            <w:tcW w:w="1918" w:type="pct"/>
            <w:gridSpan w:val="4"/>
          </w:tcPr>
          <w:p w14:paraId="05B7AEF8"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Doering – Quote from HV about how women don’t want to go on medication</w:t>
            </w:r>
          </w:p>
          <w:p w14:paraId="72C014EA"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Ganann – Some women avoid accessing psychiatric care if they perceive medication will be pushed</w:t>
            </w:r>
          </w:p>
          <w:p w14:paraId="4DEF5762"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Williams – women say they don’t want help because they don’t want to take antidepressants </w:t>
            </w:r>
          </w:p>
          <w:p w14:paraId="71F82689"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Young – Women didn’t want to take medications because worried it would intefer with parental duties and get into breast milk</w:t>
            </w:r>
          </w:p>
          <w:p w14:paraId="57EB511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20 – Medication seen as likely but unwanted treatment offer</w:t>
            </w:r>
          </w:p>
          <w:p w14:paraId="79932BA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Women concerned about the side effects of medication</w:t>
            </w:r>
          </w:p>
          <w:p w14:paraId="1DFFBF3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Women reluctant to take medication</w:t>
            </w:r>
          </w:p>
          <w:p w14:paraId="7757E83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Hadfield 17 – Women felt ashamed to take medication</w:t>
            </w:r>
          </w:p>
          <w:p w14:paraId="02745F2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19 – Fear of taking medication because of perceived side effects</w:t>
            </w:r>
          </w:p>
          <w:p w14:paraId="4572EE4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Megnin-Viggars – Women felt medication was the only treatment available</w:t>
            </w:r>
          </w:p>
          <w:p w14:paraId="652BD97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Nilaweera – Women concerned antidepressants might affect the baby through the breastmilk </w:t>
            </w:r>
          </w:p>
          <w:p w14:paraId="5E4343A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Sorsa – Women expressed fear of medication</w:t>
            </w:r>
          </w:p>
          <w:p w14:paraId="55878D8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 – Women did not disclose because they thought the doctor was likely to write a prescription</w:t>
            </w:r>
          </w:p>
        </w:tc>
        <w:tc>
          <w:tcPr>
            <w:tcW w:w="437" w:type="pct"/>
          </w:tcPr>
          <w:p w14:paraId="4C4D336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 xml:space="preserve"> all studies are saying the same thing</w:t>
            </w:r>
          </w:p>
        </w:tc>
      </w:tr>
      <w:tr w:rsidR="00ED2CE1" w:rsidRPr="00ED2CE1" w14:paraId="057E46F3" w14:textId="77777777" w:rsidTr="006A54BC">
        <w:tc>
          <w:tcPr>
            <w:tcW w:w="738" w:type="pct"/>
          </w:tcPr>
          <w:p w14:paraId="478C89E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1.1.2 Services are stretched</w:t>
            </w:r>
          </w:p>
        </w:tc>
        <w:tc>
          <w:tcPr>
            <w:tcW w:w="787" w:type="pct"/>
          </w:tcPr>
          <w:p w14:paraId="7593B96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The belief that PMH services are too stretched and will therefore be unable to help women</w:t>
            </w:r>
          </w:p>
        </w:tc>
        <w:tc>
          <w:tcPr>
            <w:tcW w:w="960" w:type="pct"/>
          </w:tcPr>
          <w:p w14:paraId="3F3DD8F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Dennis &amp; Chung-Lee, 2006; Hadfield &amp; Wittkowski, 2017</w:t>
            </w:r>
          </w:p>
        </w:tc>
        <w:tc>
          <w:tcPr>
            <w:tcW w:w="160" w:type="pct"/>
          </w:tcPr>
          <w:p w14:paraId="42B8C56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1918" w:type="pct"/>
            <w:gridSpan w:val="4"/>
          </w:tcPr>
          <w:p w14:paraId="457A0C8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–Women felt they would be burdensome if they disclosed their feelings</w:t>
            </w:r>
          </w:p>
          <w:p w14:paraId="763FB0D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Hadfield 17 – Women perceived health services as under resourced. </w:t>
            </w:r>
          </w:p>
        </w:tc>
        <w:tc>
          <w:tcPr>
            <w:tcW w:w="437" w:type="pct"/>
          </w:tcPr>
          <w:p w14:paraId="0471315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Low confidence - </w:t>
            </w:r>
            <w:r w:rsidRPr="00ED2CE1">
              <w:rPr>
                <w:rFonts w:ascii="Times New Roman" w:eastAsiaTheme="minorHAnsi" w:hAnsi="Times New Roman" w:cs="Times New Roman"/>
                <w:kern w:val="0"/>
                <w:sz w:val="16"/>
                <w:szCs w:val="16"/>
                <w:lang w:eastAsia="en-US"/>
              </w:rPr>
              <w:t xml:space="preserve"> Dennis study open to interpretation</w:t>
            </w:r>
          </w:p>
        </w:tc>
      </w:tr>
      <w:tr w:rsidR="00ED2CE1" w:rsidRPr="00ED2CE1" w14:paraId="1F862ADB" w14:textId="77777777" w:rsidTr="006A54BC">
        <w:tc>
          <w:tcPr>
            <w:tcW w:w="738" w:type="pct"/>
          </w:tcPr>
          <w:p w14:paraId="58748D2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1.1.3 Services are too complicated</w:t>
            </w:r>
          </w:p>
        </w:tc>
        <w:tc>
          <w:tcPr>
            <w:tcW w:w="787" w:type="pct"/>
          </w:tcPr>
          <w:p w14:paraId="0A58DA5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Services being too complex or complicated</w:t>
            </w:r>
          </w:p>
        </w:tc>
        <w:tc>
          <w:tcPr>
            <w:tcW w:w="960" w:type="pct"/>
          </w:tcPr>
          <w:p w14:paraId="0DBCA056"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val="es-ES" w:eastAsia="en-US"/>
              </w:rPr>
            </w:pPr>
            <w:r w:rsidRPr="00ED2CE1">
              <w:rPr>
                <w:rFonts w:ascii="Times New Roman" w:eastAsiaTheme="minorHAnsi" w:hAnsi="Times New Roman" w:cs="Times New Roman"/>
                <w:i/>
                <w:kern w:val="0"/>
                <w:sz w:val="16"/>
                <w:szCs w:val="22"/>
                <w:lang w:val="es-ES" w:eastAsia="en-US"/>
              </w:rPr>
              <w:t xml:space="preserve">Ganann et al., 2019 </w:t>
            </w:r>
          </w:p>
          <w:p w14:paraId="185FB23A"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val="es-ES" w:eastAsia="en-US"/>
              </w:rPr>
            </w:pPr>
            <w:r w:rsidRPr="00ED2CE1">
              <w:rPr>
                <w:rFonts w:ascii="Times New Roman" w:eastAsiaTheme="minorHAnsi" w:hAnsi="Times New Roman" w:cs="Times New Roman"/>
                <w:kern w:val="0"/>
                <w:sz w:val="16"/>
                <w:szCs w:val="22"/>
                <w:lang w:val="es-ES" w:eastAsia="en-US"/>
              </w:rPr>
              <w:t>Tobin et al., 2018</w:t>
            </w:r>
          </w:p>
          <w:p w14:paraId="2A450A4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35A809E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1918" w:type="pct"/>
            <w:gridSpan w:val="4"/>
          </w:tcPr>
          <w:p w14:paraId="0A90C108"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Ganann – Women who had immigrated di not understand the healthcare system</w:t>
            </w:r>
          </w:p>
          <w:p w14:paraId="6E4A08C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 – Women did not understand how health systems worked</w:t>
            </w:r>
          </w:p>
          <w:p w14:paraId="293F8EF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 – It was reported that women found the services complicated.</w:t>
            </w:r>
          </w:p>
        </w:tc>
        <w:tc>
          <w:tcPr>
            <w:tcW w:w="437" w:type="pct"/>
          </w:tcPr>
          <w:p w14:paraId="065C571A"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06BA2964" w14:textId="77777777" w:rsidTr="006A54BC">
        <w:tc>
          <w:tcPr>
            <w:tcW w:w="738" w:type="pct"/>
          </w:tcPr>
          <w:p w14:paraId="7926E60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1.1.4 Women’s mistrust and fear of services</w:t>
            </w:r>
          </w:p>
        </w:tc>
        <w:tc>
          <w:tcPr>
            <w:tcW w:w="787" w:type="pct"/>
          </w:tcPr>
          <w:p w14:paraId="6454806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Having little trust in health services</w:t>
            </w:r>
          </w:p>
        </w:tc>
        <w:tc>
          <w:tcPr>
            <w:tcW w:w="960" w:type="pct"/>
          </w:tcPr>
          <w:p w14:paraId="18CEB6AD"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Boyd et al., 2011</w:t>
            </w:r>
            <w:r w:rsidRPr="00ED2CE1">
              <w:rPr>
                <w:rFonts w:ascii="Times New Roman" w:eastAsiaTheme="minorHAnsi" w:hAnsi="Times New Roman" w:cs="Times New Roman"/>
                <w:i/>
                <w:iCs/>
                <w:kern w:val="0"/>
                <w:sz w:val="16"/>
                <w:szCs w:val="16"/>
                <w:lang w:eastAsia="en-US"/>
              </w:rPr>
              <w:t xml:space="preserve"> </w:t>
            </w:r>
          </w:p>
          <w:p w14:paraId="4D42DAB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Jones, 2019</w:t>
            </w:r>
          </w:p>
        </w:tc>
        <w:tc>
          <w:tcPr>
            <w:tcW w:w="160" w:type="pct"/>
          </w:tcPr>
          <w:p w14:paraId="18CDB6D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1918" w:type="pct"/>
            <w:gridSpan w:val="4"/>
          </w:tcPr>
          <w:p w14:paraId="26EB079B"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Boyd – Women described mistrust and fear in mental health services</w:t>
            </w:r>
          </w:p>
          <w:p w14:paraId="218F881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Jones 19 – a barrier was trust in health services </w:t>
            </w:r>
          </w:p>
        </w:tc>
        <w:tc>
          <w:tcPr>
            <w:tcW w:w="437" w:type="pct"/>
          </w:tcPr>
          <w:p w14:paraId="1A63EE50"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w:t>
            </w:r>
          </w:p>
        </w:tc>
      </w:tr>
      <w:tr w:rsidR="00ED2CE1" w:rsidRPr="00ED2CE1" w14:paraId="5DDA6912" w14:textId="77777777" w:rsidTr="006A54BC">
        <w:tc>
          <w:tcPr>
            <w:tcW w:w="5000" w:type="pct"/>
            <w:gridSpan w:val="9"/>
            <w:shd w:val="clear" w:color="auto" w:fill="DBDBDB" w:themeFill="accent3" w:themeFillTint="66"/>
          </w:tcPr>
          <w:p w14:paraId="2ED288E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1.2 Beliefs about HCPs</w:t>
            </w:r>
          </w:p>
        </w:tc>
      </w:tr>
      <w:tr w:rsidR="00ED2CE1" w:rsidRPr="00ED2CE1" w14:paraId="143E04E1" w14:textId="77777777" w:rsidTr="006A54BC">
        <w:tc>
          <w:tcPr>
            <w:tcW w:w="738" w:type="pct"/>
          </w:tcPr>
          <w:p w14:paraId="1EFDB40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1.2.1 Not understanding HCPs’ role</w:t>
            </w:r>
          </w:p>
        </w:tc>
        <w:tc>
          <w:tcPr>
            <w:tcW w:w="787" w:type="pct"/>
          </w:tcPr>
          <w:p w14:paraId="05EF436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Not understanding the roles of HCPs and how their roles related to PMH</w:t>
            </w:r>
          </w:p>
        </w:tc>
        <w:tc>
          <w:tcPr>
            <w:tcW w:w="960" w:type="pct"/>
          </w:tcPr>
          <w:p w14:paraId="46F8E93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Brealey et al., 2010; Button et al., 2017; Dennis &amp; Chung-Lee, 2006; Hadfield &amp; Wittkowski, 2017; Hewitt et al., 2009; Megnin-Viggars et al., 2015; Mollard et al., 2016; Morrell et al., 2016; Nilaweera et al., 2014; Sambrook Smith et al., 2019; Schmied et al., 2017; Scope et al., 2017</w:t>
            </w:r>
          </w:p>
        </w:tc>
        <w:tc>
          <w:tcPr>
            <w:tcW w:w="160" w:type="pct"/>
          </w:tcPr>
          <w:p w14:paraId="5617719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12</w:t>
            </w:r>
          </w:p>
        </w:tc>
        <w:tc>
          <w:tcPr>
            <w:tcW w:w="1918" w:type="pct"/>
            <w:gridSpan w:val="4"/>
          </w:tcPr>
          <w:p w14:paraId="5C6D97C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Brealey – Women and HPs said it was important to be clear about HPs role so they’re not perceived as social agents</w:t>
            </w:r>
          </w:p>
          <w:p w14:paraId="73658D8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Women did not understand the role of professionals</w:t>
            </w:r>
          </w:p>
          <w:p w14:paraId="19F3702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Some women did not view health professionals as appropriate source of MH support</w:t>
            </w:r>
          </w:p>
          <w:p w14:paraId="2B214DA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Hadfield 17 – Women were unclear about role of HPs</w:t>
            </w:r>
          </w:p>
          <w:p w14:paraId="37AD955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Hewitt – Roles of HVs could be clearer because they may be perceived as agents of social control</w:t>
            </w:r>
          </w:p>
          <w:p w14:paraId="19477DA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Megnin-Viggars – Women not clear about role of HVs</w:t>
            </w:r>
          </w:p>
          <w:p w14:paraId="66AD49D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Mollard – Rural women did not expect mental health support from health provider</w:t>
            </w:r>
          </w:p>
          <w:p w14:paraId="20F6777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Morrell – Women did not understand the role of the service provider</w:t>
            </w:r>
          </w:p>
          <w:p w14:paraId="2A5249E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Nilaweera – Women believed GPs and HV only involved in physical health</w:t>
            </w:r>
          </w:p>
          <w:p w14:paraId="31EA00C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Sambrook-Smith – not knowing which HPs to contact was a barrier</w:t>
            </w:r>
          </w:p>
          <w:p w14:paraId="792DA92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Schmied – Women didn’t believe GP address mental health</w:t>
            </w:r>
          </w:p>
          <w:p w14:paraId="67BF914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Scope – Women didn’t think they could talk to nurse about MH problems.</w:t>
            </w:r>
          </w:p>
        </w:tc>
        <w:tc>
          <w:tcPr>
            <w:tcW w:w="437" w:type="pct"/>
          </w:tcPr>
          <w:p w14:paraId="3B35A66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lastRenderedPageBreak/>
              <w:t xml:space="preserve">Moderate confidence – </w:t>
            </w:r>
            <w:r w:rsidRPr="00ED2CE1">
              <w:rPr>
                <w:rFonts w:ascii="Times New Roman" w:eastAsiaTheme="minorHAnsi" w:hAnsi="Times New Roman" w:cs="Times New Roman"/>
                <w:kern w:val="0"/>
                <w:sz w:val="16"/>
                <w:szCs w:val="16"/>
                <w:lang w:eastAsia="en-US"/>
              </w:rPr>
              <w:t>All about confusion over roles, but in different ways, who to talk to, are HPs agents of social control, can women talk to them about MH.</w:t>
            </w:r>
          </w:p>
        </w:tc>
      </w:tr>
      <w:tr w:rsidR="00ED2CE1" w:rsidRPr="00ED2CE1" w14:paraId="75D6778F" w14:textId="77777777" w:rsidTr="006A54BC">
        <w:tc>
          <w:tcPr>
            <w:tcW w:w="738" w:type="pct"/>
          </w:tcPr>
          <w:p w14:paraId="2A4DF37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1.2.2 Believing HCPs won’t be interested</w:t>
            </w:r>
          </w:p>
        </w:tc>
        <w:tc>
          <w:tcPr>
            <w:tcW w:w="787" w:type="pct"/>
          </w:tcPr>
          <w:p w14:paraId="0B812FB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Believing HCPs won't be interested in PMH</w:t>
            </w:r>
          </w:p>
        </w:tc>
        <w:tc>
          <w:tcPr>
            <w:tcW w:w="960" w:type="pct"/>
          </w:tcPr>
          <w:p w14:paraId="7611188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Hadfield &amp; Wittkowski, 2017</w:t>
            </w:r>
          </w:p>
        </w:tc>
        <w:tc>
          <w:tcPr>
            <w:tcW w:w="160" w:type="pct"/>
          </w:tcPr>
          <w:p w14:paraId="08E7266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1918" w:type="pct"/>
            <w:gridSpan w:val="4"/>
          </w:tcPr>
          <w:p w14:paraId="26B9D16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Women felt HPs were non responsive to their needs</w:t>
            </w:r>
          </w:p>
          <w:p w14:paraId="41A24F6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Hadfield – Women felt they wouldn’t be taken seriously </w:t>
            </w:r>
          </w:p>
        </w:tc>
        <w:tc>
          <w:tcPr>
            <w:tcW w:w="437" w:type="pct"/>
          </w:tcPr>
          <w:p w14:paraId="0ACD021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Low confidence – </w:t>
            </w:r>
            <w:r w:rsidRPr="00ED2CE1">
              <w:rPr>
                <w:rFonts w:ascii="Times New Roman" w:eastAsiaTheme="minorHAnsi" w:hAnsi="Times New Roman" w:cs="Times New Roman"/>
                <w:kern w:val="0"/>
                <w:sz w:val="16"/>
                <w:szCs w:val="16"/>
                <w:lang w:eastAsia="en-US"/>
              </w:rPr>
              <w:t>Bina is open to interpretation. Is this more about being dismissive</w:t>
            </w:r>
          </w:p>
        </w:tc>
      </w:tr>
      <w:tr w:rsidR="00ED2CE1" w:rsidRPr="00ED2CE1" w14:paraId="34E828C8" w14:textId="77777777" w:rsidTr="006A54BC">
        <w:tc>
          <w:tcPr>
            <w:tcW w:w="5000" w:type="pct"/>
            <w:gridSpan w:val="9"/>
            <w:shd w:val="clear" w:color="auto" w:fill="DBDBDB" w:themeFill="accent3" w:themeFillTint="66"/>
          </w:tcPr>
          <w:p w14:paraId="3FB59A2B"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1.3 Beliefs about perinatal mental illness</w:t>
            </w:r>
          </w:p>
        </w:tc>
      </w:tr>
      <w:tr w:rsidR="00ED2CE1" w:rsidRPr="00ED2CE1" w14:paraId="1AACC2B4" w14:textId="77777777" w:rsidTr="006A54BC">
        <w:tc>
          <w:tcPr>
            <w:tcW w:w="5000" w:type="pct"/>
            <w:gridSpan w:val="9"/>
            <w:shd w:val="clear" w:color="auto" w:fill="EDEDED" w:themeFill="accent3" w:themeFillTint="33"/>
          </w:tcPr>
          <w:p w14:paraId="49714D3C"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1.3.1 What is it?</w:t>
            </w:r>
          </w:p>
        </w:tc>
      </w:tr>
      <w:tr w:rsidR="00ED2CE1" w:rsidRPr="00ED2CE1" w14:paraId="768C329B" w14:textId="77777777" w:rsidTr="006A54BC">
        <w:tc>
          <w:tcPr>
            <w:tcW w:w="738" w:type="pct"/>
          </w:tcPr>
          <w:p w14:paraId="70B626F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1.3.1.1 What is perinatal mental illness?</w:t>
            </w:r>
          </w:p>
        </w:tc>
        <w:tc>
          <w:tcPr>
            <w:tcW w:w="787" w:type="pct"/>
          </w:tcPr>
          <w:p w14:paraId="1700C43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Having poor or no knowledge about PMI</w:t>
            </w:r>
          </w:p>
        </w:tc>
        <w:tc>
          <w:tcPr>
            <w:tcW w:w="960" w:type="pct"/>
          </w:tcPr>
          <w:p w14:paraId="13736126"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Atif et al., 2019; Kerker et al., 2018</w:t>
            </w:r>
          </w:p>
          <w:p w14:paraId="4C629E02"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Button et al., 2017; Dennis &amp; Chung-Lee, 2006; Hadfield &amp; Wittkowski, 2017; Hansotte et al., 2017; A. Jones, 2019; Lucas et al., 2019; Megnin-Viggars et al., 2015; Morrell et al., 2016; Newman et al., 2019; Sambrook Smith et al., 2019; Schmied et al., 2017; Scope et al., 2017; Staneva et al., 2015; Tobin et al., 2018; Watson et al., 2019</w:t>
            </w:r>
          </w:p>
        </w:tc>
        <w:tc>
          <w:tcPr>
            <w:tcW w:w="160" w:type="pct"/>
          </w:tcPr>
          <w:p w14:paraId="7E549D3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18</w:t>
            </w:r>
          </w:p>
        </w:tc>
        <w:tc>
          <w:tcPr>
            <w:tcW w:w="1918" w:type="pct"/>
            <w:gridSpan w:val="4"/>
          </w:tcPr>
          <w:p w14:paraId="0F1F8BA4"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Atif – Lack of awareness about mental illness prevented disclosure</w:t>
            </w:r>
          </w:p>
          <w:p w14:paraId="483CCB73"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Kerker – Patients rarely acknowledged that stress and mental health were concerns in their life on screening tools</w:t>
            </w:r>
          </w:p>
          <w:p w14:paraId="5F55CF7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Women struggled with the distinction between normal feelings of distress and exhaustion vs condition that justifies help seeking</w:t>
            </w:r>
          </w:p>
          <w:p w14:paraId="7A042BF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Button – Women struggled to articulate their distress </w:t>
            </w:r>
          </w:p>
          <w:p w14:paraId="0D18987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Some mothers lacked knowledge about postpartum depression, so were not aware they were suffering</w:t>
            </w:r>
          </w:p>
          <w:p w14:paraId="039E34B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Hadfield 17 – Barrier to support was not recognising symptoms</w:t>
            </w:r>
          </w:p>
          <w:p w14:paraId="6758693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19 – Barrier was a lack of knowledge about perinatal depression</w:t>
            </w:r>
          </w:p>
          <w:p w14:paraId="45C9CAB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Lucas – Women didn’t know the meaning of depression</w:t>
            </w:r>
          </w:p>
          <w:p w14:paraId="6973610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Megnin-Viggars – Lack of awareness about MI meant women could not explain their feelings</w:t>
            </w:r>
          </w:p>
          <w:p w14:paraId="0A5DC4A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Morrell – Women did not see depression as something that happened in perinatal period</w:t>
            </w:r>
          </w:p>
          <w:p w14:paraId="4A4EDBB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Newman – Women experienced difficulty in recognising their symptoms</w:t>
            </w:r>
          </w:p>
          <w:p w14:paraId="4E50D90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Sambrook-Smith – Quote from a woman about not knowing the meaning of depression</w:t>
            </w:r>
          </w:p>
          <w:p w14:paraId="0EA27C3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Schmied – Migrant women rarely recognised or understood the symptoms of PND</w:t>
            </w:r>
          </w:p>
          <w:p w14:paraId="0A843D4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Scope – barrier was not associating depression with perinatal period</w:t>
            </w:r>
          </w:p>
          <w:p w14:paraId="0E3054F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Staneva – Women struggled to understand what was round and couldn’t explain their feelings</w:t>
            </w:r>
          </w:p>
          <w:p w14:paraId="6F39599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 – Women didn’t understand PPD</w:t>
            </w:r>
          </w:p>
          <w:p w14:paraId="062E83A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Watson – Women from ethnic minority groups were not aware of PMI</w:t>
            </w:r>
          </w:p>
        </w:tc>
        <w:tc>
          <w:tcPr>
            <w:tcW w:w="437" w:type="pct"/>
          </w:tcPr>
          <w:p w14:paraId="417D149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All studies explained how women did not understand or have knowledge about PMI</w:t>
            </w:r>
          </w:p>
        </w:tc>
      </w:tr>
      <w:tr w:rsidR="00ED2CE1" w:rsidRPr="00ED2CE1" w14:paraId="16F13B56" w14:textId="77777777" w:rsidTr="006A54BC">
        <w:tc>
          <w:tcPr>
            <w:tcW w:w="738" w:type="pct"/>
          </w:tcPr>
          <w:p w14:paraId="7B7E5C4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1.3.1.2 No language to describe perinatal mental illness</w:t>
            </w:r>
          </w:p>
        </w:tc>
        <w:tc>
          <w:tcPr>
            <w:tcW w:w="787" w:type="pct"/>
          </w:tcPr>
          <w:p w14:paraId="39A6959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Not having the language to describe PMI</w:t>
            </w:r>
          </w:p>
        </w:tc>
        <w:tc>
          <w:tcPr>
            <w:tcW w:w="960" w:type="pct"/>
          </w:tcPr>
          <w:p w14:paraId="46C48EB4" w14:textId="77777777" w:rsidR="00ED2CE1" w:rsidRPr="00ED2CE1" w:rsidRDefault="00ED2CE1" w:rsidP="00ED2CE1">
            <w:pPr>
              <w:spacing w:line="240" w:lineRule="auto"/>
              <w:ind w:firstLine="0"/>
              <w:rPr>
                <w:rFonts w:ascii="Times New Roman" w:eastAsiaTheme="minorHAnsi" w:hAnsi="Times New Roman" w:cs="Times New Roman"/>
                <w:i/>
                <w:kern w:val="0"/>
                <w:sz w:val="16"/>
                <w:szCs w:val="16"/>
                <w:lang w:eastAsia="en-US"/>
              </w:rPr>
            </w:pPr>
            <w:r w:rsidRPr="00ED2CE1">
              <w:rPr>
                <w:rFonts w:ascii="Times New Roman" w:eastAsiaTheme="minorHAnsi" w:hAnsi="Times New Roman" w:cs="Times New Roman"/>
                <w:i/>
                <w:noProof/>
                <w:kern w:val="0"/>
                <w:sz w:val="16"/>
                <w:szCs w:val="16"/>
                <w:lang w:eastAsia="en-US"/>
              </w:rPr>
              <w:t>Bina et al., 2018</w:t>
            </w:r>
            <w:r w:rsidRPr="00ED2CE1">
              <w:rPr>
                <w:rFonts w:ascii="Times New Roman" w:eastAsiaTheme="minorHAnsi" w:hAnsi="Times New Roman" w:cs="Times New Roman"/>
                <w:i/>
                <w:kern w:val="0"/>
                <w:sz w:val="16"/>
                <w:szCs w:val="16"/>
                <w:lang w:eastAsia="en-US"/>
              </w:rPr>
              <w:t xml:space="preserve"> </w:t>
            </w:r>
          </w:p>
          <w:p w14:paraId="7DA35D9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Brealey et al., 2010; Staneva et al., 2015; Tobin et al., 2018; Watson et al., 2019</w:t>
            </w:r>
          </w:p>
        </w:tc>
        <w:tc>
          <w:tcPr>
            <w:tcW w:w="160" w:type="pct"/>
          </w:tcPr>
          <w:p w14:paraId="7F4B422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5</w:t>
            </w:r>
          </w:p>
        </w:tc>
        <w:tc>
          <w:tcPr>
            <w:tcW w:w="1918" w:type="pct"/>
            <w:gridSpan w:val="4"/>
          </w:tcPr>
          <w:p w14:paraId="05359E39"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Bina 18 – Many people do not know how to name the emotions they are feeling</w:t>
            </w:r>
          </w:p>
          <w:p w14:paraId="7503B24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Brealey – Ethnic minority women could not describe their difficulties because of no culturally contextualised understanding of PND</w:t>
            </w:r>
          </w:p>
          <w:p w14:paraId="29DAD86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Staneva – Some women couldn’t explain their feelings </w:t>
            </w:r>
          </w:p>
          <w:p w14:paraId="4BADEC5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Tobin – Some women used a different language to describe emotional distress </w:t>
            </w:r>
          </w:p>
          <w:p w14:paraId="6A51CE6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Watson – Women didn’t have the language to describe their symptoms</w:t>
            </w:r>
          </w:p>
        </w:tc>
        <w:tc>
          <w:tcPr>
            <w:tcW w:w="437" w:type="pct"/>
          </w:tcPr>
          <w:p w14:paraId="5F673F3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Moderate confidence – </w:t>
            </w:r>
            <w:r w:rsidRPr="00ED2CE1">
              <w:rPr>
                <w:rFonts w:ascii="Times New Roman" w:eastAsiaTheme="minorHAnsi" w:hAnsi="Times New Roman" w:cs="Times New Roman"/>
                <w:kern w:val="0"/>
                <w:sz w:val="16"/>
                <w:szCs w:val="16"/>
                <w:lang w:eastAsia="en-US"/>
              </w:rPr>
              <w:t>All but one saying the same thing, Brealey is about cultural context</w:t>
            </w:r>
          </w:p>
        </w:tc>
      </w:tr>
      <w:tr w:rsidR="00ED2CE1" w:rsidRPr="00ED2CE1" w14:paraId="61B6A99E" w14:textId="77777777" w:rsidTr="006A54BC">
        <w:tc>
          <w:tcPr>
            <w:tcW w:w="5000" w:type="pct"/>
            <w:gridSpan w:val="9"/>
            <w:shd w:val="clear" w:color="auto" w:fill="EDEDED" w:themeFill="accent3" w:themeFillTint="33"/>
          </w:tcPr>
          <w:p w14:paraId="3F7E0C9D"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lastRenderedPageBreak/>
              <w:t>1.3.2 Causes of perinatal mental illness</w:t>
            </w:r>
          </w:p>
        </w:tc>
      </w:tr>
      <w:tr w:rsidR="00ED2CE1" w:rsidRPr="00ED2CE1" w14:paraId="412895F9" w14:textId="77777777" w:rsidTr="006A54BC">
        <w:tc>
          <w:tcPr>
            <w:tcW w:w="738" w:type="pct"/>
          </w:tcPr>
          <w:p w14:paraId="3795F04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1.3.2.1 Spiritual/cultural causes</w:t>
            </w:r>
          </w:p>
        </w:tc>
        <w:tc>
          <w:tcPr>
            <w:tcW w:w="787" w:type="pct"/>
          </w:tcPr>
          <w:p w14:paraId="0E2FEAD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Believing that symptoms are caused by cultural or spiritual factors </w:t>
            </w:r>
          </w:p>
        </w:tc>
        <w:tc>
          <w:tcPr>
            <w:tcW w:w="960" w:type="pct"/>
          </w:tcPr>
          <w:p w14:paraId="5F5167DD"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val="es-ES" w:eastAsia="en-US"/>
              </w:rPr>
            </w:pPr>
            <w:r w:rsidRPr="00ED2CE1">
              <w:rPr>
                <w:rFonts w:ascii="Times New Roman" w:eastAsiaTheme="minorHAnsi" w:hAnsi="Times New Roman" w:cs="Times New Roman"/>
                <w:i/>
                <w:kern w:val="0"/>
                <w:sz w:val="16"/>
                <w:szCs w:val="22"/>
                <w:lang w:val="es-ES" w:eastAsia="en-US"/>
              </w:rPr>
              <w:t>Atif et al., 2016; McCauley et al., 2019; Nakku et al., 2016</w:t>
            </w:r>
          </w:p>
          <w:p w14:paraId="510A6BB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Button et al., 2017; Schmied et al., 2017; Wittkowski et al., 2014</w:t>
            </w:r>
          </w:p>
        </w:tc>
        <w:tc>
          <w:tcPr>
            <w:tcW w:w="160" w:type="pct"/>
          </w:tcPr>
          <w:p w14:paraId="17D4256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w:t>
            </w:r>
          </w:p>
        </w:tc>
        <w:tc>
          <w:tcPr>
            <w:tcW w:w="1918" w:type="pct"/>
            <w:gridSpan w:val="4"/>
          </w:tcPr>
          <w:p w14:paraId="40AC926D"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Atif – Quote explaining how women with MI are described as being possessed</w:t>
            </w:r>
          </w:p>
          <w:p w14:paraId="377A328B"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McCauley – Attribution of causes to spiritual things</w:t>
            </w:r>
          </w:p>
          <w:p w14:paraId="65F1DB41"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Nakku – Cultural influences and witchcraft as causes</w:t>
            </w:r>
          </w:p>
          <w:p w14:paraId="0A7547E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Quote about cause of illness coming from god</w:t>
            </w:r>
          </w:p>
          <w:p w14:paraId="5053082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Schmied – Became ill because they broke culturally traditions</w:t>
            </w:r>
          </w:p>
          <w:p w14:paraId="1C6BDD3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Wittkowski – Women seen at risk of spirit attack and bewitchment </w:t>
            </w:r>
          </w:p>
        </w:tc>
        <w:tc>
          <w:tcPr>
            <w:tcW w:w="437" w:type="pct"/>
          </w:tcPr>
          <w:p w14:paraId="7111564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Moderate confidence – </w:t>
            </w:r>
            <w:r w:rsidRPr="00ED2CE1">
              <w:rPr>
                <w:rFonts w:ascii="Times New Roman" w:eastAsiaTheme="minorHAnsi" w:hAnsi="Times New Roman" w:cs="Times New Roman"/>
                <w:kern w:val="0"/>
                <w:sz w:val="16"/>
                <w:szCs w:val="16"/>
                <w:lang w:eastAsia="en-US"/>
              </w:rPr>
              <w:t>All but Schmied are clear and saying the same thing</w:t>
            </w:r>
          </w:p>
        </w:tc>
      </w:tr>
      <w:tr w:rsidR="00ED2CE1" w:rsidRPr="00ED2CE1" w14:paraId="718F318E" w14:textId="77777777" w:rsidTr="006A54BC">
        <w:tc>
          <w:tcPr>
            <w:tcW w:w="738" w:type="pct"/>
          </w:tcPr>
          <w:p w14:paraId="4D0E4EB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1.3.2.2 External causes</w:t>
            </w:r>
          </w:p>
        </w:tc>
        <w:tc>
          <w:tcPr>
            <w:tcW w:w="787" w:type="pct"/>
          </w:tcPr>
          <w:p w14:paraId="38EFAE5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Believing that symptoms are caused by external factors such as jobs, being a migrant</w:t>
            </w:r>
          </w:p>
        </w:tc>
        <w:tc>
          <w:tcPr>
            <w:tcW w:w="960" w:type="pct"/>
          </w:tcPr>
          <w:p w14:paraId="5DFFCE8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Button et al., 2017; Dennis &amp; Chung-Lee, 2006; Lucas et al., 2019; Schmied et al., 2017; Staneva et al., 2015; Tobin et al., 2018; Watson et al., 2019</w:t>
            </w:r>
          </w:p>
        </w:tc>
        <w:tc>
          <w:tcPr>
            <w:tcW w:w="160" w:type="pct"/>
          </w:tcPr>
          <w:p w14:paraId="39A27D6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8</w:t>
            </w:r>
          </w:p>
        </w:tc>
        <w:tc>
          <w:tcPr>
            <w:tcW w:w="1918" w:type="pct"/>
            <w:gridSpan w:val="4"/>
          </w:tcPr>
          <w:p w14:paraId="29B20EB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External pressures as the cause</w:t>
            </w:r>
          </w:p>
          <w:p w14:paraId="2EEB801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external attribution as the cause</w:t>
            </w:r>
          </w:p>
          <w:p w14:paraId="1B9CA9C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Multiple stressors thought to lead to depressive symptoms</w:t>
            </w:r>
          </w:p>
          <w:p w14:paraId="6429E11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Lucas – Life circumstances as exacerbators </w:t>
            </w:r>
          </w:p>
          <w:p w14:paraId="35AD89E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Schmied – Stress related socio-economic causes</w:t>
            </w:r>
          </w:p>
          <w:p w14:paraId="5D90F6A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Staneva – Women identified various stressors e.g. work and home environment</w:t>
            </w:r>
          </w:p>
          <w:p w14:paraId="1D534F4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 – Depressive symptoms to practical problems e.g. no time to rest</w:t>
            </w:r>
          </w:p>
          <w:p w14:paraId="2015B5E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Watson – Financial problems, racism</w:t>
            </w:r>
          </w:p>
        </w:tc>
        <w:tc>
          <w:tcPr>
            <w:tcW w:w="437" w:type="pct"/>
          </w:tcPr>
          <w:p w14:paraId="7BF1427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Moderate confidence – </w:t>
            </w:r>
            <w:r w:rsidRPr="00ED2CE1">
              <w:rPr>
                <w:rFonts w:ascii="Times New Roman" w:eastAsiaTheme="minorHAnsi" w:hAnsi="Times New Roman" w:cs="Times New Roman"/>
                <w:kern w:val="0"/>
                <w:sz w:val="16"/>
                <w:szCs w:val="16"/>
                <w:lang w:eastAsia="en-US"/>
              </w:rPr>
              <w:t>All about external factors, but could be split into closer and wider external factors</w:t>
            </w:r>
          </w:p>
        </w:tc>
      </w:tr>
      <w:tr w:rsidR="00ED2CE1" w:rsidRPr="00ED2CE1" w14:paraId="7BF39784" w14:textId="77777777" w:rsidTr="006A54BC">
        <w:tc>
          <w:tcPr>
            <w:tcW w:w="738" w:type="pct"/>
          </w:tcPr>
          <w:p w14:paraId="1D6D177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1.3.2.3 Physical causes</w:t>
            </w:r>
          </w:p>
        </w:tc>
        <w:tc>
          <w:tcPr>
            <w:tcW w:w="787" w:type="pct"/>
          </w:tcPr>
          <w:p w14:paraId="7D2AD67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Believing that symptoms are caused by physical factors such as tiredness and hormones</w:t>
            </w:r>
          </w:p>
        </w:tc>
        <w:tc>
          <w:tcPr>
            <w:tcW w:w="960" w:type="pct"/>
          </w:tcPr>
          <w:p w14:paraId="6F72C568"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O’Mahen &amp; Flynn, 2008</w:t>
            </w:r>
          </w:p>
          <w:p w14:paraId="210C24E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Button et al., 2017; Dennis &amp; Chung-Lee, 2006; Forde et al., 2020; C. C. G. Jones et al., 2014; Newman et al., 2019; Sambrook Smith et al., 2019; Schmied et al., 2017; Staneva et al., 2015; Watson et al., 2019</w:t>
            </w:r>
          </w:p>
        </w:tc>
        <w:tc>
          <w:tcPr>
            <w:tcW w:w="160" w:type="pct"/>
          </w:tcPr>
          <w:p w14:paraId="69EFE6E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w:t>
            </w:r>
          </w:p>
        </w:tc>
        <w:tc>
          <w:tcPr>
            <w:tcW w:w="1918" w:type="pct"/>
            <w:gridSpan w:val="4"/>
          </w:tcPr>
          <w:p w14:paraId="337A7FAB"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O’Mahen – Women beliefs about genetic causes </w:t>
            </w:r>
          </w:p>
          <w:p w14:paraId="7D8082B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20 – Hormonal causes</w:t>
            </w:r>
          </w:p>
          <w:p w14:paraId="4624484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Lack of sleep and heavy cold</w:t>
            </w:r>
          </w:p>
          <w:p w14:paraId="78F6A24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Symptoms manifest as physical</w:t>
            </w:r>
          </w:p>
          <w:p w14:paraId="28BCD57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Forde – Hormonal causes</w:t>
            </w:r>
          </w:p>
          <w:p w14:paraId="6F54FA8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14 – Physical fatigue</w:t>
            </w:r>
          </w:p>
          <w:p w14:paraId="2A1C333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Newman – Not sleeping</w:t>
            </w:r>
          </w:p>
          <w:p w14:paraId="16E65A2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Sambrook-Smith – Tiredness, hormones</w:t>
            </w:r>
          </w:p>
          <w:p w14:paraId="1E1CECA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Schmied – Physical exhaustion</w:t>
            </w:r>
          </w:p>
          <w:p w14:paraId="56AF606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Staneva - Hormones</w:t>
            </w:r>
          </w:p>
          <w:p w14:paraId="2112A09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Watson - Hormones</w:t>
            </w:r>
          </w:p>
        </w:tc>
        <w:tc>
          <w:tcPr>
            <w:tcW w:w="437" w:type="pct"/>
          </w:tcPr>
          <w:p w14:paraId="62A8ACA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Moderate confidence – </w:t>
            </w:r>
            <w:r w:rsidRPr="00ED2CE1">
              <w:rPr>
                <w:rFonts w:ascii="Times New Roman" w:eastAsiaTheme="minorHAnsi" w:hAnsi="Times New Roman" w:cs="Times New Roman"/>
                <w:kern w:val="0"/>
                <w:sz w:val="16"/>
                <w:szCs w:val="16"/>
                <w:lang w:eastAsia="en-US"/>
              </w:rPr>
              <w:t>All talk but Dennis talk about physical factors as causes</w:t>
            </w:r>
          </w:p>
        </w:tc>
      </w:tr>
      <w:tr w:rsidR="00ED2CE1" w:rsidRPr="00ED2CE1" w14:paraId="55F7B1B2" w14:textId="77777777" w:rsidTr="006A54BC">
        <w:tc>
          <w:tcPr>
            <w:tcW w:w="738" w:type="pct"/>
          </w:tcPr>
          <w:p w14:paraId="4B08ACE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1.3.2.4 A normal response to motherhood?</w:t>
            </w:r>
          </w:p>
        </w:tc>
        <w:tc>
          <w:tcPr>
            <w:tcW w:w="787" w:type="pct"/>
          </w:tcPr>
          <w:p w14:paraId="26DDB67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Believing symptoms are just a normal response to motherhood</w:t>
            </w:r>
          </w:p>
        </w:tc>
        <w:tc>
          <w:tcPr>
            <w:tcW w:w="960" w:type="pct"/>
          </w:tcPr>
          <w:p w14:paraId="22ADD4F0"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Williams et al., 2016</w:t>
            </w:r>
            <w:r w:rsidRPr="00ED2CE1">
              <w:rPr>
                <w:rFonts w:ascii="Times New Roman" w:eastAsiaTheme="minorHAnsi" w:hAnsi="Times New Roman" w:cs="Times New Roman"/>
                <w:i/>
                <w:iCs/>
                <w:kern w:val="0"/>
                <w:sz w:val="16"/>
                <w:szCs w:val="16"/>
                <w:lang w:eastAsia="en-US"/>
              </w:rPr>
              <w:t xml:space="preserve"> </w:t>
            </w:r>
          </w:p>
          <w:p w14:paraId="01CECFA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Dennis &amp; Chung-Lee, 2006; Giscombe et al., 2020; Jones et al., 2014; Sambrook Smith et al., 2019; Schmied et al., 2017; Slade et al., 2020; Sorsa et al., 2021; Viveiros &amp; Darling, 2018</w:t>
            </w:r>
          </w:p>
        </w:tc>
        <w:tc>
          <w:tcPr>
            <w:tcW w:w="160" w:type="pct"/>
          </w:tcPr>
          <w:p w14:paraId="7600488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1918" w:type="pct"/>
            <w:gridSpan w:val="4"/>
          </w:tcPr>
          <w:p w14:paraId="03EB3240"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Williams – Seen as a normal part of pregnancy</w:t>
            </w:r>
          </w:p>
          <w:p w14:paraId="70F365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Dennis – Struggle is a normal part of motherhood </w:t>
            </w:r>
          </w:p>
          <w:p w14:paraId="447BF02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Giscombe – Women scored high on EPDS but did not think they were depressed </w:t>
            </w:r>
          </w:p>
          <w:p w14:paraId="61B87BC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14 – Normal part of motherhood</w:t>
            </w:r>
          </w:p>
          <w:p w14:paraId="7D7268C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Sambrook-Smith – Symptoms due to pregnancy and motherhood</w:t>
            </w:r>
          </w:p>
          <w:p w14:paraId="292B479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Schmied – A normal part of motherhood </w:t>
            </w:r>
          </w:p>
          <w:p w14:paraId="7C65E1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Slade – Was their traumatic birth normal?</w:t>
            </w:r>
          </w:p>
          <w:p w14:paraId="6B7AFCE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Sorsa – Normal state after having a baby</w:t>
            </w:r>
          </w:p>
          <w:p w14:paraId="6844965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Viveiros – Normal pregnancy feelings </w:t>
            </w:r>
          </w:p>
        </w:tc>
        <w:tc>
          <w:tcPr>
            <w:tcW w:w="437" w:type="pct"/>
          </w:tcPr>
          <w:p w14:paraId="2A49380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Moderate confidence - </w:t>
            </w:r>
            <w:r w:rsidRPr="00ED2CE1">
              <w:rPr>
                <w:rFonts w:ascii="Times New Roman" w:eastAsiaTheme="minorHAnsi" w:hAnsi="Times New Roman" w:cs="Times New Roman"/>
                <w:kern w:val="0"/>
                <w:sz w:val="16"/>
                <w:szCs w:val="16"/>
                <w:lang w:eastAsia="en-US"/>
              </w:rPr>
              <w:t xml:space="preserve"> Giscombe could be open to interpretation. Slade is slightly different but relevant.</w:t>
            </w:r>
          </w:p>
        </w:tc>
      </w:tr>
      <w:tr w:rsidR="00ED2CE1" w:rsidRPr="00ED2CE1" w14:paraId="446F778D" w14:textId="77777777" w:rsidTr="006A54BC">
        <w:tc>
          <w:tcPr>
            <w:tcW w:w="5000" w:type="pct"/>
            <w:gridSpan w:val="9"/>
            <w:shd w:val="clear" w:color="auto" w:fill="EDEDED" w:themeFill="accent3" w:themeFillTint="33"/>
          </w:tcPr>
          <w:p w14:paraId="1A68E03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1.3.3 How to cope with symptoms</w:t>
            </w:r>
          </w:p>
        </w:tc>
      </w:tr>
      <w:tr w:rsidR="00ED2CE1" w:rsidRPr="00ED2CE1" w14:paraId="3D32EF2E" w14:textId="77777777" w:rsidTr="006A54BC">
        <w:tc>
          <w:tcPr>
            <w:tcW w:w="738" w:type="pct"/>
          </w:tcPr>
          <w:p w14:paraId="034A2B9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1.3.3.1 Ignore them</w:t>
            </w:r>
          </w:p>
        </w:tc>
        <w:tc>
          <w:tcPr>
            <w:tcW w:w="787" w:type="pct"/>
          </w:tcPr>
          <w:p w14:paraId="4F76679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Women many deal with symptoms by ignoring them and assuming they will go away on their own</w:t>
            </w:r>
          </w:p>
        </w:tc>
        <w:tc>
          <w:tcPr>
            <w:tcW w:w="960" w:type="pct"/>
          </w:tcPr>
          <w:p w14:paraId="0C70E6C0"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Hadfield &amp; Wittkowski, 2017; Jones et al., 2014; Newman et al., 2019; Schmied et al., 2017; Slade et al., 2020</w:t>
            </w:r>
          </w:p>
        </w:tc>
        <w:tc>
          <w:tcPr>
            <w:tcW w:w="160" w:type="pct"/>
          </w:tcPr>
          <w:p w14:paraId="6251048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w:t>
            </w:r>
          </w:p>
        </w:tc>
        <w:tc>
          <w:tcPr>
            <w:tcW w:w="1918" w:type="pct"/>
            <w:gridSpan w:val="4"/>
          </w:tcPr>
          <w:p w14:paraId="5927926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Women felt they could deal with their symptoms on their own</w:t>
            </w:r>
          </w:p>
          <w:p w14:paraId="5E28275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Hadfield 17 – Some women believed their symptoms would resolve on their own</w:t>
            </w:r>
          </w:p>
          <w:p w14:paraId="457A686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14 – Women coped by putting on a brave face</w:t>
            </w:r>
          </w:p>
          <w:p w14:paraId="040541C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Newman – Some women waited before they sought help</w:t>
            </w:r>
          </w:p>
          <w:p w14:paraId="58B8D51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Schmied – Women ignored their feelings, pushed them aside</w:t>
            </w:r>
          </w:p>
          <w:p w14:paraId="45D2D75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Slade – Women avoided thinking about their feelings </w:t>
            </w:r>
          </w:p>
        </w:tc>
        <w:tc>
          <w:tcPr>
            <w:tcW w:w="437" w:type="pct"/>
          </w:tcPr>
          <w:p w14:paraId="449C59E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lastRenderedPageBreak/>
              <w:t xml:space="preserve">Moderate confidence - </w:t>
            </w:r>
            <w:r w:rsidRPr="00ED2CE1">
              <w:rPr>
                <w:rFonts w:ascii="Times New Roman" w:eastAsiaTheme="minorHAnsi" w:hAnsi="Times New Roman" w:cs="Times New Roman"/>
                <w:kern w:val="0"/>
                <w:sz w:val="16"/>
                <w:szCs w:val="16"/>
                <w:lang w:eastAsia="en-US"/>
              </w:rPr>
              <w:t xml:space="preserve"> All are about delaying help seeking by </w:t>
            </w:r>
            <w:r w:rsidRPr="00ED2CE1">
              <w:rPr>
                <w:rFonts w:ascii="Times New Roman" w:eastAsiaTheme="minorHAnsi" w:hAnsi="Times New Roman" w:cs="Times New Roman"/>
                <w:kern w:val="0"/>
                <w:sz w:val="16"/>
                <w:szCs w:val="16"/>
                <w:lang w:eastAsia="en-US"/>
              </w:rPr>
              <w:lastRenderedPageBreak/>
              <w:t>avoiding/ignoring but Bina was more about thinking they could deal with them themselves rather than specifically ignoring/avoiding</w:t>
            </w:r>
          </w:p>
        </w:tc>
      </w:tr>
      <w:tr w:rsidR="00ED2CE1" w:rsidRPr="00ED2CE1" w14:paraId="020C085E" w14:textId="77777777" w:rsidTr="006A54BC">
        <w:tc>
          <w:tcPr>
            <w:tcW w:w="738" w:type="pct"/>
          </w:tcPr>
          <w:p w14:paraId="660E8AE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1.3.3.2 Seek spiritual guidance</w:t>
            </w:r>
          </w:p>
        </w:tc>
        <w:tc>
          <w:tcPr>
            <w:tcW w:w="787" w:type="pct"/>
          </w:tcPr>
          <w:p w14:paraId="56F2CB6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Women may cope with symptoms by seeking spiritual guidance</w:t>
            </w:r>
          </w:p>
        </w:tc>
        <w:tc>
          <w:tcPr>
            <w:tcW w:w="960" w:type="pct"/>
          </w:tcPr>
          <w:p w14:paraId="3B721D50"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Hansotte et al., 2017; Kassam, 2019; Schmied et al., 2017; Watson et al., 2019</w:t>
            </w:r>
          </w:p>
        </w:tc>
        <w:tc>
          <w:tcPr>
            <w:tcW w:w="160" w:type="pct"/>
          </w:tcPr>
          <w:p w14:paraId="23DB594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w:t>
            </w:r>
          </w:p>
        </w:tc>
        <w:tc>
          <w:tcPr>
            <w:tcW w:w="1918" w:type="pct"/>
            <w:gridSpan w:val="4"/>
          </w:tcPr>
          <w:p w14:paraId="30FDFDF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Hansotte – Religion was a comfort to some women</w:t>
            </w:r>
          </w:p>
          <w:p w14:paraId="1B04FDD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Kassam – Religion was coping mechanism </w:t>
            </w:r>
          </w:p>
          <w:p w14:paraId="298C014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Schmied – Cope by praying</w:t>
            </w:r>
          </w:p>
          <w:p w14:paraId="7B1982D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Watson – Seeking spiritual support from religious leader </w:t>
            </w:r>
          </w:p>
        </w:tc>
        <w:tc>
          <w:tcPr>
            <w:tcW w:w="437" w:type="pct"/>
          </w:tcPr>
          <w:p w14:paraId="1CBC621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 xml:space="preserve">all about religious support </w:t>
            </w:r>
          </w:p>
        </w:tc>
      </w:tr>
      <w:tr w:rsidR="00ED2CE1" w:rsidRPr="00ED2CE1" w14:paraId="33ED3544" w14:textId="77777777" w:rsidTr="006A54BC">
        <w:tc>
          <w:tcPr>
            <w:tcW w:w="738" w:type="pct"/>
          </w:tcPr>
          <w:p w14:paraId="22A9A2D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1.3.3.3 Minimise them</w:t>
            </w:r>
          </w:p>
        </w:tc>
        <w:tc>
          <w:tcPr>
            <w:tcW w:w="787" w:type="pct"/>
          </w:tcPr>
          <w:p w14:paraId="60D9D24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Women may minimise or deny their symptoms</w:t>
            </w:r>
          </w:p>
        </w:tc>
        <w:tc>
          <w:tcPr>
            <w:tcW w:w="960" w:type="pct"/>
          </w:tcPr>
          <w:p w14:paraId="1F64BE0B"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Shakespeare et al., 2003</w:t>
            </w:r>
          </w:p>
          <w:p w14:paraId="76DB7413"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Dennis &amp; Chung-Lee, 2006; Forde et al., 2020; Hewitt et al., 2009; Holopainen &amp; Hakulinen, 2019; Jones et al., 2014; Kassam, 2019; Megnin-Viggars et al., 2015; Schmied et al., 2017; Slade et al., 2020; Staneva et al., 2015; Tobin et al., 2018; Watson et al., 2019</w:t>
            </w:r>
          </w:p>
        </w:tc>
        <w:tc>
          <w:tcPr>
            <w:tcW w:w="160" w:type="pct"/>
          </w:tcPr>
          <w:p w14:paraId="5C00F31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14</w:t>
            </w:r>
          </w:p>
        </w:tc>
        <w:tc>
          <w:tcPr>
            <w:tcW w:w="1918" w:type="pct"/>
            <w:gridSpan w:val="4"/>
          </w:tcPr>
          <w:p w14:paraId="2B7997E3"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Shakespeare – Some women covered up the way they were feeling</w:t>
            </w:r>
          </w:p>
          <w:p w14:paraId="72C4A89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women minimised the seriousness</w:t>
            </w:r>
          </w:p>
          <w:p w14:paraId="7D84B3D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Women denied their feelings</w:t>
            </w:r>
          </w:p>
          <w:p w14:paraId="66F4639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Forde – Women concealed their symptoms</w:t>
            </w:r>
          </w:p>
          <w:p w14:paraId="489CCCD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Hewitt – Women covered up their symptoms</w:t>
            </w:r>
          </w:p>
          <w:p w14:paraId="426BA7D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Holopainen – Quote from woman about how only her husband knew the truth</w:t>
            </w:r>
          </w:p>
          <w:p w14:paraId="37133C2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14 – Women pretended everything was fine</w:t>
            </w:r>
          </w:p>
          <w:p w14:paraId="77F845F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Kassam – Women concealed their symptoms</w:t>
            </w:r>
          </w:p>
          <w:p w14:paraId="0AA1EB3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Megnin-Viggars – Women concealed their illness</w:t>
            </w:r>
          </w:p>
          <w:p w14:paraId="00C9F4B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Schmied – Women ignored their symptoms, pushed them away</w:t>
            </w:r>
          </w:p>
          <w:p w14:paraId="5EBD4EB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Slade – Women ignored symptoms </w:t>
            </w:r>
          </w:p>
          <w:p w14:paraId="1F80CA1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Staneva – Women denied their symptoms</w:t>
            </w:r>
          </w:p>
          <w:p w14:paraId="2AD4FDD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w:t>
            </w:r>
          </w:p>
          <w:p w14:paraId="4819F64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Watson – Women minimised their symptoms </w:t>
            </w:r>
          </w:p>
        </w:tc>
        <w:tc>
          <w:tcPr>
            <w:tcW w:w="437" w:type="pct"/>
          </w:tcPr>
          <w:p w14:paraId="2709898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All about ignoring, minimising, pretending symptoms don’t exist</w:t>
            </w:r>
          </w:p>
        </w:tc>
      </w:tr>
      <w:tr w:rsidR="00ED2CE1" w:rsidRPr="00ED2CE1" w14:paraId="4CC3B788" w14:textId="77777777" w:rsidTr="006A54BC">
        <w:tc>
          <w:tcPr>
            <w:tcW w:w="5000" w:type="pct"/>
            <w:gridSpan w:val="9"/>
            <w:shd w:val="clear" w:color="auto" w:fill="DBDBDB" w:themeFill="accent3" w:themeFillTint="66"/>
          </w:tcPr>
          <w:p w14:paraId="2E2140E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1.4 Deciding to seek help</w:t>
            </w:r>
          </w:p>
        </w:tc>
      </w:tr>
      <w:tr w:rsidR="00ED2CE1" w:rsidRPr="00ED2CE1" w14:paraId="7CC080F1" w14:textId="77777777" w:rsidTr="006A54BC">
        <w:tc>
          <w:tcPr>
            <w:tcW w:w="738" w:type="pct"/>
          </w:tcPr>
          <w:p w14:paraId="0B64BF8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1.4.1 Recognising something is wrong</w:t>
            </w:r>
          </w:p>
        </w:tc>
        <w:tc>
          <w:tcPr>
            <w:tcW w:w="787" w:type="pct"/>
          </w:tcPr>
          <w:p w14:paraId="3314D08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The first step to seeking help for many women, was recognising that something is "wrong"</w:t>
            </w:r>
          </w:p>
        </w:tc>
        <w:tc>
          <w:tcPr>
            <w:tcW w:w="960" w:type="pct"/>
          </w:tcPr>
          <w:p w14:paraId="409071C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Button et al., 2017; Forde et al., 2020; Hadfield &amp; Wittkowski, 2017; Slade et al., 2020; Staneva et al., 2015; Viveiros &amp; Darling, 2018</w:t>
            </w:r>
          </w:p>
        </w:tc>
        <w:tc>
          <w:tcPr>
            <w:tcW w:w="160" w:type="pct"/>
          </w:tcPr>
          <w:p w14:paraId="0069DBF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8</w:t>
            </w:r>
          </w:p>
        </w:tc>
        <w:tc>
          <w:tcPr>
            <w:tcW w:w="1918" w:type="pct"/>
            <w:gridSpan w:val="4"/>
          </w:tcPr>
          <w:p w14:paraId="7828C2E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Recognition and awareness of difficulties were a trigger for help seeking</w:t>
            </w:r>
          </w:p>
          <w:p w14:paraId="4EC959B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Identification of a problem was the first step to help seeking</w:t>
            </w:r>
          </w:p>
          <w:p w14:paraId="1D8425F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Forde – There was a “moment” when mothers realised they needed help</w:t>
            </w:r>
          </w:p>
          <w:p w14:paraId="71B03B3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Hadfield – Women had to recognise something was wrong</w:t>
            </w:r>
          </w:p>
          <w:p w14:paraId="10DC43F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Slade – Women reached breaking point before sourced support</w:t>
            </w:r>
          </w:p>
          <w:p w14:paraId="6D28EB6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Staneva – Women need to recognise their needs</w:t>
            </w:r>
          </w:p>
          <w:p w14:paraId="55DB5B2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Viveiros – Women needed to perceive the need for care</w:t>
            </w:r>
          </w:p>
        </w:tc>
        <w:tc>
          <w:tcPr>
            <w:tcW w:w="437" w:type="pct"/>
          </w:tcPr>
          <w:p w14:paraId="5B44E2E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 xml:space="preserve"> very coherent theme</w:t>
            </w:r>
          </w:p>
        </w:tc>
      </w:tr>
      <w:tr w:rsidR="00ED2CE1" w:rsidRPr="00ED2CE1" w14:paraId="20C5F8D5" w14:textId="77777777" w:rsidTr="006A54BC">
        <w:tc>
          <w:tcPr>
            <w:tcW w:w="738" w:type="pct"/>
          </w:tcPr>
          <w:p w14:paraId="001F880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1.4.2 Where do I go to seek help?</w:t>
            </w:r>
          </w:p>
        </w:tc>
        <w:tc>
          <w:tcPr>
            <w:tcW w:w="787" w:type="pct"/>
          </w:tcPr>
          <w:p w14:paraId="54B22C5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The next step to help seeking is then understanding where to go in order to seek help</w:t>
            </w:r>
          </w:p>
        </w:tc>
        <w:tc>
          <w:tcPr>
            <w:tcW w:w="960" w:type="pct"/>
          </w:tcPr>
          <w:p w14:paraId="525CD1FD" w14:textId="77777777" w:rsidR="00ED2CE1" w:rsidRPr="00ED2CE1" w:rsidRDefault="00ED2CE1" w:rsidP="00ED2CE1">
            <w:pPr>
              <w:spacing w:line="240" w:lineRule="auto"/>
              <w:ind w:firstLine="0"/>
              <w:rPr>
                <w:rFonts w:ascii="Times New Roman" w:eastAsiaTheme="minorHAnsi" w:hAnsi="Times New Roman" w:cs="Times New Roman"/>
                <w:i/>
                <w:kern w:val="0"/>
                <w:sz w:val="16"/>
                <w:szCs w:val="16"/>
                <w:lang w:eastAsia="en-US"/>
              </w:rPr>
            </w:pPr>
            <w:r w:rsidRPr="00ED2CE1">
              <w:rPr>
                <w:rFonts w:ascii="Times New Roman" w:eastAsiaTheme="minorHAnsi" w:hAnsi="Times New Roman" w:cs="Times New Roman"/>
                <w:i/>
                <w:noProof/>
                <w:kern w:val="0"/>
                <w:sz w:val="16"/>
                <w:szCs w:val="16"/>
                <w:lang w:eastAsia="en-US"/>
              </w:rPr>
              <w:t>Ganann et al., 2019</w:t>
            </w:r>
          </w:p>
          <w:p w14:paraId="4DF0B5D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iCs/>
                <w:noProof/>
                <w:kern w:val="0"/>
                <w:sz w:val="16"/>
                <w:szCs w:val="16"/>
                <w:lang w:eastAsia="en-US"/>
              </w:rPr>
              <w:t>Bina, 2020; Dennis &amp; Chung-Lee, 2006; Hansotte et al., 2017; Megnin-Viggars et al., 2015; Schmied et al., 2017; Sorsa et al., 2021; Tobin et al., 2018</w:t>
            </w:r>
          </w:p>
        </w:tc>
        <w:tc>
          <w:tcPr>
            <w:tcW w:w="160" w:type="pct"/>
          </w:tcPr>
          <w:p w14:paraId="267CFEA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1918" w:type="pct"/>
            <w:gridSpan w:val="4"/>
          </w:tcPr>
          <w:p w14:paraId="24413431"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Ganann – Women did not understand the health system and didn’t know what to ask for</w:t>
            </w:r>
          </w:p>
          <w:p w14:paraId="747BFD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Women didn’t know where to go to get help</w:t>
            </w:r>
          </w:p>
          <w:p w14:paraId="53AB108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Dennis – Women didn’t know where to obtain assistance </w:t>
            </w:r>
          </w:p>
          <w:p w14:paraId="64A65C7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Hansotte – Women didn’t know where to find treatment</w:t>
            </w:r>
          </w:p>
          <w:p w14:paraId="5D36355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Megnin-Viggars – Women did not know what to do with their symptoms of depression</w:t>
            </w:r>
          </w:p>
          <w:p w14:paraId="03AA45D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Schmied – Quote from woman saying she didn’t know where to go, who to trust</w:t>
            </w:r>
          </w:p>
          <w:p w14:paraId="364547A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Sorsa – Women didn’t know where to get help</w:t>
            </w:r>
          </w:p>
          <w:p w14:paraId="1AD9CA2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 – Women didn’t know where to get help or know how the system works</w:t>
            </w:r>
          </w:p>
        </w:tc>
        <w:tc>
          <w:tcPr>
            <w:tcW w:w="437" w:type="pct"/>
          </w:tcPr>
          <w:p w14:paraId="302BF0E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lastRenderedPageBreak/>
              <w:t xml:space="preserve">High confidence - </w:t>
            </w:r>
            <w:r w:rsidRPr="00ED2CE1">
              <w:rPr>
                <w:rFonts w:ascii="Times New Roman" w:eastAsiaTheme="minorHAnsi" w:hAnsi="Times New Roman" w:cs="Times New Roman"/>
                <w:kern w:val="0"/>
                <w:sz w:val="16"/>
                <w:szCs w:val="16"/>
                <w:lang w:eastAsia="en-US"/>
              </w:rPr>
              <w:t xml:space="preserve"> very coherent theme</w:t>
            </w:r>
          </w:p>
        </w:tc>
      </w:tr>
      <w:tr w:rsidR="00ED2CE1" w:rsidRPr="00ED2CE1" w14:paraId="07390BE5" w14:textId="77777777" w:rsidTr="006A54BC">
        <w:tc>
          <w:tcPr>
            <w:tcW w:w="5000" w:type="pct"/>
            <w:gridSpan w:val="9"/>
            <w:shd w:val="clear" w:color="auto" w:fill="DBDBDB" w:themeFill="accent3" w:themeFillTint="66"/>
          </w:tcPr>
          <w:p w14:paraId="65E7C33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1.5 Fear of judgement</w:t>
            </w:r>
          </w:p>
        </w:tc>
      </w:tr>
      <w:tr w:rsidR="00ED2CE1" w:rsidRPr="00ED2CE1" w14:paraId="7A122649" w14:textId="77777777" w:rsidTr="006A54BC">
        <w:tc>
          <w:tcPr>
            <w:tcW w:w="738" w:type="pct"/>
          </w:tcPr>
          <w:p w14:paraId="328A0DC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1.5.1 Fear of being seen as a bad mum</w:t>
            </w:r>
          </w:p>
        </w:tc>
        <w:tc>
          <w:tcPr>
            <w:tcW w:w="787" w:type="pct"/>
          </w:tcPr>
          <w:p w14:paraId="753F975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Fear of being judged and being seen as a bad mother </w:t>
            </w:r>
          </w:p>
        </w:tc>
        <w:tc>
          <w:tcPr>
            <w:tcW w:w="960" w:type="pct"/>
          </w:tcPr>
          <w:p w14:paraId="239D8461"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val="es-ES" w:eastAsia="en-US"/>
              </w:rPr>
            </w:pPr>
            <w:r w:rsidRPr="00ED2CE1">
              <w:rPr>
                <w:rFonts w:ascii="Times New Roman" w:eastAsiaTheme="minorHAnsi" w:hAnsi="Times New Roman" w:cs="Times New Roman"/>
                <w:kern w:val="0"/>
                <w:sz w:val="16"/>
                <w:szCs w:val="22"/>
                <w:lang w:val="es-ES" w:eastAsia="en-US"/>
              </w:rPr>
              <w:t>Bina, 2020; Brealey et al., 2010; Button et al., 2017; Forde et al., 2020; Jones et al., 2014; Lucas et al., 2019; Slade et al., 2020; Sorsa et al., 2021; Viveiros &amp; Darling, 2018</w:t>
            </w:r>
          </w:p>
        </w:tc>
        <w:tc>
          <w:tcPr>
            <w:tcW w:w="160" w:type="pct"/>
          </w:tcPr>
          <w:p w14:paraId="6CEC315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1918" w:type="pct"/>
            <w:gridSpan w:val="4"/>
          </w:tcPr>
          <w:p w14:paraId="3C2CAD1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Bina – Women worry to admit in case they are labelled as unfit mothers </w:t>
            </w:r>
          </w:p>
          <w:p w14:paraId="18FA36D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Brealey – Women worry about being seen as an incompetent mother </w:t>
            </w:r>
          </w:p>
          <w:p w14:paraId="5216688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Quote about woman being worried to be judged to be a bad mum</w:t>
            </w:r>
          </w:p>
          <w:p w14:paraId="40B543D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Forde – Quote about woman being worried to be judged to be a bad mum</w:t>
            </w:r>
          </w:p>
          <w:p w14:paraId="04F82A1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14 – Failure to be an ideal mother</w:t>
            </w:r>
          </w:p>
          <w:p w14:paraId="3F732A1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Lucas – Young women felt judged to be a bad mum</w:t>
            </w:r>
          </w:p>
          <w:p w14:paraId="4022929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Slade – Pressure of trying to be a perfect mother and fear of being judged</w:t>
            </w:r>
          </w:p>
          <w:p w14:paraId="095F7E3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Sorsa – They didn’t want to be seen as a failure</w:t>
            </w:r>
          </w:p>
          <w:p w14:paraId="2F7983A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Viveiros – Pressure to be a good mother</w:t>
            </w:r>
          </w:p>
        </w:tc>
        <w:tc>
          <w:tcPr>
            <w:tcW w:w="437" w:type="pct"/>
          </w:tcPr>
          <w:p w14:paraId="63BD8E8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 xml:space="preserve"> very coherent theme</w:t>
            </w:r>
          </w:p>
        </w:tc>
      </w:tr>
      <w:tr w:rsidR="00ED2CE1" w:rsidRPr="00ED2CE1" w14:paraId="2B6A3526" w14:textId="77777777" w:rsidTr="006A54BC">
        <w:tc>
          <w:tcPr>
            <w:tcW w:w="738" w:type="pct"/>
          </w:tcPr>
          <w:p w14:paraId="2553BCC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1.5.2 Social services/ removal of child</w:t>
            </w:r>
          </w:p>
        </w:tc>
        <w:tc>
          <w:tcPr>
            <w:tcW w:w="787" w:type="pct"/>
          </w:tcPr>
          <w:p w14:paraId="187DD45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Fear of social services involvement or their child being removed from their care</w:t>
            </w:r>
          </w:p>
        </w:tc>
        <w:tc>
          <w:tcPr>
            <w:tcW w:w="960" w:type="pct"/>
          </w:tcPr>
          <w:p w14:paraId="2E46FFD8"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Boyd et al., 2011; Feinberg et al., 2006; Shakespeare et al., 2003; Young et al., 2019</w:t>
            </w:r>
          </w:p>
          <w:p w14:paraId="74D1C1D4"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Brealey et al., 2010; Button et al., 2017; Dennis &amp; Chung-Lee, 2006; Evans et al., 2020; Forde et al., 2020; Hadfield &amp; Wittkowski, 2017; Hewitt et al., 2009; A. Jones, 2019; Megnin-Viggars et al., 2015; Newman et al., 2019; Tobin et al., 2018; Watson et al., 2019</w:t>
            </w:r>
          </w:p>
          <w:p w14:paraId="2E05E35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32EF6E3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17</w:t>
            </w:r>
          </w:p>
        </w:tc>
        <w:tc>
          <w:tcPr>
            <w:tcW w:w="1918" w:type="pct"/>
            <w:gridSpan w:val="4"/>
          </w:tcPr>
          <w:p w14:paraId="266476F2"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Boyd – Women are afraid their baby will be taken into care</w:t>
            </w:r>
          </w:p>
          <w:p w14:paraId="7733ED83"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Feinberg – Concern acknowledge of depressive symptoms would prompt child protective service involvement</w:t>
            </w:r>
          </w:p>
          <w:p w14:paraId="1E2BC55C"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Shakespeare – Women were scared they would lose the baby</w:t>
            </w:r>
          </w:p>
          <w:p w14:paraId="103F1D30"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Young -Fear of child protective services </w:t>
            </w:r>
          </w:p>
          <w:p w14:paraId="604F67D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20 – Fear their baby would be taken away</w:t>
            </w:r>
          </w:p>
          <w:p w14:paraId="614FA62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Brealey – Fear of having their baby removed</w:t>
            </w:r>
          </w:p>
          <w:p w14:paraId="47A61A7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Button – Fear of social services and baby being taken into care</w:t>
            </w:r>
          </w:p>
          <w:p w14:paraId="4A51D0B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Fear of losing baby</w:t>
            </w:r>
          </w:p>
          <w:p w14:paraId="3FC20BD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Evans – Fear of social services </w:t>
            </w:r>
          </w:p>
          <w:p w14:paraId="124D633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Forde – Worried baby would be taken away</w:t>
            </w:r>
          </w:p>
          <w:p w14:paraId="3DE4179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Hadfield 17 – Fear of child being removed</w:t>
            </w:r>
          </w:p>
          <w:p w14:paraId="7269B0D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Hewitt – Fear baby would be removed </w:t>
            </w:r>
          </w:p>
          <w:p w14:paraId="5BB19EF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Jones 19 – Worried about losing parental rights </w:t>
            </w:r>
          </w:p>
          <w:p w14:paraId="482C3D9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Megnin-Viggars – Worried about losing custody</w:t>
            </w:r>
          </w:p>
          <w:p w14:paraId="6443140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Newman – Fear of social services involvement</w:t>
            </w:r>
          </w:p>
          <w:p w14:paraId="7C654D4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 – Fear of child being taken into care</w:t>
            </w:r>
          </w:p>
          <w:p w14:paraId="55518D3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Watson – Fear child being removed from their care </w:t>
            </w:r>
          </w:p>
          <w:p w14:paraId="34A3E96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 Fear of social services involvement</w:t>
            </w:r>
          </w:p>
        </w:tc>
        <w:tc>
          <w:tcPr>
            <w:tcW w:w="437" w:type="pct"/>
          </w:tcPr>
          <w:p w14:paraId="0F3CD2A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very coherent theme</w:t>
            </w:r>
          </w:p>
        </w:tc>
      </w:tr>
      <w:tr w:rsidR="00ED2CE1" w:rsidRPr="00ED2CE1" w14:paraId="399EA36B" w14:textId="77777777" w:rsidTr="006A54BC">
        <w:tc>
          <w:tcPr>
            <w:tcW w:w="5000" w:type="pct"/>
            <w:gridSpan w:val="9"/>
            <w:shd w:val="clear" w:color="auto" w:fill="DBDBDB" w:themeFill="accent3" w:themeFillTint="66"/>
          </w:tcPr>
          <w:p w14:paraId="2485BC89"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1.6 Logistics of accessing perinatal mental health care</w:t>
            </w:r>
          </w:p>
        </w:tc>
      </w:tr>
      <w:tr w:rsidR="00ED2CE1" w:rsidRPr="00ED2CE1" w14:paraId="66FE6BEE" w14:textId="77777777" w:rsidTr="006A54BC">
        <w:tc>
          <w:tcPr>
            <w:tcW w:w="738" w:type="pct"/>
          </w:tcPr>
          <w:p w14:paraId="15F01CE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1.6.1 Childcare</w:t>
            </w:r>
          </w:p>
        </w:tc>
        <w:tc>
          <w:tcPr>
            <w:tcW w:w="787" w:type="pct"/>
          </w:tcPr>
          <w:p w14:paraId="3792C73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Lack of childcare as a barrier to PMH Care</w:t>
            </w:r>
          </w:p>
        </w:tc>
        <w:tc>
          <w:tcPr>
            <w:tcW w:w="960" w:type="pct"/>
          </w:tcPr>
          <w:p w14:paraId="14F1E413" w14:textId="77777777" w:rsidR="00ED2CE1" w:rsidRPr="00ED2CE1" w:rsidRDefault="00ED2CE1" w:rsidP="00ED2CE1">
            <w:pPr>
              <w:spacing w:line="240" w:lineRule="auto"/>
              <w:ind w:firstLine="0"/>
              <w:rPr>
                <w:rFonts w:ascii="Times New Roman" w:eastAsiaTheme="minorHAnsi" w:hAnsi="Times New Roman" w:cs="Times New Roman"/>
                <w:i/>
                <w:kern w:val="0"/>
                <w:sz w:val="16"/>
                <w:szCs w:val="16"/>
                <w:lang w:eastAsia="en-US"/>
              </w:rPr>
            </w:pPr>
            <w:r w:rsidRPr="00ED2CE1">
              <w:rPr>
                <w:rFonts w:ascii="Times New Roman" w:eastAsiaTheme="minorHAnsi" w:hAnsi="Times New Roman" w:cs="Times New Roman"/>
                <w:i/>
                <w:noProof/>
                <w:kern w:val="0"/>
                <w:sz w:val="16"/>
                <w:szCs w:val="16"/>
                <w:lang w:eastAsia="en-US"/>
              </w:rPr>
              <w:t>Boyd et al., 2011; Cox et al., 2017; Doering et al., 2017; Friedman et al., 2010</w:t>
            </w:r>
          </w:p>
          <w:p w14:paraId="1EC764E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Button et al., 2017; Dennis &amp; Chung-Lee, 2006; Hansotte et al., 2017; Morrell et al., 2016; Newman et al., 2019; Sambrook Smith et al., 2019; Scope et al., 2017; Watson et al., 2019</w:t>
            </w:r>
          </w:p>
        </w:tc>
        <w:tc>
          <w:tcPr>
            <w:tcW w:w="160" w:type="pct"/>
          </w:tcPr>
          <w:p w14:paraId="6275B32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14</w:t>
            </w:r>
          </w:p>
        </w:tc>
        <w:tc>
          <w:tcPr>
            <w:tcW w:w="1918" w:type="pct"/>
            <w:gridSpan w:val="4"/>
          </w:tcPr>
          <w:p w14:paraId="5866A779"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Boyd – Can’t take their child to service and cannot afford childcare</w:t>
            </w:r>
          </w:p>
          <w:p w14:paraId="7533B1A8"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Cox – Lack of childcare as a barrier</w:t>
            </w:r>
          </w:p>
          <w:p w14:paraId="5B337F07"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Doering – Lack of childcare as a barrier</w:t>
            </w:r>
          </w:p>
          <w:p w14:paraId="619D1944"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Friedman – Lack of childcare as a barrier </w:t>
            </w:r>
          </w:p>
          <w:p w14:paraId="62DF2AD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20 – Difficulty finding childcare</w:t>
            </w:r>
          </w:p>
          <w:p w14:paraId="267BF5A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Button – Lack of childcare as a barrier </w:t>
            </w:r>
          </w:p>
          <w:p w14:paraId="7C8B657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No childcare</w:t>
            </w:r>
          </w:p>
          <w:p w14:paraId="0AC1BFF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Hansotte – Lack of childcare </w:t>
            </w:r>
          </w:p>
          <w:p w14:paraId="45ED04F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Morrell – Lack of childcare </w:t>
            </w:r>
          </w:p>
          <w:p w14:paraId="30E4936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Newman – limited childcare provision</w:t>
            </w:r>
          </w:p>
          <w:p w14:paraId="4BF8CE0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Sambrook-Smith – limited childcare </w:t>
            </w:r>
          </w:p>
          <w:p w14:paraId="2304F86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Scope – improvement involved providing childcare</w:t>
            </w:r>
          </w:p>
          <w:p w14:paraId="10BA45B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Watson – lack of childcare </w:t>
            </w:r>
          </w:p>
        </w:tc>
        <w:tc>
          <w:tcPr>
            <w:tcW w:w="437" w:type="pct"/>
          </w:tcPr>
          <w:p w14:paraId="5510223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lastRenderedPageBreak/>
              <w:t xml:space="preserve">High confidence - </w:t>
            </w:r>
            <w:r w:rsidRPr="00ED2CE1">
              <w:rPr>
                <w:rFonts w:ascii="Times New Roman" w:eastAsiaTheme="minorHAnsi" w:hAnsi="Times New Roman" w:cs="Times New Roman"/>
                <w:kern w:val="0"/>
                <w:sz w:val="16"/>
                <w:szCs w:val="16"/>
                <w:lang w:eastAsia="en-US"/>
              </w:rPr>
              <w:t xml:space="preserve"> very coherent theme</w:t>
            </w:r>
          </w:p>
        </w:tc>
      </w:tr>
      <w:tr w:rsidR="00ED2CE1" w:rsidRPr="00ED2CE1" w14:paraId="0FBB7DBE" w14:textId="77777777" w:rsidTr="006A54BC">
        <w:tc>
          <w:tcPr>
            <w:tcW w:w="738" w:type="pct"/>
          </w:tcPr>
          <w:p w14:paraId="497F674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1.6.2 Timing of care</w:t>
            </w:r>
          </w:p>
        </w:tc>
        <w:tc>
          <w:tcPr>
            <w:tcW w:w="787" w:type="pct"/>
          </w:tcPr>
          <w:p w14:paraId="37A9ABC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Timing of appointments and services offered</w:t>
            </w:r>
          </w:p>
        </w:tc>
        <w:tc>
          <w:tcPr>
            <w:tcW w:w="960" w:type="pct"/>
          </w:tcPr>
          <w:p w14:paraId="0330498A"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 xml:space="preserve">Atif et al., 2019; Friedman et al., 2010 </w:t>
            </w:r>
          </w:p>
          <w:p w14:paraId="6E81EED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Dennis &amp; Chung-Lee, 2006; Newman et al., 2019; Scope et al., 2017; Watson et al., 2019</w:t>
            </w:r>
          </w:p>
        </w:tc>
        <w:tc>
          <w:tcPr>
            <w:tcW w:w="160" w:type="pct"/>
          </w:tcPr>
          <w:p w14:paraId="09B4F22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w:t>
            </w:r>
          </w:p>
        </w:tc>
        <w:tc>
          <w:tcPr>
            <w:tcW w:w="1918" w:type="pct"/>
            <w:gridSpan w:val="4"/>
          </w:tcPr>
          <w:p w14:paraId="7DB96068"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Atif 19 – Excessive home life demands meaning can’t always attend appointments </w:t>
            </w:r>
          </w:p>
          <w:p w14:paraId="4BB46B1E"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Friedman – Time constraints as a barrier </w:t>
            </w:r>
          </w:p>
          <w:p w14:paraId="637E491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20 – Lack of time to attend appointments</w:t>
            </w:r>
          </w:p>
          <w:p w14:paraId="7EC8015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Dennis – Overburdened days, insufficient time, inconvenience of attending appointments</w:t>
            </w:r>
          </w:p>
          <w:p w14:paraId="59E7CFE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Newman – time of day of appointments </w:t>
            </w:r>
          </w:p>
          <w:p w14:paraId="2D1FA96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Scope- improvements would be to alter format and timing of sessions</w:t>
            </w:r>
          </w:p>
          <w:p w14:paraId="32B2E87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Watson – waiting times and time of the day services provided </w:t>
            </w:r>
          </w:p>
        </w:tc>
        <w:tc>
          <w:tcPr>
            <w:tcW w:w="437" w:type="pct"/>
          </w:tcPr>
          <w:p w14:paraId="148D672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Moderate confidence – </w:t>
            </w:r>
            <w:r w:rsidRPr="00ED2CE1">
              <w:rPr>
                <w:rFonts w:ascii="Times New Roman" w:eastAsiaTheme="minorHAnsi" w:hAnsi="Times New Roman" w:cs="Times New Roman"/>
                <w:kern w:val="0"/>
                <w:sz w:val="16"/>
                <w:szCs w:val="16"/>
                <w:lang w:eastAsia="en-US"/>
              </w:rPr>
              <w:t>About both mothers times and appointment times and how incompatible</w:t>
            </w:r>
          </w:p>
        </w:tc>
      </w:tr>
      <w:tr w:rsidR="00ED2CE1" w:rsidRPr="00ED2CE1" w14:paraId="31F7412D" w14:textId="77777777" w:rsidTr="006A54BC">
        <w:tc>
          <w:tcPr>
            <w:tcW w:w="738" w:type="pct"/>
          </w:tcPr>
          <w:p w14:paraId="26D3A07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1.6.3 Location/ travel</w:t>
            </w:r>
          </w:p>
        </w:tc>
        <w:tc>
          <w:tcPr>
            <w:tcW w:w="787" w:type="pct"/>
          </w:tcPr>
          <w:p w14:paraId="1FBECE4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Location of services or travel costs to get to services</w:t>
            </w:r>
          </w:p>
        </w:tc>
        <w:tc>
          <w:tcPr>
            <w:tcW w:w="960" w:type="pct"/>
          </w:tcPr>
          <w:p w14:paraId="75FCD268"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 xml:space="preserve">Cox et al., 2017; Doering et al., 2017; Eappen et al., 2018; Friedman et al., 2010; Masood et al., 2015; Nakku et al., 2016 </w:t>
            </w:r>
          </w:p>
          <w:p w14:paraId="7F20E4B3"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Hansotte et al., 2017; Mollard et al., 2016; Morrell et al., 2016; Newman et al., 2019; Tobin et al., 2018; Watson et al., 2019</w:t>
            </w:r>
          </w:p>
        </w:tc>
        <w:tc>
          <w:tcPr>
            <w:tcW w:w="160" w:type="pct"/>
          </w:tcPr>
          <w:p w14:paraId="2BF2B03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w:t>
            </w:r>
          </w:p>
        </w:tc>
        <w:tc>
          <w:tcPr>
            <w:tcW w:w="1918" w:type="pct"/>
            <w:gridSpan w:val="4"/>
          </w:tcPr>
          <w:p w14:paraId="185F44AA"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Cox – Lack of transport </w:t>
            </w:r>
          </w:p>
          <w:p w14:paraId="19D9EBF3"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Doering – Lack of transport</w:t>
            </w:r>
          </w:p>
          <w:p w14:paraId="583D99F9"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Eappen – Travel to appointments </w:t>
            </w:r>
          </w:p>
          <w:p w14:paraId="4E48D759"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Friedman – Transport and transport costs</w:t>
            </w:r>
          </w:p>
          <w:p w14:paraId="5B7A4EC4"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 xml:space="preserve">Masood – Lack of transport </w:t>
            </w:r>
          </w:p>
          <w:p w14:paraId="7E2CA272"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kern w:val="0"/>
                <w:sz w:val="16"/>
                <w:szCs w:val="16"/>
                <w:lang w:eastAsia="en-US"/>
              </w:rPr>
              <w:t>Nakku – No transport or transport money</w:t>
            </w:r>
          </w:p>
          <w:p w14:paraId="1160E92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Bina – Lack of transport, long distance to care</w:t>
            </w:r>
          </w:p>
          <w:p w14:paraId="4DDE1D4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Hansotte – Lack of transport, geographically removed from care </w:t>
            </w:r>
          </w:p>
          <w:p w14:paraId="5D15A33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Mollard – Lengthy travel times as a barrier</w:t>
            </w:r>
          </w:p>
          <w:p w14:paraId="2222D22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Morrell – Practical difficulties getting to appointments </w:t>
            </w:r>
          </w:p>
          <w:p w14:paraId="2CE4772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Newman – inaccessible care and travel costs</w:t>
            </w:r>
          </w:p>
          <w:p w14:paraId="53BC2FB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 – Lack of transport</w:t>
            </w:r>
          </w:p>
          <w:p w14:paraId="757E844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Watson – Travel costs </w:t>
            </w:r>
          </w:p>
        </w:tc>
        <w:tc>
          <w:tcPr>
            <w:tcW w:w="437" w:type="pct"/>
          </w:tcPr>
          <w:p w14:paraId="11A640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b/>
                <w:bCs/>
                <w:kern w:val="0"/>
                <w:sz w:val="16"/>
                <w:szCs w:val="16"/>
                <w:lang w:eastAsia="en-US"/>
              </w:rPr>
              <w:t xml:space="preserve">High confidence – </w:t>
            </w:r>
            <w:r w:rsidRPr="00ED2CE1">
              <w:rPr>
                <w:rFonts w:ascii="Times New Roman" w:eastAsiaTheme="minorHAnsi" w:hAnsi="Times New Roman" w:cs="Times New Roman"/>
                <w:kern w:val="0"/>
                <w:sz w:val="16"/>
                <w:szCs w:val="16"/>
                <w:lang w:eastAsia="en-US"/>
              </w:rPr>
              <w:t>Very coherent theme</w:t>
            </w:r>
          </w:p>
        </w:tc>
      </w:tr>
      <w:tr w:rsidR="00ED2CE1" w:rsidRPr="00ED2CE1" w14:paraId="1F8ADC7B" w14:textId="77777777" w:rsidTr="006A54BC">
        <w:tc>
          <w:tcPr>
            <w:tcW w:w="5000" w:type="pct"/>
            <w:gridSpan w:val="9"/>
            <w:shd w:val="clear" w:color="auto" w:fill="DBDBDB" w:themeFill="accent3" w:themeFillTint="66"/>
          </w:tcPr>
          <w:p w14:paraId="758C399B"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1.7 Social and family life</w:t>
            </w:r>
          </w:p>
        </w:tc>
      </w:tr>
      <w:tr w:rsidR="00ED2CE1" w:rsidRPr="00ED2CE1" w14:paraId="6734B957" w14:textId="77777777" w:rsidTr="006A54BC">
        <w:tc>
          <w:tcPr>
            <w:tcW w:w="738" w:type="pct"/>
          </w:tcPr>
          <w:p w14:paraId="2D39273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1.7.1 Social isolation or support</w:t>
            </w:r>
          </w:p>
        </w:tc>
        <w:tc>
          <w:tcPr>
            <w:tcW w:w="787" w:type="pct"/>
          </w:tcPr>
          <w:p w14:paraId="04A1216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Woman’s experiences of social support or social isolation</w:t>
            </w:r>
          </w:p>
        </w:tc>
        <w:tc>
          <w:tcPr>
            <w:tcW w:w="960" w:type="pct"/>
          </w:tcPr>
          <w:p w14:paraId="348A178C"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val="es-ES" w:eastAsia="en-US"/>
              </w:rPr>
            </w:pPr>
            <w:r w:rsidRPr="00ED2CE1">
              <w:rPr>
                <w:rFonts w:ascii="Times New Roman" w:eastAsiaTheme="minorHAnsi" w:hAnsi="Times New Roman" w:cs="Times New Roman"/>
                <w:kern w:val="0"/>
                <w:sz w:val="16"/>
                <w:szCs w:val="22"/>
                <w:lang w:val="es-ES" w:eastAsia="en-US"/>
              </w:rPr>
              <w:t>Giscombe et al., 2020; Hansotte et al., 2017; A. Jones, 2019; C. Jones et al., 2014; Kassam, 2019; Lucas et al., 2019; Tobin et al., 2018; Viveiros &amp; Darling, 2018; Watson et al., 2019</w:t>
            </w:r>
          </w:p>
        </w:tc>
        <w:tc>
          <w:tcPr>
            <w:tcW w:w="160" w:type="pct"/>
          </w:tcPr>
          <w:p w14:paraId="30B62E2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1918" w:type="pct"/>
            <w:gridSpan w:val="4"/>
          </w:tcPr>
          <w:p w14:paraId="58145A6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Giscombe – No emotional support makes care challenging </w:t>
            </w:r>
          </w:p>
          <w:p w14:paraId="1FDD77B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Hansotte – No social relationships felt an additional burden when dealing with PPD</w:t>
            </w:r>
          </w:p>
          <w:p w14:paraId="0E466DD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19 – Lack of appropriate support compounded feelings of isolation</w:t>
            </w:r>
          </w:p>
          <w:p w14:paraId="3EF09A1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Jones 14 – Lack of social support as a barrier to help seeking</w:t>
            </w:r>
          </w:p>
          <w:p w14:paraId="2F5414B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Kassam – Sense of community ax</w:t>
            </w:r>
          </w:p>
          <w:p w14:paraId="47AA5D7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Lucas</w:t>
            </w:r>
          </w:p>
          <w:p w14:paraId="6DD124B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Tobin</w:t>
            </w:r>
          </w:p>
          <w:p w14:paraId="0B79F23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Viveiros – Emotional isolation and loneliness were barriers to help seeking</w:t>
            </w:r>
          </w:p>
          <w:p w14:paraId="604F213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Watson</w:t>
            </w:r>
          </w:p>
        </w:tc>
        <w:tc>
          <w:tcPr>
            <w:tcW w:w="437" w:type="pct"/>
          </w:tcPr>
          <w:p w14:paraId="56BB36D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48DC5683" w14:textId="77777777" w:rsidTr="006A54BC">
        <w:tc>
          <w:tcPr>
            <w:tcW w:w="738" w:type="pct"/>
          </w:tcPr>
          <w:p w14:paraId="6CB71E8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1.7.2 Family and friends’ beliefs</w:t>
            </w:r>
          </w:p>
        </w:tc>
        <w:tc>
          <w:tcPr>
            <w:tcW w:w="787" w:type="pct"/>
          </w:tcPr>
          <w:p w14:paraId="481A749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Woman’s family and friends’ beliefs about mental illness</w:t>
            </w:r>
          </w:p>
        </w:tc>
        <w:tc>
          <w:tcPr>
            <w:tcW w:w="960" w:type="pct"/>
          </w:tcPr>
          <w:p w14:paraId="39F8699A"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 xml:space="preserve">Atif et al., 2016, 2019; Boyd et al., 2011; Doering et al., 2017; Ganann et al., 2019; Higgins et al., 2018; Masood et al., 2015; Nakku et al., 2016; Nithianandan et al., 2016; Noonan et al., 2018; O’Mahen &amp; </w:t>
            </w:r>
            <w:r w:rsidRPr="00ED2CE1">
              <w:rPr>
                <w:rFonts w:ascii="Times New Roman" w:eastAsiaTheme="minorHAnsi" w:hAnsi="Times New Roman" w:cs="Times New Roman"/>
                <w:i/>
                <w:kern w:val="0"/>
                <w:sz w:val="16"/>
                <w:szCs w:val="22"/>
                <w:lang w:eastAsia="en-US"/>
              </w:rPr>
              <w:lastRenderedPageBreak/>
              <w:t>Flynn, 2008; Pineros-Leano et al., 2015; Vik et al., 2009; Williams et al., 2016; Young et al., 2019</w:t>
            </w:r>
          </w:p>
          <w:p w14:paraId="09F80620"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Button et al., 2017; Dennis &amp; Chung-Lee, 2006; Forde et al., 2020; Hadfield &amp; Wittkowski, 2017; Holopainen &amp; Hakulinen, 2019; A. Jones, 2019; Lucas et al., 2019; Nilaweera et al., 2014; Sambrook Smith et al., 2019; Schmied et al., 2017; Sorsa et al., 2021; Viveiros &amp; Darling, 2018; Watson et al., 2019</w:t>
            </w:r>
          </w:p>
        </w:tc>
        <w:tc>
          <w:tcPr>
            <w:tcW w:w="160" w:type="pct"/>
          </w:tcPr>
          <w:p w14:paraId="0B0FB08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30</w:t>
            </w:r>
          </w:p>
        </w:tc>
        <w:tc>
          <w:tcPr>
            <w:tcW w:w="1918" w:type="pct"/>
            <w:gridSpan w:val="4"/>
          </w:tcPr>
          <w:p w14:paraId="73F4CA2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p>
        </w:tc>
        <w:tc>
          <w:tcPr>
            <w:tcW w:w="437" w:type="pct"/>
          </w:tcPr>
          <w:p w14:paraId="10FCAF4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48072880" w14:textId="77777777" w:rsidTr="006A54BC">
        <w:tc>
          <w:tcPr>
            <w:tcW w:w="738" w:type="pct"/>
          </w:tcPr>
          <w:p w14:paraId="47EFA9C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1.7.3 Additional personal difficulties</w:t>
            </w:r>
          </w:p>
        </w:tc>
        <w:tc>
          <w:tcPr>
            <w:tcW w:w="787" w:type="pct"/>
          </w:tcPr>
          <w:p w14:paraId="5050BDA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Personal difficulties outside of PMH such as unemployment</w:t>
            </w:r>
          </w:p>
        </w:tc>
        <w:tc>
          <w:tcPr>
            <w:tcW w:w="960" w:type="pct"/>
          </w:tcPr>
          <w:p w14:paraId="4488E718"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Atif et al., 2016; Boyd et al., 2011; Kerker et al., 2018; Munodawafa et al., 2017; Rowan et al., 2010; Williams et al., 2016</w:t>
            </w:r>
          </w:p>
          <w:p w14:paraId="5316505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Hansotte et al., 2017</w:t>
            </w:r>
          </w:p>
        </w:tc>
        <w:tc>
          <w:tcPr>
            <w:tcW w:w="160" w:type="pct"/>
          </w:tcPr>
          <w:p w14:paraId="1A161F6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w:t>
            </w:r>
          </w:p>
        </w:tc>
        <w:tc>
          <w:tcPr>
            <w:tcW w:w="1918" w:type="pct"/>
            <w:gridSpan w:val="4"/>
          </w:tcPr>
          <w:p w14:paraId="5DBEC86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p>
        </w:tc>
        <w:tc>
          <w:tcPr>
            <w:tcW w:w="437" w:type="pct"/>
          </w:tcPr>
          <w:p w14:paraId="7B1AA3B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66101FE5" w14:textId="77777777" w:rsidTr="006A54BC">
        <w:tc>
          <w:tcPr>
            <w:tcW w:w="5000" w:type="pct"/>
            <w:gridSpan w:val="9"/>
            <w:shd w:val="clear" w:color="auto" w:fill="DBDBDB" w:themeFill="accent3" w:themeFillTint="66"/>
          </w:tcPr>
          <w:p w14:paraId="55A996EF"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1.8 Sociodemographic factors</w:t>
            </w:r>
          </w:p>
        </w:tc>
      </w:tr>
      <w:tr w:rsidR="00ED2CE1" w:rsidRPr="00ED2CE1" w14:paraId="5332C547" w14:textId="77777777" w:rsidTr="006A54BC">
        <w:tc>
          <w:tcPr>
            <w:tcW w:w="738" w:type="pct"/>
          </w:tcPr>
          <w:p w14:paraId="13A4829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1.8.1 Ethnicity</w:t>
            </w:r>
          </w:p>
        </w:tc>
        <w:tc>
          <w:tcPr>
            <w:tcW w:w="787" w:type="pct"/>
          </w:tcPr>
          <w:p w14:paraId="2931972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Woman’s ethnicity</w:t>
            </w:r>
          </w:p>
        </w:tc>
        <w:tc>
          <w:tcPr>
            <w:tcW w:w="960" w:type="pct"/>
          </w:tcPr>
          <w:p w14:paraId="6E802F32"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Dennis &amp; Chung-Lee, 2006; Hansotte et al., 2017; Watson et al., 2019</w:t>
            </w:r>
          </w:p>
        </w:tc>
        <w:tc>
          <w:tcPr>
            <w:tcW w:w="160" w:type="pct"/>
          </w:tcPr>
          <w:p w14:paraId="469F795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w:t>
            </w:r>
          </w:p>
        </w:tc>
        <w:tc>
          <w:tcPr>
            <w:tcW w:w="1918" w:type="pct"/>
            <w:gridSpan w:val="4"/>
          </w:tcPr>
          <w:p w14:paraId="6EFDDE7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p>
        </w:tc>
        <w:tc>
          <w:tcPr>
            <w:tcW w:w="437" w:type="pct"/>
          </w:tcPr>
          <w:p w14:paraId="1C4D0E85"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03567C39" w14:textId="77777777" w:rsidTr="006A54BC">
        <w:tc>
          <w:tcPr>
            <w:tcW w:w="738" w:type="pct"/>
          </w:tcPr>
          <w:p w14:paraId="5DC721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1.8.2 Age</w:t>
            </w:r>
          </w:p>
        </w:tc>
        <w:tc>
          <w:tcPr>
            <w:tcW w:w="787" w:type="pct"/>
          </w:tcPr>
          <w:p w14:paraId="3B4F2E9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Woman’s age</w:t>
            </w:r>
          </w:p>
        </w:tc>
        <w:tc>
          <w:tcPr>
            <w:tcW w:w="960" w:type="pct"/>
          </w:tcPr>
          <w:p w14:paraId="67BACF1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Hansotte et al., 2017</w:t>
            </w:r>
          </w:p>
        </w:tc>
        <w:tc>
          <w:tcPr>
            <w:tcW w:w="160" w:type="pct"/>
          </w:tcPr>
          <w:p w14:paraId="04A676D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1918" w:type="pct"/>
            <w:gridSpan w:val="4"/>
          </w:tcPr>
          <w:p w14:paraId="012A3B1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p>
        </w:tc>
        <w:tc>
          <w:tcPr>
            <w:tcW w:w="437" w:type="pct"/>
          </w:tcPr>
          <w:p w14:paraId="4C2A06DF"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Very low confidence</w:t>
            </w:r>
          </w:p>
        </w:tc>
      </w:tr>
      <w:tr w:rsidR="00ED2CE1" w:rsidRPr="00ED2CE1" w14:paraId="143F2C96" w14:textId="77777777" w:rsidTr="006A54BC">
        <w:tc>
          <w:tcPr>
            <w:tcW w:w="5000" w:type="pct"/>
            <w:gridSpan w:val="9"/>
            <w:shd w:val="clear" w:color="auto" w:fill="DBDBDB" w:themeFill="accent3" w:themeFillTint="66"/>
          </w:tcPr>
          <w:p w14:paraId="27E8422B"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1.9 Mental health factors</w:t>
            </w:r>
          </w:p>
        </w:tc>
      </w:tr>
      <w:tr w:rsidR="00ED2CE1" w:rsidRPr="00ED2CE1" w14:paraId="4089D28A" w14:textId="77777777" w:rsidTr="006A54BC">
        <w:tc>
          <w:tcPr>
            <w:tcW w:w="738" w:type="pct"/>
          </w:tcPr>
          <w:p w14:paraId="569E3C7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1.9.1 Previous experiences of mental health care</w:t>
            </w:r>
          </w:p>
        </w:tc>
        <w:tc>
          <w:tcPr>
            <w:tcW w:w="787" w:type="pct"/>
          </w:tcPr>
          <w:p w14:paraId="0F82E0D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Previous experiences of mental health care</w:t>
            </w:r>
          </w:p>
        </w:tc>
        <w:tc>
          <w:tcPr>
            <w:tcW w:w="960" w:type="pct"/>
          </w:tcPr>
          <w:p w14:paraId="2AF7C397" w14:textId="77777777" w:rsidR="00ED2CE1" w:rsidRPr="00ED2CE1" w:rsidRDefault="00ED2CE1" w:rsidP="00ED2CE1">
            <w:pPr>
              <w:spacing w:line="240" w:lineRule="auto"/>
              <w:ind w:firstLine="0"/>
              <w:rPr>
                <w:rFonts w:ascii="Times New Roman" w:eastAsiaTheme="minorHAnsi" w:hAnsi="Times New Roman" w:cs="Times New Roman"/>
                <w:i/>
                <w:kern w:val="0"/>
                <w:sz w:val="16"/>
                <w:szCs w:val="16"/>
                <w:lang w:eastAsia="en-US"/>
              </w:rPr>
            </w:pPr>
            <w:r w:rsidRPr="00ED2CE1">
              <w:rPr>
                <w:rFonts w:ascii="Times New Roman" w:eastAsiaTheme="minorHAnsi" w:hAnsi="Times New Roman" w:cs="Times New Roman"/>
                <w:i/>
                <w:noProof/>
                <w:kern w:val="0"/>
                <w:sz w:val="16"/>
                <w:szCs w:val="16"/>
                <w:lang w:eastAsia="en-US"/>
              </w:rPr>
              <w:t>O’Mahen &amp; Flynn, 2008</w:t>
            </w:r>
          </w:p>
          <w:p w14:paraId="7E172F8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Button et al., 2017; Evans et al., 2020; Hadfield &amp; Wittkowski, 2017; Hansotte et al., 2017; Watson et al., 2019</w:t>
            </w:r>
          </w:p>
        </w:tc>
        <w:tc>
          <w:tcPr>
            <w:tcW w:w="160" w:type="pct"/>
          </w:tcPr>
          <w:p w14:paraId="5A87264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w:t>
            </w:r>
          </w:p>
        </w:tc>
        <w:tc>
          <w:tcPr>
            <w:tcW w:w="1918" w:type="pct"/>
            <w:gridSpan w:val="4"/>
          </w:tcPr>
          <w:p w14:paraId="0DD57DA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p>
        </w:tc>
        <w:tc>
          <w:tcPr>
            <w:tcW w:w="437" w:type="pct"/>
          </w:tcPr>
          <w:p w14:paraId="5241C75B"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478459C0" w14:textId="77777777" w:rsidTr="006A54BC">
        <w:tc>
          <w:tcPr>
            <w:tcW w:w="738" w:type="pct"/>
          </w:tcPr>
          <w:p w14:paraId="025EC1D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1.9.2 Previous diagnoses or symptoms</w:t>
            </w:r>
          </w:p>
        </w:tc>
        <w:tc>
          <w:tcPr>
            <w:tcW w:w="787" w:type="pct"/>
          </w:tcPr>
          <w:p w14:paraId="08400AF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Previous experiences of mental health symptoms or diagnoses</w:t>
            </w:r>
          </w:p>
        </w:tc>
        <w:tc>
          <w:tcPr>
            <w:tcW w:w="960" w:type="pct"/>
          </w:tcPr>
          <w:p w14:paraId="1BF04FE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Sorsa et al., 2021</w:t>
            </w:r>
          </w:p>
        </w:tc>
        <w:tc>
          <w:tcPr>
            <w:tcW w:w="160" w:type="pct"/>
          </w:tcPr>
          <w:p w14:paraId="6D3598D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1918" w:type="pct"/>
            <w:gridSpan w:val="4"/>
          </w:tcPr>
          <w:p w14:paraId="3C3625F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p>
        </w:tc>
        <w:tc>
          <w:tcPr>
            <w:tcW w:w="437" w:type="pct"/>
          </w:tcPr>
          <w:p w14:paraId="045B8EDD"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Very low confidence</w:t>
            </w:r>
          </w:p>
        </w:tc>
      </w:tr>
      <w:tr w:rsidR="00ED2CE1" w:rsidRPr="00ED2CE1" w14:paraId="03D1719D" w14:textId="77777777" w:rsidTr="006A54BC">
        <w:tc>
          <w:tcPr>
            <w:tcW w:w="738" w:type="pct"/>
          </w:tcPr>
          <w:p w14:paraId="3B73EDB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1.9.3 Current diagnoses or symptoms</w:t>
            </w:r>
          </w:p>
        </w:tc>
        <w:tc>
          <w:tcPr>
            <w:tcW w:w="787" w:type="pct"/>
          </w:tcPr>
          <w:p w14:paraId="6972A26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Current experiences of mental health symptoms or diagnoses</w:t>
            </w:r>
          </w:p>
        </w:tc>
        <w:tc>
          <w:tcPr>
            <w:tcW w:w="960" w:type="pct"/>
          </w:tcPr>
          <w:p w14:paraId="6DCE047D" w14:textId="77777777" w:rsidR="00ED2CE1" w:rsidRPr="00ED2CE1" w:rsidRDefault="00ED2CE1" w:rsidP="00ED2CE1">
            <w:pPr>
              <w:spacing w:line="240" w:lineRule="auto"/>
              <w:ind w:firstLine="0"/>
              <w:rPr>
                <w:rFonts w:ascii="Times New Roman" w:eastAsiaTheme="minorHAnsi" w:hAnsi="Times New Roman" w:cs="Times New Roman"/>
                <w:i/>
                <w:kern w:val="0"/>
                <w:sz w:val="16"/>
                <w:szCs w:val="16"/>
                <w:lang w:eastAsia="en-US"/>
              </w:rPr>
            </w:pPr>
            <w:r w:rsidRPr="00ED2CE1">
              <w:rPr>
                <w:rFonts w:ascii="Times New Roman" w:eastAsiaTheme="minorHAnsi" w:hAnsi="Times New Roman" w:cs="Times New Roman"/>
                <w:i/>
                <w:noProof/>
                <w:kern w:val="0"/>
                <w:sz w:val="16"/>
                <w:szCs w:val="16"/>
                <w:lang w:eastAsia="en-US"/>
              </w:rPr>
              <w:t>Chartier et al., 2015; Friedman et al., 2010; Hadfield et al., 2019; Young et al., 2019</w:t>
            </w:r>
          </w:p>
          <w:p w14:paraId="138F27E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Sorsa et al., 2021; Viveiros &amp; Darling, 2018</w:t>
            </w:r>
          </w:p>
        </w:tc>
        <w:tc>
          <w:tcPr>
            <w:tcW w:w="160" w:type="pct"/>
          </w:tcPr>
          <w:p w14:paraId="75FA590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w:t>
            </w:r>
          </w:p>
        </w:tc>
        <w:tc>
          <w:tcPr>
            <w:tcW w:w="1918" w:type="pct"/>
            <w:gridSpan w:val="4"/>
          </w:tcPr>
          <w:p w14:paraId="20363D6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p>
        </w:tc>
        <w:tc>
          <w:tcPr>
            <w:tcW w:w="437" w:type="pct"/>
          </w:tcPr>
          <w:p w14:paraId="5BDE8CE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454E8F13" w14:textId="77777777" w:rsidTr="006A54BC">
        <w:tc>
          <w:tcPr>
            <w:tcW w:w="5000" w:type="pct"/>
            <w:gridSpan w:val="9"/>
            <w:shd w:val="clear" w:color="auto" w:fill="A5A5A5" w:themeFill="accent3"/>
          </w:tcPr>
          <w:p w14:paraId="15003DC6"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2. HCPs</w:t>
            </w:r>
          </w:p>
        </w:tc>
      </w:tr>
      <w:tr w:rsidR="00ED2CE1" w:rsidRPr="00ED2CE1" w14:paraId="5F453ECC" w14:textId="77777777" w:rsidTr="006A54BC">
        <w:tc>
          <w:tcPr>
            <w:tcW w:w="5000" w:type="pct"/>
            <w:gridSpan w:val="9"/>
            <w:shd w:val="clear" w:color="auto" w:fill="DBDBDB" w:themeFill="accent3" w:themeFillTint="66"/>
          </w:tcPr>
          <w:p w14:paraId="71D3A3F1"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2.1 HCPs knowledge about PMH</w:t>
            </w:r>
          </w:p>
        </w:tc>
      </w:tr>
      <w:tr w:rsidR="00ED2CE1" w:rsidRPr="00ED2CE1" w14:paraId="1418085D" w14:textId="77777777" w:rsidTr="006A54BC">
        <w:tc>
          <w:tcPr>
            <w:tcW w:w="738" w:type="pct"/>
          </w:tcPr>
          <w:p w14:paraId="7E8707D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2.1.1 HCPs knowledge about PMI</w:t>
            </w:r>
          </w:p>
        </w:tc>
        <w:tc>
          <w:tcPr>
            <w:tcW w:w="787" w:type="pct"/>
          </w:tcPr>
          <w:p w14:paraId="1D44233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knowledge about PMH actual &amp; perceived by women</w:t>
            </w:r>
          </w:p>
        </w:tc>
        <w:tc>
          <w:tcPr>
            <w:tcW w:w="960" w:type="pct"/>
          </w:tcPr>
          <w:p w14:paraId="5A06B3E4"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 xml:space="preserve">Beeber et al., 2009; Byatt et al., 2013; Ganann et al., 2019; Higgins et al., 2018; Judd et al., 2011; </w:t>
            </w:r>
            <w:r w:rsidRPr="00ED2CE1">
              <w:rPr>
                <w:rFonts w:ascii="Times New Roman" w:eastAsiaTheme="minorHAnsi" w:hAnsi="Times New Roman" w:cs="Times New Roman"/>
                <w:i/>
                <w:iCs/>
                <w:noProof/>
                <w:kern w:val="0"/>
                <w:sz w:val="16"/>
                <w:szCs w:val="16"/>
                <w:lang w:eastAsia="en-US"/>
              </w:rPr>
              <w:lastRenderedPageBreak/>
              <w:t>McCauley et al., 2019; McKenzie-McHarg et al., 2014; Noonan et al., 2018; Reed et al., 2014; Rowan et al., 2010</w:t>
            </w:r>
          </w:p>
          <w:p w14:paraId="4E30084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Dennis &amp; Chung-Lee, 2006; Megnin-Viggars et al., 2015; Morrell et al., 2016; Slade et al., 2020; Viveiros &amp; Darling, 2018</w:t>
            </w:r>
          </w:p>
          <w:p w14:paraId="23BB169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5B5F580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17</w:t>
            </w:r>
          </w:p>
        </w:tc>
        <w:tc>
          <w:tcPr>
            <w:tcW w:w="581" w:type="pct"/>
          </w:tcPr>
          <w:p w14:paraId="73C1F4D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72D9C6B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27A893A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093614D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7AC9358B"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6B6120F8" w14:textId="77777777" w:rsidTr="006A54BC">
        <w:tc>
          <w:tcPr>
            <w:tcW w:w="738" w:type="pct"/>
          </w:tcPr>
          <w:p w14:paraId="79059CC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2.1.2 HCP’s knowledge about services/referral pathways</w:t>
            </w:r>
          </w:p>
        </w:tc>
        <w:tc>
          <w:tcPr>
            <w:tcW w:w="787" w:type="pct"/>
          </w:tcPr>
          <w:p w14:paraId="675CFCB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knowledge about PMH services and referral pathways actual &amp; perceived by women</w:t>
            </w:r>
          </w:p>
        </w:tc>
        <w:tc>
          <w:tcPr>
            <w:tcW w:w="960" w:type="pct"/>
          </w:tcPr>
          <w:p w14:paraId="755925E4"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Ganann et al., 2019; Higgins et al., 2018; Rowan et al., 2010</w:t>
            </w:r>
          </w:p>
          <w:p w14:paraId="780F9B5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Dennis &amp; Chung-Lee, 2006; Hansotte et al., 2017; Sambrook Smith et al., 2019; Slade et al., 2020; Viveiros &amp; Darling, 2018</w:t>
            </w:r>
          </w:p>
        </w:tc>
        <w:tc>
          <w:tcPr>
            <w:tcW w:w="160" w:type="pct"/>
          </w:tcPr>
          <w:p w14:paraId="09C7D1E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8</w:t>
            </w:r>
          </w:p>
        </w:tc>
        <w:tc>
          <w:tcPr>
            <w:tcW w:w="581" w:type="pct"/>
          </w:tcPr>
          <w:p w14:paraId="51CBFDF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19DA699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6B11613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14CAED3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47FA60D2"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3AB843F1" w14:textId="77777777" w:rsidTr="006A54BC">
        <w:tc>
          <w:tcPr>
            <w:tcW w:w="738" w:type="pct"/>
          </w:tcPr>
          <w:p w14:paraId="083AAB4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2.1.3 HCPs confidence</w:t>
            </w:r>
          </w:p>
        </w:tc>
        <w:tc>
          <w:tcPr>
            <w:tcW w:w="787" w:type="pct"/>
          </w:tcPr>
          <w:p w14:paraId="4DC98CE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confidence in addressing PMH</w:t>
            </w:r>
          </w:p>
        </w:tc>
        <w:tc>
          <w:tcPr>
            <w:tcW w:w="960" w:type="pct"/>
          </w:tcPr>
          <w:p w14:paraId="482F1FAF"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val="es-ES" w:eastAsia="en-US"/>
              </w:rPr>
            </w:pPr>
            <w:r w:rsidRPr="00ED2CE1">
              <w:rPr>
                <w:rFonts w:ascii="Times New Roman" w:eastAsiaTheme="minorHAnsi" w:hAnsi="Times New Roman" w:cs="Times New Roman"/>
                <w:i/>
                <w:kern w:val="0"/>
                <w:sz w:val="16"/>
                <w:szCs w:val="22"/>
                <w:lang w:val="es-ES" w:eastAsia="en-US"/>
              </w:rPr>
              <w:t>Atif et al., 2019; Bina et al., 2018; Cox et al., 2017; Fernandez y Garcia et al., 2011; Higgins et al., 2018; Munodawafa et al., 2017; Nithianandan et al., 2016; Ormsby et al., 2018; Reed et al., 2014</w:t>
            </w:r>
          </w:p>
          <w:p w14:paraId="52DF450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5A68102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581" w:type="pct"/>
          </w:tcPr>
          <w:p w14:paraId="6541B17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 confidence</w:t>
            </w:r>
          </w:p>
        </w:tc>
        <w:tc>
          <w:tcPr>
            <w:tcW w:w="470" w:type="pct"/>
          </w:tcPr>
          <w:p w14:paraId="24420CA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14EB53A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22F42AD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0C1C74C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61572823" w14:textId="77777777" w:rsidTr="006A54BC">
        <w:tc>
          <w:tcPr>
            <w:tcW w:w="5000" w:type="pct"/>
            <w:gridSpan w:val="9"/>
            <w:shd w:val="clear" w:color="auto" w:fill="DBDBDB" w:themeFill="accent3" w:themeFillTint="66"/>
          </w:tcPr>
          <w:p w14:paraId="4A134BF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2.2 Getting it right the first time</w:t>
            </w:r>
          </w:p>
        </w:tc>
      </w:tr>
      <w:tr w:rsidR="00ED2CE1" w:rsidRPr="00ED2CE1" w14:paraId="4994710A" w14:textId="77777777" w:rsidTr="006A54BC">
        <w:tc>
          <w:tcPr>
            <w:tcW w:w="738" w:type="pct"/>
          </w:tcPr>
          <w:p w14:paraId="67ABB0E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2.2.1 Being dismissive or normalising symptoms</w:t>
            </w:r>
          </w:p>
        </w:tc>
        <w:tc>
          <w:tcPr>
            <w:tcW w:w="787" w:type="pct"/>
          </w:tcPr>
          <w:p w14:paraId="40ADDD1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dismissing or normalising symptoms</w:t>
            </w:r>
          </w:p>
        </w:tc>
        <w:tc>
          <w:tcPr>
            <w:tcW w:w="960" w:type="pct"/>
          </w:tcPr>
          <w:p w14:paraId="69069E87"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 xml:space="preserve">Ganann et al., 2019 </w:t>
            </w:r>
          </w:p>
          <w:p w14:paraId="3DFC9A94"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Button et al., 2017; Dennis &amp; Chung-Lee, 2006; Forde et al., 2020; Hadfield &amp; Wittkowski, 2017; Hansotte et al., 2017; Megnin-Viggars et al., 2015; Newman et al., 2019; Sorsa et al., 2021; Watson et al., 2019</w:t>
            </w:r>
          </w:p>
          <w:p w14:paraId="1EC2EB1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36C0DA1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11</w:t>
            </w:r>
          </w:p>
        </w:tc>
        <w:tc>
          <w:tcPr>
            <w:tcW w:w="581" w:type="pct"/>
          </w:tcPr>
          <w:p w14:paraId="1F7AB7C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41E96C4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32EC3DA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2C0629A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0378BA6C"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5A8BE22F" w14:textId="77777777" w:rsidTr="006A54BC">
        <w:tc>
          <w:tcPr>
            <w:tcW w:w="738" w:type="pct"/>
          </w:tcPr>
          <w:p w14:paraId="5EC1622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2.2.2 Not recognising help seeking or PMI</w:t>
            </w:r>
          </w:p>
        </w:tc>
        <w:tc>
          <w:tcPr>
            <w:tcW w:w="787" w:type="pct"/>
          </w:tcPr>
          <w:p w14:paraId="3BDE492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not recognising help seeking or PMI</w:t>
            </w:r>
          </w:p>
        </w:tc>
        <w:tc>
          <w:tcPr>
            <w:tcW w:w="960" w:type="pct"/>
          </w:tcPr>
          <w:p w14:paraId="59A85938"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Bina, 2020; Button et al., 2017; Megnin-Viggars et al., 2015; Tobin et al., 2018; Watson et al., 2019</w:t>
            </w:r>
          </w:p>
        </w:tc>
        <w:tc>
          <w:tcPr>
            <w:tcW w:w="160" w:type="pct"/>
          </w:tcPr>
          <w:p w14:paraId="2A73983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5</w:t>
            </w:r>
          </w:p>
        </w:tc>
        <w:tc>
          <w:tcPr>
            <w:tcW w:w="581" w:type="pct"/>
          </w:tcPr>
          <w:p w14:paraId="2FA2DB1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15BB867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5621D11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6A5FBEC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76273E3F"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4948778E" w14:textId="77777777" w:rsidTr="006A54BC">
        <w:tc>
          <w:tcPr>
            <w:tcW w:w="738" w:type="pct"/>
          </w:tcPr>
          <w:p w14:paraId="4371031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2.2.3 Focussing on infant</w:t>
            </w:r>
          </w:p>
        </w:tc>
        <w:tc>
          <w:tcPr>
            <w:tcW w:w="787" w:type="pct"/>
          </w:tcPr>
          <w:p w14:paraId="6191217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focussing mainly on the infant</w:t>
            </w:r>
          </w:p>
        </w:tc>
        <w:tc>
          <w:tcPr>
            <w:tcW w:w="960" w:type="pct"/>
          </w:tcPr>
          <w:p w14:paraId="17BC9E7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Button et al., 2017; Megnin-Viggars et al., 2015</w:t>
            </w:r>
          </w:p>
        </w:tc>
        <w:tc>
          <w:tcPr>
            <w:tcW w:w="160" w:type="pct"/>
          </w:tcPr>
          <w:p w14:paraId="3A18918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581" w:type="pct"/>
          </w:tcPr>
          <w:p w14:paraId="5B93AE6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4B966E6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651615B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1B4D204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78DCCA4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1D3913B0" w14:textId="77777777" w:rsidTr="006A54BC">
        <w:tc>
          <w:tcPr>
            <w:tcW w:w="738" w:type="pct"/>
          </w:tcPr>
          <w:p w14:paraId="7C1F6F4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2.2.4 Making time</w:t>
            </w:r>
          </w:p>
        </w:tc>
        <w:tc>
          <w:tcPr>
            <w:tcW w:w="787" w:type="pct"/>
          </w:tcPr>
          <w:p w14:paraId="5CFDF2A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A HCP who makes time to address PMH concerns</w:t>
            </w:r>
          </w:p>
        </w:tc>
        <w:tc>
          <w:tcPr>
            <w:tcW w:w="960" w:type="pct"/>
          </w:tcPr>
          <w:p w14:paraId="1553D40E"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Feinberg et al., 2006; Myors et al., 2015; Noonan et al., 2018</w:t>
            </w:r>
          </w:p>
          <w:p w14:paraId="4BFAE49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 xml:space="preserve">Bina, 2020; Button et al., 2017; Dennis &amp; Chung-Lee, 2006; Hewitt et al., 2009; Megnin-Viggars et al., </w:t>
            </w:r>
            <w:r w:rsidRPr="00ED2CE1">
              <w:rPr>
                <w:rFonts w:ascii="Times New Roman" w:eastAsiaTheme="minorHAnsi" w:hAnsi="Times New Roman" w:cs="Times New Roman"/>
                <w:noProof/>
                <w:kern w:val="0"/>
                <w:sz w:val="16"/>
                <w:szCs w:val="16"/>
                <w:lang w:eastAsia="en-US"/>
              </w:rPr>
              <w:lastRenderedPageBreak/>
              <w:t>2015; Slade et al., 2020; Viveiros &amp; Darling, 2018; Watson et al., 2019</w:t>
            </w:r>
          </w:p>
        </w:tc>
        <w:tc>
          <w:tcPr>
            <w:tcW w:w="160" w:type="pct"/>
          </w:tcPr>
          <w:p w14:paraId="731F737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11</w:t>
            </w:r>
          </w:p>
        </w:tc>
        <w:tc>
          <w:tcPr>
            <w:tcW w:w="581" w:type="pct"/>
          </w:tcPr>
          <w:p w14:paraId="189D0EB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5C4B748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55C323C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3A40925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5A3ACF8C"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1AC0F2FE" w14:textId="77777777" w:rsidTr="006A54BC">
        <w:tc>
          <w:tcPr>
            <w:tcW w:w="738" w:type="pct"/>
          </w:tcPr>
          <w:p w14:paraId="31B51B0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2.2.5 Assessment specific behaviours</w:t>
            </w:r>
          </w:p>
        </w:tc>
        <w:tc>
          <w:tcPr>
            <w:tcW w:w="787" w:type="pct"/>
          </w:tcPr>
          <w:p w14:paraId="0BD9EDE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assessment specific behaviours, such as asking about PMH, carrying out in a tick box way, or in a personalised way</w:t>
            </w:r>
          </w:p>
        </w:tc>
        <w:tc>
          <w:tcPr>
            <w:tcW w:w="960" w:type="pct"/>
          </w:tcPr>
          <w:p w14:paraId="42895A8A"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val="es-ES" w:eastAsia="en-US"/>
              </w:rPr>
            </w:pPr>
            <w:r w:rsidRPr="00ED2CE1">
              <w:rPr>
                <w:rFonts w:ascii="Times New Roman" w:eastAsiaTheme="minorHAnsi" w:hAnsi="Times New Roman" w:cs="Times New Roman"/>
                <w:i/>
                <w:kern w:val="0"/>
                <w:sz w:val="16"/>
                <w:szCs w:val="22"/>
                <w:lang w:val="es-ES" w:eastAsia="en-US"/>
              </w:rPr>
              <w:t>Doering et al., 2017; Fernandez y Garcia et al., 2011; Nithianandan et al., 2016; Segre et al., 2014; Vik et al., 2009; Williams et al., 2016</w:t>
            </w:r>
          </w:p>
          <w:p w14:paraId="2A6337E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Brealey et al., 2010; Sambrook Smith et al., 2019; Schmied et al., 2017; Slade et al., 2020; Viveiros &amp; Darling, 2018; Watson et al., 2019</w:t>
            </w:r>
          </w:p>
        </w:tc>
        <w:tc>
          <w:tcPr>
            <w:tcW w:w="160" w:type="pct"/>
          </w:tcPr>
          <w:p w14:paraId="3B635AC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12</w:t>
            </w:r>
          </w:p>
        </w:tc>
        <w:tc>
          <w:tcPr>
            <w:tcW w:w="581" w:type="pct"/>
          </w:tcPr>
          <w:p w14:paraId="6D9D517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474A1FC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01B243A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2EDA2B2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02B5FD3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06D73163" w14:textId="77777777" w:rsidTr="006A54BC">
        <w:tc>
          <w:tcPr>
            <w:tcW w:w="5000" w:type="pct"/>
            <w:gridSpan w:val="9"/>
            <w:shd w:val="clear" w:color="auto" w:fill="DBDBDB" w:themeFill="accent3" w:themeFillTint="66"/>
          </w:tcPr>
          <w:p w14:paraId="7736A7FB"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2.3 HCPs’ attributes</w:t>
            </w:r>
          </w:p>
        </w:tc>
      </w:tr>
      <w:tr w:rsidR="00ED2CE1" w:rsidRPr="00ED2CE1" w14:paraId="3E346A89" w14:textId="77777777" w:rsidTr="006A54BC">
        <w:tc>
          <w:tcPr>
            <w:tcW w:w="738" w:type="pct"/>
          </w:tcPr>
          <w:p w14:paraId="088E575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2.3.1 Similar demographic characteristics</w:t>
            </w:r>
          </w:p>
        </w:tc>
        <w:tc>
          <w:tcPr>
            <w:tcW w:w="787" w:type="pct"/>
          </w:tcPr>
          <w:p w14:paraId="57B97D2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 having similar demographics to women</w:t>
            </w:r>
          </w:p>
        </w:tc>
        <w:tc>
          <w:tcPr>
            <w:tcW w:w="960" w:type="pct"/>
          </w:tcPr>
          <w:p w14:paraId="0203CF4A"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Leger et al., 2015; Masood et al., 2015; Nithianandan et al., 2016; Shorey &amp; Ng, 2019</w:t>
            </w:r>
          </w:p>
          <w:p w14:paraId="6733F63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Dennis &amp; Chung-Lee, 2006; Watson et al., 2019</w:t>
            </w:r>
          </w:p>
        </w:tc>
        <w:tc>
          <w:tcPr>
            <w:tcW w:w="160" w:type="pct"/>
          </w:tcPr>
          <w:p w14:paraId="4F7A706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w:t>
            </w:r>
          </w:p>
        </w:tc>
        <w:tc>
          <w:tcPr>
            <w:tcW w:w="581" w:type="pct"/>
          </w:tcPr>
          <w:p w14:paraId="2736318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6515C36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0EF73B3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3DA66D5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34BC7DD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3BBFA399" w14:textId="77777777" w:rsidTr="006A54BC">
        <w:tc>
          <w:tcPr>
            <w:tcW w:w="738" w:type="pct"/>
          </w:tcPr>
          <w:p w14:paraId="7BE7E3E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2.3.2 Culturally sensitive</w:t>
            </w:r>
          </w:p>
        </w:tc>
        <w:tc>
          <w:tcPr>
            <w:tcW w:w="787" w:type="pct"/>
          </w:tcPr>
          <w:p w14:paraId="0A1F28D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 being sensitive to women from all cultures</w:t>
            </w:r>
          </w:p>
        </w:tc>
        <w:tc>
          <w:tcPr>
            <w:tcW w:w="960" w:type="pct"/>
          </w:tcPr>
          <w:p w14:paraId="686E1612"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Cs/>
                <w:noProof/>
                <w:kern w:val="0"/>
                <w:sz w:val="16"/>
                <w:szCs w:val="16"/>
                <w:lang w:eastAsia="en-US"/>
              </w:rPr>
              <w:t>Kassam, 2019; Nilaweera et al., 2014; Viveiros &amp; Darling, 2018; Watson et al., 2019</w:t>
            </w:r>
            <w:r w:rsidRPr="00ED2CE1">
              <w:rPr>
                <w:rFonts w:ascii="Times New Roman" w:eastAsiaTheme="minorHAnsi" w:hAnsi="Times New Roman" w:cs="Times New Roman"/>
                <w:i/>
                <w:iCs/>
                <w:kern w:val="0"/>
                <w:sz w:val="16"/>
                <w:szCs w:val="16"/>
                <w:lang w:eastAsia="en-US"/>
              </w:rPr>
              <w:t xml:space="preserve">; </w:t>
            </w:r>
          </w:p>
        </w:tc>
        <w:tc>
          <w:tcPr>
            <w:tcW w:w="160" w:type="pct"/>
          </w:tcPr>
          <w:p w14:paraId="62518E3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w:t>
            </w:r>
          </w:p>
        </w:tc>
        <w:tc>
          <w:tcPr>
            <w:tcW w:w="581" w:type="pct"/>
          </w:tcPr>
          <w:p w14:paraId="6DC9165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5669E87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3807B1D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1A3E36B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5FC5A108"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2EC15604" w14:textId="77777777" w:rsidTr="006A54BC">
        <w:tc>
          <w:tcPr>
            <w:tcW w:w="738" w:type="pct"/>
          </w:tcPr>
          <w:p w14:paraId="41F3E97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2.3.3 Valued characteristics </w:t>
            </w:r>
          </w:p>
        </w:tc>
        <w:tc>
          <w:tcPr>
            <w:tcW w:w="787" w:type="pct"/>
          </w:tcPr>
          <w:p w14:paraId="454F6B1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HCPs possessing valued characteristics Trustworthy, empathetic, kind, caring with a genuinine interest, and going above and beyond</w:t>
            </w:r>
          </w:p>
        </w:tc>
        <w:tc>
          <w:tcPr>
            <w:tcW w:w="960" w:type="pct"/>
          </w:tcPr>
          <w:p w14:paraId="12CD3A4A"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Atif et al., 2016, 2019; Boyd et al., 2011; Doering et al., 2017; Kerker et al., 2018; Kim et al., 2009; Munodawafa et al., 2017; Myors et al., 2015; Pugh et al., 2015; Shorey &amp; Ng, 2019</w:t>
            </w:r>
          </w:p>
          <w:p w14:paraId="6641DAEF"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Brealey et al., 2010; Button et al., 2017; Dennis &amp; Chung-Lee, 2006; Forde et al., 2020; Hadfield &amp; Wittkowski, 2017; Hewitt et al., 2009; Jones, 2019; Megnin-Viggars et al., 2015; Morrell et al., 2016; Newman et al., 2019; Schmied et al., 2017; Slade et al., 2020; Staneva et al., 2015; Watson et al., 2019</w:t>
            </w:r>
          </w:p>
          <w:p w14:paraId="0778E98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44A4A13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25</w:t>
            </w:r>
          </w:p>
        </w:tc>
        <w:tc>
          <w:tcPr>
            <w:tcW w:w="581" w:type="pct"/>
          </w:tcPr>
          <w:p w14:paraId="7AC8758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77523DC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1" w:type="pct"/>
          </w:tcPr>
          <w:p w14:paraId="29198EF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548E0A5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6830AF48"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0A433CD4" w14:textId="77777777" w:rsidTr="006A54BC">
        <w:tc>
          <w:tcPr>
            <w:tcW w:w="5000" w:type="pct"/>
            <w:gridSpan w:val="9"/>
            <w:shd w:val="clear" w:color="auto" w:fill="A5A5A5" w:themeFill="accent3"/>
          </w:tcPr>
          <w:p w14:paraId="4A0DB0C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3. Interpersonal</w:t>
            </w:r>
          </w:p>
        </w:tc>
      </w:tr>
      <w:tr w:rsidR="00ED2CE1" w:rsidRPr="00ED2CE1" w14:paraId="74CEBEB2" w14:textId="77777777" w:rsidTr="006A54BC">
        <w:tc>
          <w:tcPr>
            <w:tcW w:w="738" w:type="pct"/>
          </w:tcPr>
          <w:p w14:paraId="50813A8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3.1 Trusting relationship and rapport</w:t>
            </w:r>
          </w:p>
        </w:tc>
        <w:tc>
          <w:tcPr>
            <w:tcW w:w="787" w:type="pct"/>
          </w:tcPr>
          <w:p w14:paraId="08AF18A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The development of a trusting relationship and rapport between HCP and women</w:t>
            </w:r>
          </w:p>
        </w:tc>
        <w:tc>
          <w:tcPr>
            <w:tcW w:w="960" w:type="pct"/>
          </w:tcPr>
          <w:p w14:paraId="40515658"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 xml:space="preserve">Atif et al., 2016; Doering et al., 2017; Feinberg et al., 2006; Ganann et al., 2019; Hadfield et al., 2019; Higgins et al., 2018; Kerker et al., 2018; Leger et al., 2015; Noonan et al., 2018; Shakespeare et al., 2003; Shorey &amp; Ng, 2019; Willey et al., </w:t>
            </w:r>
            <w:r w:rsidRPr="00ED2CE1">
              <w:rPr>
                <w:rFonts w:ascii="Times New Roman" w:eastAsiaTheme="minorHAnsi" w:hAnsi="Times New Roman" w:cs="Times New Roman"/>
                <w:i/>
                <w:iCs/>
                <w:noProof/>
                <w:kern w:val="0"/>
                <w:sz w:val="16"/>
                <w:szCs w:val="16"/>
                <w:lang w:eastAsia="en-US"/>
              </w:rPr>
              <w:lastRenderedPageBreak/>
              <w:t>2018; Williams et al., 2016; Young et al., 2019</w:t>
            </w:r>
            <w:r w:rsidRPr="00ED2CE1">
              <w:rPr>
                <w:rFonts w:ascii="Times New Roman" w:eastAsiaTheme="minorHAnsi" w:hAnsi="Times New Roman" w:cs="Times New Roman"/>
                <w:i/>
                <w:iCs/>
                <w:kern w:val="0"/>
                <w:sz w:val="16"/>
                <w:szCs w:val="16"/>
                <w:lang w:eastAsia="en-US"/>
              </w:rPr>
              <w:t xml:space="preserve"> </w:t>
            </w:r>
          </w:p>
          <w:p w14:paraId="0B6A571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 Brealey et al., 2010; Dennis &amp; Chung-Lee, 2006; Hadfield &amp; Wittkowski, 2017; Hewitt et al., 2009; Megnin-Viggars et al., 2015; Morrell et al., 2016; Scope et al., 2017; Tobin et al., 2018</w:t>
            </w:r>
          </w:p>
        </w:tc>
        <w:tc>
          <w:tcPr>
            <w:tcW w:w="160" w:type="pct"/>
          </w:tcPr>
          <w:p w14:paraId="099C077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23</w:t>
            </w:r>
          </w:p>
        </w:tc>
        <w:tc>
          <w:tcPr>
            <w:tcW w:w="581" w:type="pct"/>
          </w:tcPr>
          <w:p w14:paraId="41D8231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1BC7440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1" w:type="pct"/>
          </w:tcPr>
          <w:p w14:paraId="4688D6F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0AABC48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7AA05AF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4253C662" w14:textId="77777777" w:rsidTr="006A54BC">
        <w:tc>
          <w:tcPr>
            <w:tcW w:w="738" w:type="pct"/>
          </w:tcPr>
          <w:p w14:paraId="3A76B45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3.2 Language barriers</w:t>
            </w:r>
          </w:p>
        </w:tc>
        <w:tc>
          <w:tcPr>
            <w:tcW w:w="787" w:type="pct"/>
          </w:tcPr>
          <w:p w14:paraId="76F23DC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Difficulties in communicating due to language barriers</w:t>
            </w:r>
          </w:p>
        </w:tc>
        <w:tc>
          <w:tcPr>
            <w:tcW w:w="960" w:type="pct"/>
          </w:tcPr>
          <w:p w14:paraId="463A08DD" w14:textId="77777777" w:rsidR="00ED2CE1" w:rsidRPr="00ED2CE1" w:rsidRDefault="00ED2CE1" w:rsidP="00ED2CE1">
            <w:pPr>
              <w:spacing w:line="240" w:lineRule="auto"/>
              <w:ind w:firstLine="0"/>
              <w:rPr>
                <w:rFonts w:ascii="Times New Roman" w:eastAsiaTheme="minorHAnsi" w:hAnsi="Times New Roman" w:cs="Times New Roman"/>
                <w:i/>
                <w:iCs/>
                <w:kern w:val="0"/>
                <w:sz w:val="16"/>
                <w:szCs w:val="16"/>
                <w:lang w:eastAsia="en-US"/>
              </w:rPr>
            </w:pPr>
            <w:r w:rsidRPr="00ED2CE1">
              <w:rPr>
                <w:rFonts w:ascii="Times New Roman" w:eastAsiaTheme="minorHAnsi" w:hAnsi="Times New Roman" w:cs="Times New Roman"/>
                <w:i/>
                <w:iCs/>
                <w:noProof/>
                <w:kern w:val="0"/>
                <w:sz w:val="16"/>
                <w:szCs w:val="16"/>
                <w:lang w:eastAsia="en-US"/>
              </w:rPr>
              <w:t>Beeber et al., 2009; Doering et al., 2017; Ganann et al., 2019; Masood et al., 2015; Munodawafa et al., 2017; Nithianandan et al., 2016; Pineros-Leano et al., 2015; Segre et al., 2014; Willey et al., 2018; Williams et al., 2016</w:t>
            </w:r>
          </w:p>
          <w:p w14:paraId="3B72D808"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Dennis &amp; Chung-Lee, 2006; Hansotte et al., 2017; Megnin-Viggars et al., 2015; Sambrook Smith et al., 2019; Schmied et al., 2017; Watson et al., 2019</w:t>
            </w:r>
          </w:p>
          <w:p w14:paraId="3FD68B4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24A979C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16</w:t>
            </w:r>
          </w:p>
        </w:tc>
        <w:tc>
          <w:tcPr>
            <w:tcW w:w="581" w:type="pct"/>
          </w:tcPr>
          <w:p w14:paraId="14B2C65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296F4CF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2DE8B8B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5403DAB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32E97C56"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7D220F19" w14:textId="77777777" w:rsidTr="006A54BC">
        <w:tc>
          <w:tcPr>
            <w:tcW w:w="738" w:type="pct"/>
          </w:tcPr>
          <w:p w14:paraId="22EE80F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3.3 Shared decision making</w:t>
            </w:r>
          </w:p>
        </w:tc>
        <w:tc>
          <w:tcPr>
            <w:tcW w:w="787" w:type="pct"/>
          </w:tcPr>
          <w:p w14:paraId="32D60B4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Shared decision making between HCP and woman</w:t>
            </w:r>
          </w:p>
        </w:tc>
        <w:tc>
          <w:tcPr>
            <w:tcW w:w="960" w:type="pct"/>
          </w:tcPr>
          <w:p w14:paraId="587C49B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Hadfield &amp; Wittkowski, 2017; Megnin-Viggars et al., 2015; Randall &amp; Briscoe, 2018; Scope et al., 2017</w:t>
            </w:r>
          </w:p>
        </w:tc>
        <w:tc>
          <w:tcPr>
            <w:tcW w:w="160" w:type="pct"/>
          </w:tcPr>
          <w:p w14:paraId="3324A28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w:t>
            </w:r>
          </w:p>
        </w:tc>
        <w:tc>
          <w:tcPr>
            <w:tcW w:w="581" w:type="pct"/>
          </w:tcPr>
          <w:p w14:paraId="1F7D20D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1E60B5B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7F28D5E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5CA2A1E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662A3AE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6117F32B" w14:textId="77777777" w:rsidTr="006A54BC">
        <w:tc>
          <w:tcPr>
            <w:tcW w:w="738" w:type="pct"/>
          </w:tcPr>
          <w:p w14:paraId="1EAA1CD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3.4 Open and honest communication</w:t>
            </w:r>
          </w:p>
        </w:tc>
        <w:tc>
          <w:tcPr>
            <w:tcW w:w="787" w:type="pct"/>
          </w:tcPr>
          <w:p w14:paraId="7F21D14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Open and honest communication between HCP and woman</w:t>
            </w:r>
          </w:p>
        </w:tc>
        <w:tc>
          <w:tcPr>
            <w:tcW w:w="960" w:type="pct"/>
          </w:tcPr>
          <w:p w14:paraId="4F658055"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Doering et al., 2017; Shakespeare et al., 2003; Vik et al., 2009; Willey et al., 2018</w:t>
            </w:r>
          </w:p>
          <w:p w14:paraId="03F90EEE"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kern w:val="0"/>
                <w:sz w:val="16"/>
                <w:szCs w:val="22"/>
                <w:lang w:eastAsia="en-US"/>
              </w:rPr>
              <w:t>Brealey et al., 2010; Hadfield &amp; Wittkowski, 2017; Hewitt et al., 2009; Schmied et al., 2017; Watson et al., 2019</w:t>
            </w:r>
          </w:p>
          <w:p w14:paraId="04BE6FF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18DA36B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581" w:type="pct"/>
          </w:tcPr>
          <w:p w14:paraId="0671D81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587C648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3729EF1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5EC5B02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6103927F"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06C21BAC" w14:textId="77777777" w:rsidTr="006A54BC">
        <w:tc>
          <w:tcPr>
            <w:tcW w:w="5000" w:type="pct"/>
            <w:gridSpan w:val="9"/>
            <w:shd w:val="clear" w:color="auto" w:fill="A5A5A5" w:themeFill="accent3"/>
          </w:tcPr>
          <w:p w14:paraId="6ED89B1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4. Organisational</w:t>
            </w:r>
          </w:p>
        </w:tc>
      </w:tr>
      <w:tr w:rsidR="00ED2CE1" w:rsidRPr="00ED2CE1" w14:paraId="6D612F17" w14:textId="77777777" w:rsidTr="006A54BC">
        <w:tc>
          <w:tcPr>
            <w:tcW w:w="5000" w:type="pct"/>
            <w:gridSpan w:val="9"/>
            <w:shd w:val="clear" w:color="auto" w:fill="DBDBDB" w:themeFill="accent3" w:themeFillTint="66"/>
          </w:tcPr>
          <w:p w14:paraId="5FAC3B06"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4.1 Overall organisational aspects</w:t>
            </w:r>
          </w:p>
        </w:tc>
      </w:tr>
      <w:tr w:rsidR="00ED2CE1" w:rsidRPr="00ED2CE1" w14:paraId="1A9F11F3" w14:textId="77777777" w:rsidTr="006A54BC">
        <w:tc>
          <w:tcPr>
            <w:tcW w:w="738" w:type="pct"/>
          </w:tcPr>
          <w:p w14:paraId="4458845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4.1.1 Co location and buildings</w:t>
            </w:r>
          </w:p>
        </w:tc>
        <w:tc>
          <w:tcPr>
            <w:tcW w:w="787" w:type="pct"/>
          </w:tcPr>
          <w:p w14:paraId="12DA92C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Location of the service including co-location of different services within the same building</w:t>
            </w:r>
          </w:p>
        </w:tc>
        <w:tc>
          <w:tcPr>
            <w:tcW w:w="960" w:type="pct"/>
          </w:tcPr>
          <w:p w14:paraId="663D3EC5"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val="es-ES" w:eastAsia="en-US"/>
              </w:rPr>
            </w:pPr>
            <w:r w:rsidRPr="00ED2CE1">
              <w:rPr>
                <w:rFonts w:ascii="Times New Roman" w:eastAsiaTheme="minorHAnsi" w:hAnsi="Times New Roman" w:cs="Times New Roman"/>
                <w:i/>
                <w:kern w:val="0"/>
                <w:sz w:val="16"/>
                <w:szCs w:val="22"/>
                <w:lang w:val="es-ES" w:eastAsia="en-US"/>
              </w:rPr>
              <w:t xml:space="preserve">Boyd et al., 2011; Cox et al., 2017; Judd et al., 2011; Munodawafa et al., 2017; Ormsby et al., 2018; Young et al., 2019; </w:t>
            </w:r>
          </w:p>
          <w:p w14:paraId="569DF60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Bina, 2020</w:t>
            </w:r>
          </w:p>
          <w:p w14:paraId="04F4BBB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tcPr>
          <w:p w14:paraId="3BD3474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w:t>
            </w:r>
          </w:p>
        </w:tc>
        <w:tc>
          <w:tcPr>
            <w:tcW w:w="581" w:type="pct"/>
          </w:tcPr>
          <w:p w14:paraId="336183A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3F04348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1F5FBB8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36A991B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22470BD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1443484A" w14:textId="77777777" w:rsidTr="006A54BC">
        <w:tc>
          <w:tcPr>
            <w:tcW w:w="738" w:type="pct"/>
          </w:tcPr>
          <w:p w14:paraId="638069F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4.1.2 Service integration and collaborative working</w:t>
            </w:r>
          </w:p>
        </w:tc>
        <w:tc>
          <w:tcPr>
            <w:tcW w:w="787" w:type="pct"/>
          </w:tcPr>
          <w:p w14:paraId="506F49D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Collaborative working across services</w:t>
            </w:r>
          </w:p>
          <w:p w14:paraId="587137D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960" w:type="pct"/>
            <w:shd w:val="clear" w:color="auto" w:fill="auto"/>
          </w:tcPr>
          <w:p w14:paraId="0A771DED"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 xml:space="preserve">Atif et al., 2016; Bina et al., 2018; Boyd et al., 2011; Byatt et al., 2013; Feinberg et al., 2006; Ganann et al., </w:t>
            </w:r>
            <w:r w:rsidRPr="00ED2CE1">
              <w:rPr>
                <w:rFonts w:ascii="Times New Roman" w:eastAsiaTheme="minorHAnsi" w:hAnsi="Times New Roman" w:cs="Times New Roman"/>
                <w:i/>
                <w:noProof/>
                <w:color w:val="000000"/>
                <w:kern w:val="0"/>
                <w:sz w:val="16"/>
                <w:szCs w:val="16"/>
                <w:lang w:eastAsia="en-US"/>
              </w:rPr>
              <w:lastRenderedPageBreak/>
              <w:t>2019; Hadfield et al., 2019; Judd et al., 2011; Lind et al., 2017; Lomonaco-Haycraft et al., 2018; Myors et al., 2015; Nithianandan et al., 2016; Noonan et al., 2018; Rowan et al., 2010</w:t>
            </w:r>
          </w:p>
          <w:p w14:paraId="16C3CE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Newman et al., 2019; Sambrook Smith et al., 2019; Watson et al., 2019</w:t>
            </w:r>
          </w:p>
        </w:tc>
        <w:tc>
          <w:tcPr>
            <w:tcW w:w="160" w:type="pct"/>
          </w:tcPr>
          <w:p w14:paraId="70C7E1A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17</w:t>
            </w:r>
          </w:p>
        </w:tc>
        <w:tc>
          <w:tcPr>
            <w:tcW w:w="581" w:type="pct"/>
          </w:tcPr>
          <w:p w14:paraId="3F29258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28908B5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4C3DB13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75C552F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2E0BC2F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0214608E" w14:textId="77777777" w:rsidTr="006A54BC">
        <w:tc>
          <w:tcPr>
            <w:tcW w:w="738" w:type="pct"/>
          </w:tcPr>
          <w:p w14:paraId="7438E81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4.1.3 Collaboration within services </w:t>
            </w:r>
          </w:p>
        </w:tc>
        <w:tc>
          <w:tcPr>
            <w:tcW w:w="787" w:type="pct"/>
          </w:tcPr>
          <w:p w14:paraId="462CB6D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Collaborative working within services</w:t>
            </w:r>
          </w:p>
          <w:p w14:paraId="3C6E182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960" w:type="pct"/>
            <w:shd w:val="clear" w:color="auto" w:fill="auto"/>
          </w:tcPr>
          <w:p w14:paraId="66A1CB7D"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Ammerman et al., 2014; Cox et al., 2017; Eappen et al., 2018; Higgins et al., 2018; Judd et al., 2011; Kerker et al., 2018; Lind et al., 2017; McKenzie-McHarg et al., 2014; Munodawafa et al., 2017; Nithianandan et al., 2016; Ormsby et al., 2018; Segre et al., 2014; Willey et al., 2018</w:t>
            </w:r>
          </w:p>
          <w:p w14:paraId="6808582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Sambrook Smith et al., 2019</w:t>
            </w:r>
          </w:p>
        </w:tc>
        <w:tc>
          <w:tcPr>
            <w:tcW w:w="160" w:type="pct"/>
            <w:shd w:val="clear" w:color="auto" w:fill="auto"/>
          </w:tcPr>
          <w:p w14:paraId="232A663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14</w:t>
            </w:r>
          </w:p>
        </w:tc>
        <w:tc>
          <w:tcPr>
            <w:tcW w:w="581" w:type="pct"/>
          </w:tcPr>
          <w:p w14:paraId="2C9F757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7C692B6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69B2962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03368B7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5E912A65"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4454CE72" w14:textId="77777777" w:rsidTr="006A54BC">
        <w:tc>
          <w:tcPr>
            <w:tcW w:w="738" w:type="pct"/>
          </w:tcPr>
          <w:p w14:paraId="62C8D55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4.1.4 Adequate workforce provision/ HCPs workload</w:t>
            </w:r>
          </w:p>
        </w:tc>
        <w:tc>
          <w:tcPr>
            <w:tcW w:w="787" w:type="pct"/>
          </w:tcPr>
          <w:p w14:paraId="4DAE505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Ensuring and adequate workforce provision so PMH can be addressed </w:t>
            </w:r>
          </w:p>
        </w:tc>
        <w:tc>
          <w:tcPr>
            <w:tcW w:w="960" w:type="pct"/>
            <w:shd w:val="clear" w:color="auto" w:fill="auto"/>
          </w:tcPr>
          <w:p w14:paraId="334C03C0"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Ammerman et al., 2014; Bina et al., 2018; Drozd et al., 2018; Feinberg et al., 2006; Ganann et al., 2019; Higgins et al., 2018; Kerker et al., 2018; Kim et al., 2009; McCauley et al., 2019; Nakku et al., 2016; Nithianandan et al., 2016; Noonan et al., 2018; Rowan et al., 2010; Vik et al., 2009; Willey et al., 2018</w:t>
            </w:r>
          </w:p>
          <w:p w14:paraId="0638ABCE"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t>Bina, 2020; Viveiros &amp; Darling, 2018</w:t>
            </w:r>
          </w:p>
          <w:p w14:paraId="4723A32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3D36D42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17</w:t>
            </w:r>
          </w:p>
        </w:tc>
        <w:tc>
          <w:tcPr>
            <w:tcW w:w="581" w:type="pct"/>
          </w:tcPr>
          <w:p w14:paraId="7B76A75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Moderate confidence </w:t>
            </w:r>
          </w:p>
        </w:tc>
        <w:tc>
          <w:tcPr>
            <w:tcW w:w="470" w:type="pct"/>
          </w:tcPr>
          <w:p w14:paraId="11FEFBD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7E10405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5081569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0CE4E5E9"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0A1CFFA0" w14:textId="77777777" w:rsidTr="006A54BC">
        <w:tc>
          <w:tcPr>
            <w:tcW w:w="738" w:type="pct"/>
          </w:tcPr>
          <w:p w14:paraId="0480CB1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4.1.5 Clear assessment and referral process</w:t>
            </w:r>
          </w:p>
        </w:tc>
        <w:tc>
          <w:tcPr>
            <w:tcW w:w="787" w:type="pct"/>
          </w:tcPr>
          <w:p w14:paraId="5BFC563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Clear assessment and referral processes within the organisation</w:t>
            </w:r>
          </w:p>
        </w:tc>
        <w:tc>
          <w:tcPr>
            <w:tcW w:w="960" w:type="pct"/>
            <w:shd w:val="clear" w:color="auto" w:fill="auto"/>
          </w:tcPr>
          <w:p w14:paraId="7A83AD61"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Cox et al., 2017; Feinberg et al., 2006; Ganann et al., 2019; Judd et al., 2011; Kerker et al., 2018; Kim et al., 2009; Nithianandan et al., 2016; Rowan et al., 2010; Segre et al., 2014; Williams et al., 2016</w:t>
            </w:r>
          </w:p>
          <w:p w14:paraId="289F4DB0"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t>Bina, 2020</w:t>
            </w:r>
          </w:p>
          <w:p w14:paraId="02741EB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3BCA70A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11</w:t>
            </w:r>
          </w:p>
        </w:tc>
        <w:tc>
          <w:tcPr>
            <w:tcW w:w="581" w:type="pct"/>
          </w:tcPr>
          <w:p w14:paraId="604F7B6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643ED22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5910D59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75DE0CB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629BB288"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631B334B" w14:textId="77777777" w:rsidTr="006A54BC">
        <w:tc>
          <w:tcPr>
            <w:tcW w:w="738" w:type="pct"/>
          </w:tcPr>
          <w:p w14:paraId="1587460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4.1.6 Provision of supervision</w:t>
            </w:r>
          </w:p>
        </w:tc>
        <w:tc>
          <w:tcPr>
            <w:tcW w:w="787" w:type="pct"/>
          </w:tcPr>
          <w:p w14:paraId="0196A7DB" w14:textId="77777777" w:rsidR="00ED2CE1" w:rsidRPr="00ED2CE1" w:rsidRDefault="00ED2CE1" w:rsidP="00ED2CE1">
            <w:pPr>
              <w:spacing w:line="240" w:lineRule="auto"/>
              <w:ind w:left="720"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Supervision for HCPs</w:t>
            </w:r>
          </w:p>
        </w:tc>
        <w:tc>
          <w:tcPr>
            <w:tcW w:w="960" w:type="pct"/>
            <w:shd w:val="clear" w:color="auto" w:fill="auto"/>
          </w:tcPr>
          <w:p w14:paraId="0BB23535"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val="es-ES" w:eastAsia="en-US"/>
              </w:rPr>
            </w:pPr>
            <w:r w:rsidRPr="00ED2CE1">
              <w:rPr>
                <w:rFonts w:ascii="Times New Roman" w:eastAsiaTheme="minorHAnsi" w:hAnsi="Times New Roman" w:cs="Times New Roman"/>
                <w:i/>
                <w:color w:val="000000"/>
                <w:kern w:val="0"/>
                <w:sz w:val="16"/>
                <w:szCs w:val="22"/>
                <w:lang w:val="es-ES" w:eastAsia="en-US"/>
              </w:rPr>
              <w:t>Atif et al., 2019; Munodawafa et al., 2017; Vik et al., 2009</w:t>
            </w:r>
          </w:p>
        </w:tc>
        <w:tc>
          <w:tcPr>
            <w:tcW w:w="160" w:type="pct"/>
            <w:shd w:val="clear" w:color="auto" w:fill="auto"/>
          </w:tcPr>
          <w:p w14:paraId="4EAFF20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3</w:t>
            </w:r>
          </w:p>
        </w:tc>
        <w:tc>
          <w:tcPr>
            <w:tcW w:w="581" w:type="pct"/>
          </w:tcPr>
          <w:p w14:paraId="4EE47EE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2EE50DE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24523FC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0265F41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7" w:type="pct"/>
          </w:tcPr>
          <w:p w14:paraId="1C50CED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Very low confidence</w:t>
            </w:r>
          </w:p>
        </w:tc>
      </w:tr>
      <w:tr w:rsidR="00ED2CE1" w:rsidRPr="00ED2CE1" w14:paraId="66F8B719" w14:textId="77777777" w:rsidTr="006A54BC">
        <w:tc>
          <w:tcPr>
            <w:tcW w:w="738" w:type="pct"/>
          </w:tcPr>
          <w:p w14:paraId="258BAF6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4.1.7 Training</w:t>
            </w:r>
          </w:p>
        </w:tc>
        <w:tc>
          <w:tcPr>
            <w:tcW w:w="787" w:type="pct"/>
          </w:tcPr>
          <w:p w14:paraId="7AD485C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Provision of training for all HCPs working with perinatal women</w:t>
            </w:r>
          </w:p>
        </w:tc>
        <w:tc>
          <w:tcPr>
            <w:tcW w:w="960" w:type="pct"/>
            <w:shd w:val="clear" w:color="auto" w:fill="auto"/>
          </w:tcPr>
          <w:p w14:paraId="461D76E4"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 xml:space="preserve">Ammerman et al., 2014; Atif et al., 2016, 2019; Beeber et al., 2009; Bina et al., 2018; Boyd et al., 2011; </w:t>
            </w:r>
            <w:r w:rsidRPr="00ED2CE1">
              <w:rPr>
                <w:rFonts w:ascii="Times New Roman" w:eastAsiaTheme="minorHAnsi" w:hAnsi="Times New Roman" w:cs="Times New Roman"/>
                <w:i/>
                <w:color w:val="000000"/>
                <w:kern w:val="0"/>
                <w:sz w:val="16"/>
                <w:szCs w:val="22"/>
                <w:lang w:eastAsia="en-US"/>
              </w:rPr>
              <w:lastRenderedPageBreak/>
              <w:t>Chartier et al., 2015; Doering et al., 2017; Drozd et al., 2018; Feinberg et al., 2006; Ganann et al., 2019; Judd et al., 2011; Kerker et al., 2018; Kim et al., 2009; Leger et al., 2015; Lind et al., 2017; McKenzie-McHarg et al., 2014; Munodawafa et al., 2017; Nakku et al., 2016; Nithianandan et al., 2016; Noonan et al., 2018; Reed et al., 2014; Rowan et al., 2010; Shorey &amp; Ng, 2019; Willey et al., 2018; Williams et al., 2016</w:t>
            </w:r>
          </w:p>
          <w:p w14:paraId="7366E0DE"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t>Bina, 2020; Brealey et al., 2010</w:t>
            </w:r>
          </w:p>
          <w:p w14:paraId="4CCD8EE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04EFD6E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28</w:t>
            </w:r>
          </w:p>
        </w:tc>
        <w:tc>
          <w:tcPr>
            <w:tcW w:w="581" w:type="pct"/>
          </w:tcPr>
          <w:p w14:paraId="00147BD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2CDECC3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1" w:type="pct"/>
          </w:tcPr>
          <w:p w14:paraId="7A4DBBF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1330D39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533302A1"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0550F486" w14:textId="77777777" w:rsidTr="006A54BC">
        <w:tc>
          <w:tcPr>
            <w:tcW w:w="738" w:type="pct"/>
          </w:tcPr>
          <w:p w14:paraId="6E95276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4.1.9 Organisational goals/guidelines</w:t>
            </w:r>
          </w:p>
        </w:tc>
        <w:tc>
          <w:tcPr>
            <w:tcW w:w="787" w:type="pct"/>
          </w:tcPr>
          <w:p w14:paraId="6B1574C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Clear organisational goals and guidelines</w:t>
            </w:r>
          </w:p>
        </w:tc>
        <w:tc>
          <w:tcPr>
            <w:tcW w:w="960" w:type="pct"/>
          </w:tcPr>
          <w:p w14:paraId="312DF8E5" w14:textId="77777777" w:rsidR="00ED2CE1" w:rsidRPr="00ED2CE1" w:rsidRDefault="00ED2CE1" w:rsidP="00ED2CE1">
            <w:pPr>
              <w:spacing w:line="240" w:lineRule="auto"/>
              <w:ind w:firstLine="0"/>
              <w:rPr>
                <w:rFonts w:ascii="Times New Roman" w:eastAsiaTheme="minorHAnsi" w:hAnsi="Times New Roman" w:cs="Times New Roman"/>
                <w:i/>
                <w:kern w:val="0"/>
                <w:sz w:val="16"/>
                <w:szCs w:val="22"/>
                <w:lang w:eastAsia="en-US"/>
              </w:rPr>
            </w:pPr>
            <w:r w:rsidRPr="00ED2CE1">
              <w:rPr>
                <w:rFonts w:ascii="Times New Roman" w:eastAsiaTheme="minorHAnsi" w:hAnsi="Times New Roman" w:cs="Times New Roman"/>
                <w:i/>
                <w:kern w:val="0"/>
                <w:sz w:val="16"/>
                <w:szCs w:val="22"/>
                <w:lang w:eastAsia="en-US"/>
              </w:rPr>
              <w:t>Ammerman et al., 2014; Willey et al., 2018</w:t>
            </w:r>
          </w:p>
        </w:tc>
        <w:tc>
          <w:tcPr>
            <w:tcW w:w="160" w:type="pct"/>
            <w:shd w:val="clear" w:color="auto" w:fill="auto"/>
          </w:tcPr>
          <w:p w14:paraId="4BB233B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2</w:t>
            </w:r>
          </w:p>
        </w:tc>
        <w:tc>
          <w:tcPr>
            <w:tcW w:w="581" w:type="pct"/>
          </w:tcPr>
          <w:p w14:paraId="0E77F5F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2B23B47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13CEE16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6" w:type="pct"/>
          </w:tcPr>
          <w:p w14:paraId="02A9A0F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7" w:type="pct"/>
          </w:tcPr>
          <w:p w14:paraId="4090927F"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Very low confidence</w:t>
            </w:r>
          </w:p>
        </w:tc>
      </w:tr>
      <w:tr w:rsidR="00ED2CE1" w:rsidRPr="00ED2CE1" w14:paraId="50E905FF" w14:textId="77777777" w:rsidTr="006A54BC">
        <w:tc>
          <w:tcPr>
            <w:tcW w:w="5000" w:type="pct"/>
            <w:gridSpan w:val="9"/>
            <w:shd w:val="clear" w:color="auto" w:fill="DBDBDB" w:themeFill="accent3" w:themeFillTint="66"/>
          </w:tcPr>
          <w:p w14:paraId="0DC16FC1"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4.2 Characteristics of PMH Care</w:t>
            </w:r>
          </w:p>
        </w:tc>
      </w:tr>
      <w:tr w:rsidR="00ED2CE1" w:rsidRPr="00ED2CE1" w14:paraId="5ABAA21D" w14:textId="77777777" w:rsidTr="006A54BC">
        <w:tc>
          <w:tcPr>
            <w:tcW w:w="5000" w:type="pct"/>
            <w:gridSpan w:val="9"/>
            <w:shd w:val="clear" w:color="auto" w:fill="EDEDED" w:themeFill="accent3" w:themeFillTint="33"/>
          </w:tcPr>
          <w:p w14:paraId="1697DB09"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4.2.1 Across the care pathway</w:t>
            </w:r>
          </w:p>
        </w:tc>
      </w:tr>
      <w:tr w:rsidR="00ED2CE1" w:rsidRPr="00ED2CE1" w14:paraId="22999608" w14:textId="77777777" w:rsidTr="006A54BC">
        <w:tc>
          <w:tcPr>
            <w:tcW w:w="738" w:type="pct"/>
          </w:tcPr>
          <w:p w14:paraId="44EA151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4.2.1.1 Continuity of carer</w:t>
            </w:r>
          </w:p>
        </w:tc>
        <w:tc>
          <w:tcPr>
            <w:tcW w:w="787" w:type="pct"/>
          </w:tcPr>
          <w:p w14:paraId="6337018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Care that provides the same HCP along the care pathway</w:t>
            </w:r>
          </w:p>
        </w:tc>
        <w:tc>
          <w:tcPr>
            <w:tcW w:w="960" w:type="pct"/>
            <w:shd w:val="clear" w:color="auto" w:fill="auto"/>
          </w:tcPr>
          <w:p w14:paraId="50431F91"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Chartier et al., 2015; Higgins et al., 2018; Nithianandan et al., 2016; O’Mahen &amp; Flynn, 2008; Rowan et al., 2010; Willey et al., 2018</w:t>
            </w:r>
          </w:p>
          <w:p w14:paraId="3A1ED0FF"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t>Brealey et al., 2010; Button et al., 2017; Dennis &amp; Chung-Lee, 2006; Hadfield &amp; Wittkowski, 2017; Megnin-Viggars et al., 2015; Sambrook Smith et al., 2019; Slade et al., 2020; Tobin et al., 2018; Viveiros &amp; Darling, 2018; Watson et al., 2019</w:t>
            </w:r>
          </w:p>
          <w:p w14:paraId="4B449FE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22B63B0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17</w:t>
            </w:r>
          </w:p>
        </w:tc>
        <w:tc>
          <w:tcPr>
            <w:tcW w:w="581" w:type="pct"/>
          </w:tcPr>
          <w:p w14:paraId="44034F8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4E0F2C5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3725AD5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3B7806B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06A5D2E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1403C41F" w14:textId="77777777" w:rsidTr="006A54BC">
        <w:tc>
          <w:tcPr>
            <w:tcW w:w="738" w:type="pct"/>
          </w:tcPr>
          <w:p w14:paraId="791D72C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4.2.1.2 Culturally sensitive care</w:t>
            </w:r>
          </w:p>
        </w:tc>
        <w:tc>
          <w:tcPr>
            <w:tcW w:w="787" w:type="pct"/>
          </w:tcPr>
          <w:p w14:paraId="79C8BC7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Care that is culturally sensitive to women's needs</w:t>
            </w:r>
          </w:p>
        </w:tc>
        <w:tc>
          <w:tcPr>
            <w:tcW w:w="960" w:type="pct"/>
            <w:shd w:val="clear" w:color="auto" w:fill="auto"/>
          </w:tcPr>
          <w:p w14:paraId="24F222FA"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Ganann et al., 2019; Nithianandan et al., 2016; Noonan et al., 2018; Shorey &amp; Ng, 2019</w:t>
            </w:r>
            <w:r w:rsidRPr="00ED2CE1">
              <w:rPr>
                <w:rFonts w:ascii="Times New Roman" w:eastAsiaTheme="minorHAnsi" w:hAnsi="Times New Roman" w:cs="Times New Roman"/>
                <w:i/>
                <w:color w:val="000000"/>
                <w:kern w:val="0"/>
                <w:sz w:val="16"/>
                <w:szCs w:val="16"/>
                <w:lang w:eastAsia="en-US"/>
              </w:rPr>
              <w:t xml:space="preserve"> </w:t>
            </w:r>
          </w:p>
          <w:p w14:paraId="7834A84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Bina, 2020; Brealey et al., 2010; Button et al., 2017; Dennis &amp; Chung-Lee, 2006; Giscombe et al., 2020; Hadfield &amp; Wittkowski, 2017; Hansotte et al., 2017; Hewitt et al., 2009; Jones, 2019; Kassam, 2019; Sambrook Smith et al., 2019; Schmied et al., 2017; Tobin et al., 2018; Viveiros &amp; Darling, 2018; Watson et al., 2019</w:t>
            </w:r>
          </w:p>
        </w:tc>
        <w:tc>
          <w:tcPr>
            <w:tcW w:w="160" w:type="pct"/>
            <w:shd w:val="clear" w:color="auto" w:fill="auto"/>
          </w:tcPr>
          <w:p w14:paraId="1727EB3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19</w:t>
            </w:r>
          </w:p>
        </w:tc>
        <w:tc>
          <w:tcPr>
            <w:tcW w:w="581" w:type="pct"/>
          </w:tcPr>
          <w:p w14:paraId="7177143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004F522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7E0F89C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3526129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10A48EB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51CE1352" w14:textId="77777777" w:rsidTr="006A54BC">
        <w:tc>
          <w:tcPr>
            <w:tcW w:w="738" w:type="pct"/>
          </w:tcPr>
          <w:p w14:paraId="6F87913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4.2.1.3 Privacy &amp; confidentiality</w:t>
            </w:r>
          </w:p>
        </w:tc>
        <w:tc>
          <w:tcPr>
            <w:tcW w:w="787" w:type="pct"/>
          </w:tcPr>
          <w:p w14:paraId="3EDB789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Care that is private and maintains women's confidentiality</w:t>
            </w:r>
          </w:p>
        </w:tc>
        <w:tc>
          <w:tcPr>
            <w:tcW w:w="960" w:type="pct"/>
            <w:shd w:val="clear" w:color="auto" w:fill="auto"/>
          </w:tcPr>
          <w:p w14:paraId="04AD67DD"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val="es-ES" w:eastAsia="en-US"/>
              </w:rPr>
            </w:pPr>
            <w:r w:rsidRPr="00ED2CE1">
              <w:rPr>
                <w:rFonts w:ascii="Times New Roman" w:eastAsiaTheme="minorHAnsi" w:hAnsi="Times New Roman" w:cs="Times New Roman"/>
                <w:i/>
                <w:color w:val="000000"/>
                <w:kern w:val="0"/>
                <w:sz w:val="16"/>
                <w:szCs w:val="22"/>
                <w:lang w:val="es-ES" w:eastAsia="en-US"/>
              </w:rPr>
              <w:t>Atif et al., 2019; Feinberg et al., 2006; Higgins et al., 2018; Jallo et al., 2015; Nithianandan et al., 2016; O’Mahen &amp; Flynn, 2008</w:t>
            </w:r>
          </w:p>
          <w:p w14:paraId="0B762F3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Giscombe et al., 2020</w:t>
            </w:r>
          </w:p>
        </w:tc>
        <w:tc>
          <w:tcPr>
            <w:tcW w:w="160" w:type="pct"/>
            <w:shd w:val="clear" w:color="auto" w:fill="auto"/>
          </w:tcPr>
          <w:p w14:paraId="4FFD8DE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w:t>
            </w:r>
          </w:p>
        </w:tc>
        <w:tc>
          <w:tcPr>
            <w:tcW w:w="581" w:type="pct"/>
          </w:tcPr>
          <w:p w14:paraId="4D3A5AC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52B90EB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2076191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6DAE1B7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4B608B55"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0F9CBB1D" w14:textId="77777777" w:rsidTr="006A54BC">
        <w:tc>
          <w:tcPr>
            <w:tcW w:w="738" w:type="pct"/>
          </w:tcPr>
          <w:p w14:paraId="69C809A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4.2.1.4 Dedicated person/ PMH Champion</w:t>
            </w:r>
          </w:p>
        </w:tc>
        <w:tc>
          <w:tcPr>
            <w:tcW w:w="787" w:type="pct"/>
          </w:tcPr>
          <w:p w14:paraId="3A2735D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Care that has a dedicated person or PMH champion</w:t>
            </w:r>
          </w:p>
        </w:tc>
        <w:tc>
          <w:tcPr>
            <w:tcW w:w="960" w:type="pct"/>
            <w:shd w:val="clear" w:color="auto" w:fill="auto"/>
          </w:tcPr>
          <w:p w14:paraId="0D4961B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Chartier et al., 2015; Ganann et al., 2019; Kim et al., 2009; Lomonaco-Haycraft et al., 2018; Nithianandan et al., 2016; Rowan et al., 2010; Willey et al., 2018</w:t>
            </w:r>
            <w:r w:rsidRPr="00ED2CE1">
              <w:rPr>
                <w:rFonts w:ascii="Times New Roman" w:eastAsiaTheme="minorHAnsi" w:hAnsi="Times New Roman" w:cs="Times New Roman"/>
                <w:i/>
                <w:color w:val="000000"/>
                <w:kern w:val="0"/>
                <w:sz w:val="16"/>
                <w:szCs w:val="16"/>
                <w:lang w:eastAsia="en-US"/>
              </w:rPr>
              <w:t xml:space="preserve"> </w:t>
            </w:r>
            <w:r w:rsidRPr="00ED2CE1">
              <w:rPr>
                <w:rFonts w:ascii="Times New Roman" w:eastAsiaTheme="minorHAnsi" w:hAnsi="Times New Roman" w:cs="Times New Roman"/>
                <w:noProof/>
                <w:color w:val="000000"/>
                <w:kern w:val="0"/>
                <w:sz w:val="16"/>
                <w:szCs w:val="16"/>
                <w:lang w:eastAsia="en-US"/>
              </w:rPr>
              <w:t>Bina, 2020; Megnin-Viggars et al., 2015</w:t>
            </w:r>
          </w:p>
        </w:tc>
        <w:tc>
          <w:tcPr>
            <w:tcW w:w="160" w:type="pct"/>
            <w:shd w:val="clear" w:color="auto" w:fill="auto"/>
          </w:tcPr>
          <w:p w14:paraId="5336261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581" w:type="pct"/>
          </w:tcPr>
          <w:p w14:paraId="5F60D35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2098A24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1A961FF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0C54F39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3212A04F"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6A219667" w14:textId="77777777" w:rsidTr="006A54BC">
        <w:tc>
          <w:tcPr>
            <w:tcW w:w="738" w:type="pct"/>
          </w:tcPr>
          <w:p w14:paraId="0AC2F4C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4.2.1.5 Logistical support</w:t>
            </w:r>
          </w:p>
        </w:tc>
        <w:tc>
          <w:tcPr>
            <w:tcW w:w="787" w:type="pct"/>
          </w:tcPr>
          <w:p w14:paraId="7435DE7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Logistical support for women including easily accessible location, childcare, travel costs</w:t>
            </w:r>
          </w:p>
        </w:tc>
        <w:tc>
          <w:tcPr>
            <w:tcW w:w="960" w:type="pct"/>
            <w:shd w:val="clear" w:color="auto" w:fill="auto"/>
          </w:tcPr>
          <w:p w14:paraId="51A5844E"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Ganann et al., 2019; Hadfield &amp; Wittkowski, 2017; Leger et al., 2015; Masood et al., 2015; Nakku et al., 2016; Nithianandan et al., 2016; Ormsby et al., 2018</w:t>
            </w:r>
          </w:p>
          <w:p w14:paraId="55D179FA"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color w:val="000000"/>
                <w:kern w:val="0"/>
                <w:sz w:val="16"/>
                <w:szCs w:val="22"/>
                <w:lang w:eastAsia="en-US"/>
              </w:rPr>
              <w:t>Button et al., 2017; Jones, 2019; Mollard et al., 2016; Newman et al., 2019; Scope et al., 2017; Watson et al., 2019</w:t>
            </w:r>
          </w:p>
        </w:tc>
        <w:tc>
          <w:tcPr>
            <w:tcW w:w="160" w:type="pct"/>
            <w:shd w:val="clear" w:color="auto" w:fill="auto"/>
          </w:tcPr>
          <w:p w14:paraId="60415D4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13</w:t>
            </w:r>
          </w:p>
        </w:tc>
        <w:tc>
          <w:tcPr>
            <w:tcW w:w="581" w:type="pct"/>
          </w:tcPr>
          <w:p w14:paraId="46A3AD5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103D4F2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1B114FC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022E2DE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40A3E1F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190F387F" w14:textId="77777777" w:rsidTr="006A54BC">
        <w:tc>
          <w:tcPr>
            <w:tcW w:w="738" w:type="pct"/>
          </w:tcPr>
          <w:p w14:paraId="2593E90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4.2.1.6 Home delivery</w:t>
            </w:r>
          </w:p>
        </w:tc>
        <w:tc>
          <w:tcPr>
            <w:tcW w:w="787" w:type="pct"/>
          </w:tcPr>
          <w:p w14:paraId="3660665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Care that is delivered at home</w:t>
            </w:r>
          </w:p>
        </w:tc>
        <w:tc>
          <w:tcPr>
            <w:tcW w:w="960" w:type="pct"/>
            <w:shd w:val="clear" w:color="auto" w:fill="auto"/>
          </w:tcPr>
          <w:p w14:paraId="2B424663"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val="es-ES" w:eastAsia="en-US"/>
              </w:rPr>
            </w:pPr>
            <w:r w:rsidRPr="00ED2CE1">
              <w:rPr>
                <w:rFonts w:ascii="Times New Roman" w:eastAsiaTheme="minorHAnsi" w:hAnsi="Times New Roman" w:cs="Times New Roman"/>
                <w:i/>
                <w:color w:val="000000"/>
                <w:kern w:val="0"/>
                <w:sz w:val="16"/>
                <w:szCs w:val="22"/>
                <w:lang w:val="es-ES" w:eastAsia="en-US"/>
              </w:rPr>
              <w:t>Ammerman et al., 2014; Beeber et al., 2009; Judd et al., 2011; Leger et al., 2015; Munodawafa et al., 2017; Myors et al., 2015</w:t>
            </w:r>
          </w:p>
          <w:p w14:paraId="2892FB5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Brealey et al., 2010; Hadfield &amp; Wittkowski, 2017; Hansotte et al., 2017; Jones, 2019</w:t>
            </w:r>
          </w:p>
        </w:tc>
        <w:tc>
          <w:tcPr>
            <w:tcW w:w="160" w:type="pct"/>
            <w:shd w:val="clear" w:color="auto" w:fill="auto"/>
          </w:tcPr>
          <w:p w14:paraId="29C0F50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10</w:t>
            </w:r>
          </w:p>
        </w:tc>
        <w:tc>
          <w:tcPr>
            <w:tcW w:w="581" w:type="pct"/>
          </w:tcPr>
          <w:p w14:paraId="6A83C3E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5BFFA35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792A88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6FB59BC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25250A7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73A376AF" w14:textId="77777777" w:rsidTr="006A54BC">
        <w:tc>
          <w:tcPr>
            <w:tcW w:w="738" w:type="pct"/>
          </w:tcPr>
          <w:p w14:paraId="77F71BA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4.2.1.7 Hospital delivery</w:t>
            </w:r>
          </w:p>
        </w:tc>
        <w:tc>
          <w:tcPr>
            <w:tcW w:w="787" w:type="pct"/>
          </w:tcPr>
          <w:p w14:paraId="5DEBD1D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Care that is delivered in hopsital/medical setting</w:t>
            </w:r>
          </w:p>
        </w:tc>
        <w:tc>
          <w:tcPr>
            <w:tcW w:w="960" w:type="pct"/>
            <w:shd w:val="clear" w:color="auto" w:fill="auto"/>
          </w:tcPr>
          <w:p w14:paraId="3ADF1E85"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Atif et al., 2019; Boyd et al., 2011; Kerker et al., 2018; Shakespeare et al., 2003</w:t>
            </w:r>
          </w:p>
          <w:p w14:paraId="1CA2AB3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Dennis &amp; Chung-Lee, 2006</w:t>
            </w:r>
          </w:p>
        </w:tc>
        <w:tc>
          <w:tcPr>
            <w:tcW w:w="160" w:type="pct"/>
            <w:shd w:val="clear" w:color="auto" w:fill="auto"/>
          </w:tcPr>
          <w:p w14:paraId="278FEB4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5</w:t>
            </w:r>
          </w:p>
        </w:tc>
        <w:tc>
          <w:tcPr>
            <w:tcW w:w="581" w:type="pct"/>
          </w:tcPr>
          <w:p w14:paraId="5740B08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67C1AA7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0BB5C5F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6" w:type="pct"/>
          </w:tcPr>
          <w:p w14:paraId="57785EA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3FD54421"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1CFD5DD3" w14:textId="77777777" w:rsidTr="006A54BC">
        <w:tc>
          <w:tcPr>
            <w:tcW w:w="738" w:type="pct"/>
          </w:tcPr>
          <w:p w14:paraId="610D097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4.2.1.8 Provision of information</w:t>
            </w:r>
          </w:p>
        </w:tc>
        <w:tc>
          <w:tcPr>
            <w:tcW w:w="787" w:type="pct"/>
          </w:tcPr>
          <w:p w14:paraId="4C30F7A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Whether care provides information</w:t>
            </w:r>
          </w:p>
        </w:tc>
        <w:tc>
          <w:tcPr>
            <w:tcW w:w="960" w:type="pct"/>
          </w:tcPr>
          <w:p w14:paraId="0D9A220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Dennis &amp; Chung-Lee, 2006; Hadfield &amp; Wittkowski, 2017; Jones, 2019; Megnin-Viggars et al., 2015; Morrell et al., 2016; Randall &amp; Briscoe, 2018; Schmied et al., 2017</w:t>
            </w:r>
          </w:p>
        </w:tc>
        <w:tc>
          <w:tcPr>
            <w:tcW w:w="160" w:type="pct"/>
            <w:shd w:val="clear" w:color="auto" w:fill="auto"/>
          </w:tcPr>
          <w:p w14:paraId="6D1753C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w:t>
            </w:r>
          </w:p>
        </w:tc>
        <w:tc>
          <w:tcPr>
            <w:tcW w:w="581" w:type="pct"/>
          </w:tcPr>
          <w:p w14:paraId="32F519B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7FE7311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6353AD2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1C27859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333BECEF"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76C2BCD6" w14:textId="77777777" w:rsidTr="006A54BC">
        <w:tc>
          <w:tcPr>
            <w:tcW w:w="738" w:type="pct"/>
          </w:tcPr>
          <w:p w14:paraId="3F0528B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4.2.1.9 Technology</w:t>
            </w:r>
          </w:p>
        </w:tc>
        <w:tc>
          <w:tcPr>
            <w:tcW w:w="787" w:type="pct"/>
          </w:tcPr>
          <w:p w14:paraId="43F6DB4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The use of technology in care</w:t>
            </w:r>
          </w:p>
        </w:tc>
        <w:tc>
          <w:tcPr>
            <w:tcW w:w="960" w:type="pct"/>
            <w:shd w:val="clear" w:color="auto" w:fill="auto"/>
          </w:tcPr>
          <w:p w14:paraId="704614FE"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Doering et al., 2017; Feinberg et al., 2006; Fernandez y Garcia et al., 2011; Jallo et al., 2015; Kim et al., 2009; Lind et al., 2017; Noonan et al., 2018; Pineros-Leano et al., 2015; Shorey &amp; Ng, 2019; Willey et al., 2018; Williams et al., 2016</w:t>
            </w:r>
          </w:p>
          <w:p w14:paraId="4BA03FF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lastRenderedPageBreak/>
              <w:t>SH</w:t>
            </w:r>
          </w:p>
        </w:tc>
        <w:tc>
          <w:tcPr>
            <w:tcW w:w="160" w:type="pct"/>
            <w:shd w:val="clear" w:color="auto" w:fill="auto"/>
          </w:tcPr>
          <w:p w14:paraId="5DC2018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11</w:t>
            </w:r>
          </w:p>
        </w:tc>
        <w:tc>
          <w:tcPr>
            <w:tcW w:w="581" w:type="pct"/>
          </w:tcPr>
          <w:p w14:paraId="76C07C7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5174C45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079C297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0CEFDCD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68F76AA2"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71418359" w14:textId="77777777" w:rsidTr="006A54BC">
        <w:tc>
          <w:tcPr>
            <w:tcW w:w="738" w:type="pct"/>
          </w:tcPr>
          <w:p w14:paraId="27D364D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4.2.1.10 Service inclusion criteria</w:t>
            </w:r>
          </w:p>
        </w:tc>
        <w:tc>
          <w:tcPr>
            <w:tcW w:w="787" w:type="pct"/>
          </w:tcPr>
          <w:p w14:paraId="73D052C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Inclusion criteria of services </w:t>
            </w:r>
          </w:p>
        </w:tc>
        <w:tc>
          <w:tcPr>
            <w:tcW w:w="960" w:type="pct"/>
            <w:shd w:val="clear" w:color="auto" w:fill="auto"/>
          </w:tcPr>
          <w:p w14:paraId="1A03E7B2"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Boyd et al., 2011; Ganann et al., 2019</w:t>
            </w:r>
          </w:p>
          <w:p w14:paraId="22DC5E0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Viveiros &amp; Darling, 2018</w:t>
            </w:r>
          </w:p>
        </w:tc>
        <w:tc>
          <w:tcPr>
            <w:tcW w:w="160" w:type="pct"/>
            <w:shd w:val="clear" w:color="auto" w:fill="auto"/>
          </w:tcPr>
          <w:p w14:paraId="7B0FD52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3</w:t>
            </w:r>
          </w:p>
        </w:tc>
        <w:tc>
          <w:tcPr>
            <w:tcW w:w="581" w:type="pct"/>
          </w:tcPr>
          <w:p w14:paraId="29715C9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Moderate confidence </w:t>
            </w:r>
          </w:p>
        </w:tc>
        <w:tc>
          <w:tcPr>
            <w:tcW w:w="470" w:type="pct"/>
          </w:tcPr>
          <w:p w14:paraId="7CF9C67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154003F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53E43BA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75D115E2"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614D4D28" w14:textId="77777777" w:rsidTr="006A54BC">
        <w:tc>
          <w:tcPr>
            <w:tcW w:w="5000" w:type="pct"/>
            <w:gridSpan w:val="9"/>
            <w:shd w:val="clear" w:color="auto" w:fill="EDEDED" w:themeFill="accent3" w:themeFillTint="33"/>
          </w:tcPr>
          <w:p w14:paraId="7958DE19"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4.2.2 Assessment specific characteristics</w:t>
            </w:r>
          </w:p>
        </w:tc>
      </w:tr>
      <w:tr w:rsidR="00ED2CE1" w:rsidRPr="00ED2CE1" w14:paraId="531EE2BF" w14:textId="77777777" w:rsidTr="006A54BC">
        <w:tc>
          <w:tcPr>
            <w:tcW w:w="738" w:type="pct"/>
          </w:tcPr>
          <w:p w14:paraId="6D95DCE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4.2.2.1 Wording of assessment tools</w:t>
            </w:r>
          </w:p>
        </w:tc>
        <w:tc>
          <w:tcPr>
            <w:tcW w:w="787" w:type="pct"/>
          </w:tcPr>
          <w:p w14:paraId="2948A74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How assessment tools are worded</w:t>
            </w:r>
          </w:p>
        </w:tc>
        <w:tc>
          <w:tcPr>
            <w:tcW w:w="960" w:type="pct"/>
            <w:shd w:val="clear" w:color="auto" w:fill="auto"/>
          </w:tcPr>
          <w:p w14:paraId="6345C6A0"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Doering et al., 2017; Segre et al., 2014; Williams et al., 2016</w:t>
            </w:r>
          </w:p>
          <w:p w14:paraId="06E1C9A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Brealey et al., 2010; Button et al., 2017; Hewitt et al., 2009</w:t>
            </w:r>
          </w:p>
        </w:tc>
        <w:tc>
          <w:tcPr>
            <w:tcW w:w="160" w:type="pct"/>
            <w:shd w:val="clear" w:color="auto" w:fill="auto"/>
          </w:tcPr>
          <w:p w14:paraId="1F03051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w:t>
            </w:r>
          </w:p>
        </w:tc>
        <w:tc>
          <w:tcPr>
            <w:tcW w:w="581" w:type="pct"/>
          </w:tcPr>
          <w:p w14:paraId="51E6CD8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1E68425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20C4B15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34D4D60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6423F946"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340833CF" w14:textId="77777777" w:rsidTr="006A54BC">
        <w:tc>
          <w:tcPr>
            <w:tcW w:w="738" w:type="pct"/>
          </w:tcPr>
          <w:p w14:paraId="62ED9DF0"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4.2.2.2 Acceptability of assessment/ screening</w:t>
            </w:r>
          </w:p>
        </w:tc>
        <w:tc>
          <w:tcPr>
            <w:tcW w:w="787" w:type="pct"/>
          </w:tcPr>
          <w:p w14:paraId="50D0F73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Whether assessment tools and assessment/screening in general are acceptable to women and HCPs</w:t>
            </w:r>
          </w:p>
        </w:tc>
        <w:tc>
          <w:tcPr>
            <w:tcW w:w="960" w:type="pct"/>
            <w:shd w:val="clear" w:color="auto" w:fill="auto"/>
          </w:tcPr>
          <w:p w14:paraId="7BAA1DC6"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Boyd et al., 2011; Doering et al., 2017; Feinberg et al., 2006; Ganann et al., 2019; Kim et al., 2009; Nithianandan et al., 2016; Segre et al., 2014; Shakespeare et al., 2003; Vik et al., 2009; Willey et al., 2018</w:t>
            </w:r>
          </w:p>
          <w:p w14:paraId="484538BA"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color w:val="000000"/>
                <w:kern w:val="0"/>
                <w:sz w:val="16"/>
                <w:szCs w:val="22"/>
                <w:lang w:eastAsia="en-US"/>
              </w:rPr>
              <w:t>Brealey et al., 2010; Evans et al., 2020; Hewitt et al., 2009; Megnin-Viggars et al., 2015; Mollard et al., 2016; Sambrook Smith et al., 2019; Viveiros &amp; Darling, 2018</w:t>
            </w:r>
          </w:p>
        </w:tc>
        <w:tc>
          <w:tcPr>
            <w:tcW w:w="160" w:type="pct"/>
            <w:shd w:val="clear" w:color="auto" w:fill="auto"/>
          </w:tcPr>
          <w:p w14:paraId="229E24E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17</w:t>
            </w:r>
          </w:p>
        </w:tc>
        <w:tc>
          <w:tcPr>
            <w:tcW w:w="581" w:type="pct"/>
          </w:tcPr>
          <w:p w14:paraId="27FA193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Moderate confidence </w:t>
            </w:r>
          </w:p>
        </w:tc>
        <w:tc>
          <w:tcPr>
            <w:tcW w:w="470" w:type="pct"/>
          </w:tcPr>
          <w:p w14:paraId="40A548E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1FEA0F5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715C805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04B522E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718B86AC" w14:textId="77777777" w:rsidTr="006A54BC">
        <w:tc>
          <w:tcPr>
            <w:tcW w:w="5000" w:type="pct"/>
            <w:gridSpan w:val="9"/>
            <w:shd w:val="clear" w:color="auto" w:fill="EDEDED" w:themeFill="accent3" w:themeFillTint="33"/>
          </w:tcPr>
          <w:p w14:paraId="39B861C5"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4.2.3 Intervention characteristics</w:t>
            </w:r>
          </w:p>
        </w:tc>
      </w:tr>
      <w:tr w:rsidR="00ED2CE1" w:rsidRPr="00ED2CE1" w14:paraId="41F255B7" w14:textId="77777777" w:rsidTr="006A54BC">
        <w:tc>
          <w:tcPr>
            <w:tcW w:w="738" w:type="pct"/>
          </w:tcPr>
          <w:p w14:paraId="10BA78F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4.2.3.1 Opportunity to talk</w:t>
            </w:r>
          </w:p>
        </w:tc>
        <w:tc>
          <w:tcPr>
            <w:tcW w:w="787" w:type="pct"/>
          </w:tcPr>
          <w:p w14:paraId="5CBF2E3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Interventions that provide an opportunity to talk</w:t>
            </w:r>
          </w:p>
        </w:tc>
        <w:tc>
          <w:tcPr>
            <w:tcW w:w="960" w:type="pct"/>
            <w:shd w:val="clear" w:color="auto" w:fill="auto"/>
          </w:tcPr>
          <w:p w14:paraId="2D5DAED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Dennis &amp; Chung-Lee, 2006; Evans et al., 2020; Hadfield &amp; Wittkowski, 2017; Jones et al., 2014; Kassam, 2019; Morrell et al., 2016; Praetorius et al., 2020</w:t>
            </w:r>
          </w:p>
        </w:tc>
        <w:tc>
          <w:tcPr>
            <w:tcW w:w="160" w:type="pct"/>
            <w:shd w:val="clear" w:color="auto" w:fill="auto"/>
          </w:tcPr>
          <w:p w14:paraId="7E08DE9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w:t>
            </w:r>
          </w:p>
        </w:tc>
        <w:tc>
          <w:tcPr>
            <w:tcW w:w="581" w:type="pct"/>
          </w:tcPr>
          <w:p w14:paraId="3550566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6610219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13E6363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01BB907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13A1D19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5846A66B" w14:textId="77777777" w:rsidTr="006A54BC">
        <w:tc>
          <w:tcPr>
            <w:tcW w:w="738" w:type="pct"/>
          </w:tcPr>
          <w:p w14:paraId="08CF1F6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4.2.3.2 Individualised and person centred</w:t>
            </w:r>
          </w:p>
        </w:tc>
        <w:tc>
          <w:tcPr>
            <w:tcW w:w="787" w:type="pct"/>
          </w:tcPr>
          <w:p w14:paraId="0CF3942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Indiviudalised and person centred interventions/care</w:t>
            </w:r>
          </w:p>
        </w:tc>
        <w:tc>
          <w:tcPr>
            <w:tcW w:w="960" w:type="pct"/>
            <w:shd w:val="clear" w:color="auto" w:fill="auto"/>
          </w:tcPr>
          <w:p w14:paraId="77881DD8"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Chartier et al., 2015; Doering et al., 2017; Ganann et al., 2019; Masood et al., 2015; McKenzie-McHarg et al., 2014; Noonan et al., 2018; O’Mahen &amp; Flynn, 2008; Pugh et al., 2015; Segre et al., 2014; Shorey &amp; Ng, 2019</w:t>
            </w:r>
          </w:p>
          <w:p w14:paraId="3BEDDAB6"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t>Evans et al., 2020; Hadfield &amp; Wittkowski, 2017; Megnin-Viggars et al., 2015; Morrell et al., 2016; Schmied et al., 2017; Scope et al., 2017; Slade et al., 2020; Watson et al., 2019</w:t>
            </w:r>
          </w:p>
          <w:p w14:paraId="2EEC39A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SH </w:t>
            </w:r>
          </w:p>
        </w:tc>
        <w:tc>
          <w:tcPr>
            <w:tcW w:w="160" w:type="pct"/>
            <w:shd w:val="clear" w:color="auto" w:fill="auto"/>
          </w:tcPr>
          <w:p w14:paraId="376D9F9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19</w:t>
            </w:r>
          </w:p>
        </w:tc>
        <w:tc>
          <w:tcPr>
            <w:tcW w:w="581" w:type="pct"/>
          </w:tcPr>
          <w:p w14:paraId="038FC2A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3D2BBBB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51CC372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226D13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4D83E720"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3BB476F9" w14:textId="77777777" w:rsidTr="006A54BC">
        <w:tc>
          <w:tcPr>
            <w:tcW w:w="738" w:type="pct"/>
          </w:tcPr>
          <w:p w14:paraId="296B310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4.2.3.3 Appropriateness</w:t>
            </w:r>
          </w:p>
        </w:tc>
        <w:tc>
          <w:tcPr>
            <w:tcW w:w="787" w:type="pct"/>
          </w:tcPr>
          <w:p w14:paraId="1044074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Appropriateness of intervention being offered, </w:t>
            </w:r>
            <w:r w:rsidRPr="00ED2CE1">
              <w:rPr>
                <w:rFonts w:ascii="Times New Roman" w:eastAsiaTheme="minorHAnsi" w:hAnsi="Times New Roman" w:cs="Times New Roman"/>
                <w:kern w:val="0"/>
                <w:sz w:val="16"/>
                <w:szCs w:val="16"/>
                <w:lang w:eastAsia="en-US"/>
              </w:rPr>
              <w:lastRenderedPageBreak/>
              <w:t>from women and HCPs point of view</w:t>
            </w:r>
          </w:p>
        </w:tc>
        <w:tc>
          <w:tcPr>
            <w:tcW w:w="960" w:type="pct"/>
            <w:shd w:val="clear" w:color="auto" w:fill="auto"/>
          </w:tcPr>
          <w:p w14:paraId="1CD7D156"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lastRenderedPageBreak/>
              <w:t>Atif et al., 2019; Bina et al., 2018; Chartier et al., 2015; Drozd et al., 2018; Leger et al., 2015; McKenzie-</w:t>
            </w:r>
            <w:r w:rsidRPr="00ED2CE1">
              <w:rPr>
                <w:rFonts w:ascii="Times New Roman" w:eastAsiaTheme="minorHAnsi" w:hAnsi="Times New Roman" w:cs="Times New Roman"/>
                <w:i/>
                <w:color w:val="000000"/>
                <w:kern w:val="0"/>
                <w:sz w:val="16"/>
                <w:szCs w:val="22"/>
                <w:lang w:eastAsia="en-US"/>
              </w:rPr>
              <w:lastRenderedPageBreak/>
              <w:t>McHarg et al., 2014; Munodawafa et al., 2017; Noonan et al., 2018; Ormsby et al., 2018; Pugh et al., 2015; Reed et al., 2014; Shorey &amp; Ng, 2019</w:t>
            </w:r>
          </w:p>
          <w:p w14:paraId="1E869FF8" w14:textId="77777777" w:rsidR="00ED2CE1" w:rsidRPr="00ED2CE1" w:rsidRDefault="00ED2CE1" w:rsidP="00ED2CE1">
            <w:pPr>
              <w:spacing w:line="240" w:lineRule="auto"/>
              <w:ind w:firstLine="0"/>
              <w:rPr>
                <w:rFonts w:ascii="Times New Roman" w:eastAsiaTheme="minorHAnsi" w:hAnsi="Times New Roman" w:cs="Times New Roman"/>
                <w:kern w:val="0"/>
                <w:sz w:val="16"/>
                <w:szCs w:val="22"/>
                <w:lang w:eastAsia="en-US"/>
              </w:rPr>
            </w:pPr>
            <w:r w:rsidRPr="00ED2CE1">
              <w:rPr>
                <w:rFonts w:ascii="Times New Roman" w:eastAsiaTheme="minorHAnsi" w:hAnsi="Times New Roman" w:cs="Times New Roman"/>
                <w:color w:val="000000"/>
                <w:kern w:val="0"/>
                <w:sz w:val="16"/>
                <w:szCs w:val="22"/>
                <w:lang w:eastAsia="en-US"/>
              </w:rPr>
              <w:t>Evans et al., 2020; Megnin-Viggars et al., 2015; Scope et al., 2017</w:t>
            </w:r>
          </w:p>
        </w:tc>
        <w:tc>
          <w:tcPr>
            <w:tcW w:w="160" w:type="pct"/>
            <w:shd w:val="clear" w:color="auto" w:fill="auto"/>
          </w:tcPr>
          <w:p w14:paraId="2DB3AAC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15</w:t>
            </w:r>
          </w:p>
        </w:tc>
        <w:tc>
          <w:tcPr>
            <w:tcW w:w="581" w:type="pct"/>
          </w:tcPr>
          <w:p w14:paraId="60AAC11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11BFAAA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01020A0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46478E1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42225F72"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10160FB1" w14:textId="77777777" w:rsidTr="006A54BC">
        <w:tc>
          <w:tcPr>
            <w:tcW w:w="738" w:type="pct"/>
          </w:tcPr>
          <w:p w14:paraId="1545112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4.2.3.4 Flexible</w:t>
            </w:r>
          </w:p>
        </w:tc>
        <w:tc>
          <w:tcPr>
            <w:tcW w:w="787" w:type="pct"/>
          </w:tcPr>
          <w:p w14:paraId="15AF4E0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Flexibility of intervention</w:t>
            </w:r>
          </w:p>
        </w:tc>
        <w:tc>
          <w:tcPr>
            <w:tcW w:w="960" w:type="pct"/>
            <w:shd w:val="clear" w:color="auto" w:fill="auto"/>
          </w:tcPr>
          <w:p w14:paraId="0150FBA6"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Atif et al., 2019; Bina et al., 2018; Ganann et al., 2019; Hadfield et al., 2019; Judd et al., 2011; Munodawafa et al., 2017; O’Mahen &amp; Flynn, 2008; Pugh et al., 2015; Shorey &amp; Ng, 2019</w:t>
            </w:r>
          </w:p>
          <w:p w14:paraId="1AD2BD0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color w:val="000000"/>
                <w:kern w:val="0"/>
                <w:sz w:val="16"/>
                <w:szCs w:val="16"/>
                <w:lang w:eastAsia="en-US"/>
              </w:rPr>
              <w:t>Sorsa et al., 2021; Watson et al., 2019</w:t>
            </w:r>
          </w:p>
        </w:tc>
        <w:tc>
          <w:tcPr>
            <w:tcW w:w="160" w:type="pct"/>
            <w:shd w:val="clear" w:color="auto" w:fill="auto"/>
          </w:tcPr>
          <w:p w14:paraId="21A9EE4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11</w:t>
            </w:r>
          </w:p>
        </w:tc>
        <w:tc>
          <w:tcPr>
            <w:tcW w:w="581" w:type="pct"/>
          </w:tcPr>
          <w:p w14:paraId="0F2755D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7314660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709B82C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18F51F8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0EC7550A"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62DAFA6C" w14:textId="77777777" w:rsidTr="006A54BC">
        <w:tc>
          <w:tcPr>
            <w:tcW w:w="738" w:type="pct"/>
          </w:tcPr>
          <w:p w14:paraId="3964AF7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4.2.3.5 Group support</w:t>
            </w:r>
          </w:p>
        </w:tc>
        <w:tc>
          <w:tcPr>
            <w:tcW w:w="787" w:type="pct"/>
          </w:tcPr>
          <w:p w14:paraId="66AC9B4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Group/peer support as an intervention</w:t>
            </w:r>
          </w:p>
        </w:tc>
        <w:tc>
          <w:tcPr>
            <w:tcW w:w="960" w:type="pct"/>
            <w:shd w:val="clear" w:color="auto" w:fill="auto"/>
          </w:tcPr>
          <w:p w14:paraId="06CF0430"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Hadfield et al., 2019; Masood et al., 2015; Nakku et al., 2016</w:t>
            </w:r>
          </w:p>
          <w:p w14:paraId="4EE05AC9"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22"/>
                <w:lang w:eastAsia="en-US"/>
              </w:rPr>
            </w:pPr>
            <w:r w:rsidRPr="00ED2CE1">
              <w:rPr>
                <w:rFonts w:ascii="Times New Roman" w:eastAsiaTheme="minorHAnsi" w:hAnsi="Times New Roman" w:cs="Times New Roman"/>
                <w:color w:val="000000"/>
                <w:kern w:val="0"/>
                <w:sz w:val="16"/>
                <w:szCs w:val="22"/>
                <w:lang w:eastAsia="en-US"/>
              </w:rPr>
              <w:t>Dennis &amp; Chung-Lee, 2006; Evans et al., 2020; Hadfield &amp; Wittkowski, 2017; Holopainen &amp; Hakulinen, 2019; Jones et al., 2014; Megnin-Viggars et al., 2015; Schmied et al., 2017; Scope et al., 2017; Slade et al., 2020; Tobin et al., 2018; Watson et al., 2019</w:t>
            </w:r>
          </w:p>
          <w:p w14:paraId="1007B77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131575D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14</w:t>
            </w:r>
          </w:p>
        </w:tc>
        <w:tc>
          <w:tcPr>
            <w:tcW w:w="581" w:type="pct"/>
          </w:tcPr>
          <w:p w14:paraId="39579D3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713813F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0F62A64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56929B0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5152718C"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25BF1E70" w14:textId="77777777" w:rsidTr="006A54BC">
        <w:tc>
          <w:tcPr>
            <w:tcW w:w="738" w:type="pct"/>
          </w:tcPr>
          <w:p w14:paraId="05C5F70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4.2.3.7 Face to face delivery</w:t>
            </w:r>
          </w:p>
        </w:tc>
        <w:tc>
          <w:tcPr>
            <w:tcW w:w="787" w:type="pct"/>
          </w:tcPr>
          <w:p w14:paraId="16A2695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Face to face delivery of intervention</w:t>
            </w:r>
          </w:p>
        </w:tc>
        <w:tc>
          <w:tcPr>
            <w:tcW w:w="960" w:type="pct"/>
          </w:tcPr>
          <w:p w14:paraId="6FAFDF02" w14:textId="77777777" w:rsidR="00ED2CE1" w:rsidRPr="00ED2CE1" w:rsidRDefault="00ED2CE1" w:rsidP="00ED2CE1">
            <w:pPr>
              <w:spacing w:line="240" w:lineRule="auto"/>
              <w:ind w:firstLine="0"/>
              <w:rPr>
                <w:rFonts w:ascii="Times New Roman" w:eastAsiaTheme="minorHAnsi" w:hAnsi="Times New Roman" w:cs="Times New Roman"/>
                <w:i/>
                <w:kern w:val="0"/>
                <w:sz w:val="16"/>
                <w:szCs w:val="16"/>
                <w:lang w:eastAsia="en-US"/>
              </w:rPr>
            </w:pPr>
            <w:r w:rsidRPr="00ED2CE1">
              <w:rPr>
                <w:rFonts w:ascii="Times New Roman" w:eastAsiaTheme="minorHAnsi" w:hAnsi="Times New Roman" w:cs="Times New Roman"/>
                <w:i/>
                <w:noProof/>
                <w:kern w:val="0"/>
                <w:sz w:val="16"/>
                <w:szCs w:val="16"/>
                <w:lang w:eastAsia="en-US"/>
              </w:rPr>
              <w:t>O’Mahen &amp; Flynn, 2008; Pugh et al., 2015; Shorey &amp; Ng, 2019</w:t>
            </w:r>
            <w:r w:rsidRPr="00ED2CE1">
              <w:rPr>
                <w:rFonts w:ascii="Times New Roman" w:eastAsiaTheme="minorHAnsi" w:hAnsi="Times New Roman" w:cs="Times New Roman"/>
                <w:i/>
                <w:kern w:val="0"/>
                <w:sz w:val="16"/>
                <w:szCs w:val="16"/>
                <w:lang w:eastAsia="en-US"/>
              </w:rPr>
              <w:t xml:space="preserve"> </w:t>
            </w:r>
          </w:p>
          <w:p w14:paraId="490B369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noProof/>
                <w:kern w:val="0"/>
                <w:sz w:val="16"/>
                <w:szCs w:val="16"/>
                <w:lang w:eastAsia="en-US"/>
              </w:rPr>
              <w:t>Schmied et al., 2017</w:t>
            </w:r>
          </w:p>
          <w:p w14:paraId="4E3A9AE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shd w:val="clear" w:color="auto" w:fill="auto"/>
          </w:tcPr>
          <w:p w14:paraId="3956159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4</w:t>
            </w:r>
          </w:p>
        </w:tc>
        <w:tc>
          <w:tcPr>
            <w:tcW w:w="581" w:type="pct"/>
          </w:tcPr>
          <w:p w14:paraId="3686409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5769477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Very low confidence</w:t>
            </w:r>
          </w:p>
        </w:tc>
        <w:tc>
          <w:tcPr>
            <w:tcW w:w="431" w:type="pct"/>
          </w:tcPr>
          <w:p w14:paraId="7CE83D5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7485C52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4AEA9E1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Low confidence</w:t>
            </w:r>
          </w:p>
        </w:tc>
      </w:tr>
      <w:tr w:rsidR="00ED2CE1" w:rsidRPr="00ED2CE1" w14:paraId="76CCAFBE" w14:textId="77777777" w:rsidTr="006A54BC">
        <w:tc>
          <w:tcPr>
            <w:tcW w:w="5000" w:type="pct"/>
            <w:gridSpan w:val="9"/>
            <w:shd w:val="clear" w:color="auto" w:fill="A5A5A5" w:themeFill="accent3"/>
          </w:tcPr>
          <w:p w14:paraId="2FFF78DE"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 xml:space="preserve">5. Commissioners </w:t>
            </w:r>
          </w:p>
        </w:tc>
      </w:tr>
      <w:tr w:rsidR="00ED2CE1" w:rsidRPr="00ED2CE1" w14:paraId="14D582E4" w14:textId="77777777" w:rsidTr="006A54BC">
        <w:tc>
          <w:tcPr>
            <w:tcW w:w="738" w:type="pct"/>
          </w:tcPr>
          <w:p w14:paraId="257EF6B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5.1 Referral pathways</w:t>
            </w:r>
          </w:p>
        </w:tc>
        <w:tc>
          <w:tcPr>
            <w:tcW w:w="787" w:type="pct"/>
          </w:tcPr>
          <w:p w14:paraId="12CBE3D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Clear referral pathways</w:t>
            </w:r>
          </w:p>
        </w:tc>
        <w:tc>
          <w:tcPr>
            <w:tcW w:w="960" w:type="pct"/>
            <w:shd w:val="clear" w:color="auto" w:fill="auto"/>
          </w:tcPr>
          <w:p w14:paraId="32F141CB"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Ammerman et al., 2014; Boyd et al., 2011; Higgins et al., 2018; Nithianandan et al., 2016; Rowan et al., 2010; Willey et al., 2018</w:t>
            </w:r>
          </w:p>
          <w:p w14:paraId="6C75DE8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SH</w:t>
            </w:r>
          </w:p>
        </w:tc>
        <w:tc>
          <w:tcPr>
            <w:tcW w:w="160" w:type="pct"/>
            <w:shd w:val="clear" w:color="auto" w:fill="auto"/>
          </w:tcPr>
          <w:p w14:paraId="00E72D2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w:t>
            </w:r>
          </w:p>
        </w:tc>
        <w:tc>
          <w:tcPr>
            <w:tcW w:w="581" w:type="pct"/>
          </w:tcPr>
          <w:p w14:paraId="3FBBDC8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2508ED9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628F42B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2CFE912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3D12C9D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2E2E65F0" w14:textId="77777777" w:rsidTr="006A54BC">
        <w:tc>
          <w:tcPr>
            <w:tcW w:w="738" w:type="pct"/>
          </w:tcPr>
          <w:p w14:paraId="5E0B132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5.2 Lack of appropriate or timely services</w:t>
            </w:r>
          </w:p>
        </w:tc>
        <w:tc>
          <w:tcPr>
            <w:tcW w:w="787" w:type="pct"/>
          </w:tcPr>
          <w:p w14:paraId="69E9E2E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 xml:space="preserve">Lack of appropriate and timely services to refer women onto </w:t>
            </w:r>
          </w:p>
        </w:tc>
        <w:tc>
          <w:tcPr>
            <w:tcW w:w="960" w:type="pct"/>
            <w:shd w:val="clear" w:color="auto" w:fill="auto"/>
          </w:tcPr>
          <w:p w14:paraId="4CB3ADA9"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eastAsia="en-US"/>
              </w:rPr>
            </w:pPr>
            <w:r w:rsidRPr="00ED2CE1">
              <w:rPr>
                <w:rFonts w:ascii="Times New Roman" w:eastAsiaTheme="minorHAnsi" w:hAnsi="Times New Roman" w:cs="Times New Roman"/>
                <w:i/>
                <w:color w:val="000000"/>
                <w:kern w:val="0"/>
                <w:sz w:val="16"/>
                <w:szCs w:val="22"/>
                <w:lang w:eastAsia="en-US"/>
              </w:rPr>
              <w:t xml:space="preserve">Boyd et al., 2011; Doering et al., 2017; Ganann et al., 2019; Higgins et al., 2018; Kerker et al., 2018; Leger et al., 2015; Lomonaco-Haycraft et al., 2018; Munodawafa et al., 2017; Myors et al., 2015; Nakku et al., 2016; Noonan et al., 2018; </w:t>
            </w:r>
            <w:r w:rsidRPr="00ED2CE1">
              <w:rPr>
                <w:rFonts w:ascii="Times New Roman" w:eastAsiaTheme="minorHAnsi" w:hAnsi="Times New Roman" w:cs="Times New Roman"/>
                <w:i/>
                <w:color w:val="000000"/>
                <w:kern w:val="0"/>
                <w:sz w:val="16"/>
                <w:szCs w:val="22"/>
                <w:lang w:eastAsia="en-US"/>
              </w:rPr>
              <w:lastRenderedPageBreak/>
              <w:t xml:space="preserve">Rowan et al., 2010; Williams et al., 2016 </w:t>
            </w:r>
          </w:p>
          <w:p w14:paraId="241A0722"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22"/>
                <w:lang w:eastAsia="en-US"/>
              </w:rPr>
            </w:pPr>
            <w:r w:rsidRPr="00ED2CE1">
              <w:rPr>
                <w:rFonts w:ascii="Times New Roman" w:eastAsiaTheme="minorHAnsi" w:hAnsi="Times New Roman" w:cs="Times New Roman"/>
                <w:color w:val="000000"/>
                <w:kern w:val="0"/>
                <w:sz w:val="16"/>
                <w:szCs w:val="22"/>
                <w:lang w:eastAsia="en-US"/>
              </w:rPr>
              <w:t>Bina, 2020; Button et al., 2017; Jones, 2019; Jones et al., 2014; Megnin-Viggars et al., 2015; Newman et al., 2019; Sambrook Smith et al., 2019; Tobin et al., 2018; Viveiros &amp; Darling, 2018</w:t>
            </w:r>
          </w:p>
          <w:p w14:paraId="15907BE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62EEB4A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22</w:t>
            </w:r>
          </w:p>
        </w:tc>
        <w:tc>
          <w:tcPr>
            <w:tcW w:w="581" w:type="pct"/>
          </w:tcPr>
          <w:p w14:paraId="7A95FD3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671FA21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1" w:type="pct"/>
          </w:tcPr>
          <w:p w14:paraId="439AED8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299645D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0501B94D"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05B959B0" w14:textId="77777777" w:rsidTr="006A54BC">
        <w:tc>
          <w:tcPr>
            <w:tcW w:w="738" w:type="pct"/>
          </w:tcPr>
          <w:p w14:paraId="45096D0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5.3 Financial complexities</w:t>
            </w:r>
          </w:p>
        </w:tc>
        <w:tc>
          <w:tcPr>
            <w:tcW w:w="787" w:type="pct"/>
          </w:tcPr>
          <w:p w14:paraId="15A93C6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Financial complexities including funding, and sourcing money and resources for services and financial reimbursement</w:t>
            </w:r>
          </w:p>
        </w:tc>
        <w:tc>
          <w:tcPr>
            <w:tcW w:w="960" w:type="pct"/>
            <w:shd w:val="clear" w:color="auto" w:fill="auto"/>
          </w:tcPr>
          <w:p w14:paraId="187FFDFD"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Cox et al., 2017; Feinberg et al., 2006; Friedman et al., 2010; Ganann et al., 2019; Kim et al., 2009; Lomonaco-Haycraft et al., 2018; Ormsby et al., 2018; Rowan et al., 2010</w:t>
            </w:r>
          </w:p>
          <w:p w14:paraId="013F84F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7CDCB81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8</w:t>
            </w:r>
          </w:p>
        </w:tc>
        <w:tc>
          <w:tcPr>
            <w:tcW w:w="581" w:type="pct"/>
          </w:tcPr>
          <w:p w14:paraId="3A8F4BA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26574B3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7DED8A9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6" w:type="pct"/>
          </w:tcPr>
          <w:p w14:paraId="1CEACE9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7" w:type="pct"/>
          </w:tcPr>
          <w:p w14:paraId="7704944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01E675FA" w14:textId="77777777" w:rsidTr="006A54BC">
        <w:tc>
          <w:tcPr>
            <w:tcW w:w="5000" w:type="pct"/>
            <w:gridSpan w:val="9"/>
            <w:shd w:val="clear" w:color="auto" w:fill="A5A5A5" w:themeFill="accent3"/>
          </w:tcPr>
          <w:p w14:paraId="32B26C03"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6. Political</w:t>
            </w:r>
          </w:p>
        </w:tc>
      </w:tr>
      <w:tr w:rsidR="00ED2CE1" w:rsidRPr="00ED2CE1" w14:paraId="29EEC8F5" w14:textId="77777777" w:rsidTr="006A54BC">
        <w:tc>
          <w:tcPr>
            <w:tcW w:w="738" w:type="pct"/>
          </w:tcPr>
          <w:p w14:paraId="0148A4DB"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6.1 Immigration status</w:t>
            </w:r>
          </w:p>
        </w:tc>
        <w:tc>
          <w:tcPr>
            <w:tcW w:w="787" w:type="pct"/>
          </w:tcPr>
          <w:p w14:paraId="5AE91F6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How the immigration status of women may impact their PMH care journey</w:t>
            </w:r>
          </w:p>
        </w:tc>
        <w:tc>
          <w:tcPr>
            <w:tcW w:w="960" w:type="pct"/>
            <w:shd w:val="clear" w:color="auto" w:fill="auto"/>
          </w:tcPr>
          <w:p w14:paraId="3C66ABF2"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val="es-ES" w:eastAsia="en-US"/>
              </w:rPr>
            </w:pPr>
            <w:r w:rsidRPr="00ED2CE1">
              <w:rPr>
                <w:rFonts w:ascii="Times New Roman" w:eastAsiaTheme="minorHAnsi" w:hAnsi="Times New Roman" w:cs="Times New Roman"/>
                <w:i/>
                <w:color w:val="000000"/>
                <w:kern w:val="0"/>
                <w:sz w:val="16"/>
                <w:szCs w:val="22"/>
                <w:lang w:val="es-ES" w:eastAsia="en-US"/>
              </w:rPr>
              <w:t>Cox et al., 2017; Ganann et al., 2019</w:t>
            </w:r>
          </w:p>
          <w:p w14:paraId="49DF4179"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22"/>
                <w:lang w:eastAsia="en-US"/>
              </w:rPr>
            </w:pPr>
            <w:r w:rsidRPr="00ED2CE1">
              <w:rPr>
                <w:rFonts w:ascii="Times New Roman" w:eastAsiaTheme="minorHAnsi" w:hAnsi="Times New Roman" w:cs="Times New Roman"/>
                <w:color w:val="000000"/>
                <w:kern w:val="0"/>
                <w:sz w:val="16"/>
                <w:szCs w:val="22"/>
                <w:lang w:eastAsia="en-US"/>
              </w:rPr>
              <w:t>Bina, 2020; Giscombe et al., 2020; Hansotte et al., 2017; Kassam, 2019; Schmied et al., 2017; Tobin et al., 2018; Watson et al., 2019</w:t>
            </w:r>
          </w:p>
          <w:p w14:paraId="14DFA1A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6248CC8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9</w:t>
            </w:r>
          </w:p>
        </w:tc>
        <w:tc>
          <w:tcPr>
            <w:tcW w:w="581" w:type="pct"/>
          </w:tcPr>
          <w:p w14:paraId="1DDAF025"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733B8F8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1" w:type="pct"/>
          </w:tcPr>
          <w:p w14:paraId="4EFD66C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6A5D10E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0F5E2644"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05B1E31E" w14:textId="77777777" w:rsidTr="006A54BC">
        <w:tc>
          <w:tcPr>
            <w:tcW w:w="738" w:type="pct"/>
          </w:tcPr>
          <w:p w14:paraId="48A0391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5.2 Economic status &amp; healthcare costs</w:t>
            </w:r>
          </w:p>
        </w:tc>
        <w:tc>
          <w:tcPr>
            <w:tcW w:w="787" w:type="pct"/>
          </w:tcPr>
          <w:p w14:paraId="45BA27C1"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How the cost of healthcare, and women's economic status may impact their PMH care journey</w:t>
            </w:r>
          </w:p>
        </w:tc>
        <w:tc>
          <w:tcPr>
            <w:tcW w:w="960" w:type="pct"/>
            <w:shd w:val="clear" w:color="auto" w:fill="auto"/>
          </w:tcPr>
          <w:p w14:paraId="1193E425"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Atif et al., 2016; Boyd et al., 2011; Cox et al., 2017; Doering et al., 2017; Ganann et al., 2019; Lomonaco-Haycraft et al., 2018; Munodawafa et al., 2017; Nakku et al., 2016; Ormsby et al., 2018</w:t>
            </w:r>
          </w:p>
          <w:p w14:paraId="71A4086D"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t>Bina, 2020; Hansotte et al., 2017; Jones, 2019; Kassam, 2019; Lucas et al., 2019; Tobin et al., 2018; Viveiros &amp; Darling, 2018</w:t>
            </w:r>
          </w:p>
          <w:p w14:paraId="3CE4252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1771FDD8"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16</w:t>
            </w:r>
          </w:p>
        </w:tc>
        <w:tc>
          <w:tcPr>
            <w:tcW w:w="581" w:type="pct"/>
          </w:tcPr>
          <w:p w14:paraId="0B24158C"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025B59A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31" w:type="pct"/>
          </w:tcPr>
          <w:p w14:paraId="058C161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6A376A4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37" w:type="pct"/>
          </w:tcPr>
          <w:p w14:paraId="6AF64B41"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Moderate confidence</w:t>
            </w:r>
          </w:p>
        </w:tc>
      </w:tr>
      <w:tr w:rsidR="00ED2CE1" w:rsidRPr="00ED2CE1" w14:paraId="2AD1797A" w14:textId="77777777" w:rsidTr="006A54BC">
        <w:tc>
          <w:tcPr>
            <w:tcW w:w="5000" w:type="pct"/>
            <w:gridSpan w:val="9"/>
            <w:shd w:val="clear" w:color="auto" w:fill="A5A5A5" w:themeFill="accent3"/>
          </w:tcPr>
          <w:p w14:paraId="1462BBF6"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7. Societal</w:t>
            </w:r>
          </w:p>
        </w:tc>
      </w:tr>
      <w:tr w:rsidR="00ED2CE1" w:rsidRPr="00ED2CE1" w14:paraId="3CD80F4F" w14:textId="77777777" w:rsidTr="006A54BC">
        <w:tc>
          <w:tcPr>
            <w:tcW w:w="738" w:type="pct"/>
          </w:tcPr>
          <w:p w14:paraId="412DFE2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7.1 Stigma</w:t>
            </w:r>
          </w:p>
        </w:tc>
        <w:tc>
          <w:tcPr>
            <w:tcW w:w="787" w:type="pct"/>
          </w:tcPr>
          <w:p w14:paraId="1C7B3CC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Stigma related to mental illness</w:t>
            </w:r>
          </w:p>
        </w:tc>
        <w:tc>
          <w:tcPr>
            <w:tcW w:w="960" w:type="pct"/>
            <w:shd w:val="clear" w:color="auto" w:fill="auto"/>
          </w:tcPr>
          <w:p w14:paraId="3ED6D996"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 xml:space="preserve">Atif et al., 2016, 2019; Boyd et al., 2011; Chartier et al., 2015; Cox et al., 2017; Feinberg et al., 2006; Higgins et al., 2018; Kerker et al., 2018; McCauley et al., 2019; McKenzie-McHarg et al., 2014; Munodawafa et al., 2017; Myors et al., 2015; Nakku et al., 2016; </w:t>
            </w:r>
            <w:r w:rsidRPr="00ED2CE1">
              <w:rPr>
                <w:rFonts w:ascii="Times New Roman" w:eastAsiaTheme="minorHAnsi" w:hAnsi="Times New Roman" w:cs="Times New Roman"/>
                <w:i/>
                <w:noProof/>
                <w:color w:val="000000"/>
                <w:kern w:val="0"/>
                <w:sz w:val="16"/>
                <w:szCs w:val="16"/>
                <w:lang w:eastAsia="en-US"/>
              </w:rPr>
              <w:lastRenderedPageBreak/>
              <w:t>Nithianandan et al., 2016; Noonan et al., 2018; O’Mahen &amp; Flynn, 2008; Shakespeare et al., 2003; Vik et al., 2009; Williams et al., 2016; Young et al., 2019</w:t>
            </w:r>
          </w:p>
          <w:p w14:paraId="536613AD"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t>Bina et al., 2018; Button et al., 2017; Dennis &amp; Chung-Lee, 2006; Giscombe et al., 2020; Hadfield &amp; Wittkowski, 2017; Hansotte et al., 2017; Hewitt et al., 2009; Holopainen &amp; Hakulinen, 2019; A. Jones, 2019; Kassam, 2019; Lucas et al., 2019; Megnin-Viggars et al., 2015; Mollard et al., 2016; Morrell et al., 2016; Nilaweera et al., 2014; Sambrook Smith et al., 2019; Schmied et al., 2017; Scope et al., 2017; Sorsa et al., 2021; Tobin et al., 2018; Viveiros &amp; Darling, 2018; Watson et al., 2019</w:t>
            </w:r>
          </w:p>
          <w:p w14:paraId="0E0DB8E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3F7C3736"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43</w:t>
            </w:r>
          </w:p>
        </w:tc>
        <w:tc>
          <w:tcPr>
            <w:tcW w:w="581" w:type="pct"/>
          </w:tcPr>
          <w:p w14:paraId="1B5EE7AA"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22EA1E7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1" w:type="pct"/>
          </w:tcPr>
          <w:p w14:paraId="0A9F1CB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151E34E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42E0959A"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28609EF4" w14:textId="77777777" w:rsidTr="006A54BC">
        <w:tc>
          <w:tcPr>
            <w:tcW w:w="738" w:type="pct"/>
          </w:tcPr>
          <w:p w14:paraId="47D025C9"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7.2 Culture</w:t>
            </w:r>
          </w:p>
        </w:tc>
        <w:tc>
          <w:tcPr>
            <w:tcW w:w="787" w:type="pct"/>
          </w:tcPr>
          <w:p w14:paraId="174672E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Cultural beliefs about mental illness and seeking and accessing help</w:t>
            </w:r>
          </w:p>
        </w:tc>
        <w:tc>
          <w:tcPr>
            <w:tcW w:w="960" w:type="pct"/>
            <w:shd w:val="clear" w:color="auto" w:fill="auto"/>
          </w:tcPr>
          <w:p w14:paraId="04B3BEF3"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22"/>
                <w:lang w:val="es-ES" w:eastAsia="en-US"/>
              </w:rPr>
            </w:pPr>
            <w:r w:rsidRPr="00ED2CE1">
              <w:rPr>
                <w:rFonts w:ascii="Times New Roman" w:eastAsiaTheme="minorHAnsi" w:hAnsi="Times New Roman" w:cs="Times New Roman"/>
                <w:i/>
                <w:color w:val="000000"/>
                <w:kern w:val="0"/>
                <w:sz w:val="16"/>
                <w:szCs w:val="22"/>
                <w:lang w:val="es-ES" w:eastAsia="en-US"/>
              </w:rPr>
              <w:t xml:space="preserve">Atif et al., 2016; Bina et al., 2018; Boyd et al., 2011; Feinberg et al., 2006; Friedman et al., 2010; Ganann et al., 2019; Higgins et al., 2018; Masood et al., 2015; McCauley et al., 2019; Nakku et al., 2016; Noonan et al., 2018; Segre et al., 2014  </w:t>
            </w:r>
          </w:p>
          <w:p w14:paraId="7EB12360" w14:textId="77777777" w:rsidR="00ED2CE1" w:rsidRPr="00ED2CE1" w:rsidRDefault="00ED2CE1" w:rsidP="00ED2CE1">
            <w:pPr>
              <w:spacing w:line="240" w:lineRule="auto"/>
              <w:ind w:firstLine="0"/>
              <w:rPr>
                <w:rFonts w:ascii="Times New Roman" w:eastAsiaTheme="minorHAnsi" w:hAnsi="Times New Roman" w:cs="Times New Roman"/>
                <w:color w:val="000000"/>
                <w:kern w:val="0"/>
                <w:sz w:val="16"/>
                <w:szCs w:val="22"/>
                <w:lang w:val="es-ES" w:eastAsia="en-US"/>
              </w:rPr>
            </w:pPr>
            <w:r w:rsidRPr="00ED2CE1">
              <w:rPr>
                <w:rFonts w:ascii="Times New Roman" w:eastAsiaTheme="minorHAnsi" w:hAnsi="Times New Roman" w:cs="Times New Roman"/>
                <w:color w:val="000000"/>
                <w:kern w:val="0"/>
                <w:sz w:val="16"/>
                <w:szCs w:val="22"/>
                <w:lang w:val="es-ES" w:eastAsia="en-US"/>
              </w:rPr>
              <w:t>Brealey et al., 2010; Button et al., 2017; Dennis &amp; Chung-Lee, 2006; Giscombe et al., 2020; Hansotte et al., 2017; Hewitt et al., 2009; Holopainen &amp; Hakulinen, 2019; Jones, 2019; Kassam, 2019; Megnin-Viggars et al., 2015; Praetorius et al., 2020; Sambrook Smith et al., 2019; Schmied et al., 2017; Staneva et al., 2015; Tobin et al., 2018; Viveiros &amp; Darling, 2018; Watson et al., 2019; Wittkowski et al., 2014</w:t>
            </w:r>
          </w:p>
          <w:p w14:paraId="6CA7156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60EE0B07"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30</w:t>
            </w:r>
          </w:p>
        </w:tc>
        <w:tc>
          <w:tcPr>
            <w:tcW w:w="581" w:type="pct"/>
          </w:tcPr>
          <w:p w14:paraId="272A054E"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Moderate confidence</w:t>
            </w:r>
          </w:p>
        </w:tc>
        <w:tc>
          <w:tcPr>
            <w:tcW w:w="470" w:type="pct"/>
          </w:tcPr>
          <w:p w14:paraId="121A3B2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1" w:type="pct"/>
          </w:tcPr>
          <w:p w14:paraId="135D363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79F6BCE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09B964E7"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r w:rsidR="00ED2CE1" w:rsidRPr="00ED2CE1" w14:paraId="62DB468F" w14:textId="77777777" w:rsidTr="006A54BC">
        <w:tc>
          <w:tcPr>
            <w:tcW w:w="738" w:type="pct"/>
          </w:tcPr>
          <w:p w14:paraId="1DBEB07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7.3 Maternal norms</w:t>
            </w:r>
          </w:p>
        </w:tc>
        <w:tc>
          <w:tcPr>
            <w:tcW w:w="787" w:type="pct"/>
          </w:tcPr>
          <w:p w14:paraId="3785679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Maternal norms of being a "good mother" and a "strong woman"</w:t>
            </w:r>
          </w:p>
        </w:tc>
        <w:tc>
          <w:tcPr>
            <w:tcW w:w="960" w:type="pct"/>
            <w:shd w:val="clear" w:color="auto" w:fill="auto"/>
          </w:tcPr>
          <w:p w14:paraId="13E36D23" w14:textId="77777777" w:rsidR="00ED2CE1" w:rsidRPr="00ED2CE1" w:rsidRDefault="00ED2CE1" w:rsidP="00ED2CE1">
            <w:pPr>
              <w:spacing w:line="240" w:lineRule="auto"/>
              <w:ind w:firstLine="0"/>
              <w:rPr>
                <w:rFonts w:ascii="Times New Roman" w:eastAsiaTheme="minorHAnsi" w:hAnsi="Times New Roman" w:cs="Times New Roman"/>
                <w:i/>
                <w:color w:val="000000"/>
                <w:kern w:val="0"/>
                <w:sz w:val="16"/>
                <w:szCs w:val="16"/>
                <w:lang w:eastAsia="en-US"/>
              </w:rPr>
            </w:pPr>
            <w:r w:rsidRPr="00ED2CE1">
              <w:rPr>
                <w:rFonts w:ascii="Times New Roman" w:eastAsiaTheme="minorHAnsi" w:hAnsi="Times New Roman" w:cs="Times New Roman"/>
                <w:i/>
                <w:noProof/>
                <w:color w:val="000000"/>
                <w:kern w:val="0"/>
                <w:sz w:val="16"/>
                <w:szCs w:val="16"/>
                <w:lang w:eastAsia="en-US"/>
              </w:rPr>
              <w:t>Shakespeare et al., 2003; Williams et al., 2016</w:t>
            </w:r>
          </w:p>
          <w:p w14:paraId="16DE9F6D" w14:textId="77777777" w:rsidR="00ED2CE1" w:rsidRPr="00ED2CE1" w:rsidRDefault="00ED2CE1" w:rsidP="00ED2CE1">
            <w:pPr>
              <w:spacing w:line="240" w:lineRule="auto"/>
              <w:ind w:firstLine="0"/>
              <w:rPr>
                <w:rFonts w:ascii="Times New Roman" w:eastAsiaTheme="minorHAnsi" w:hAnsi="Times New Roman" w:cs="Times New Roman"/>
                <w:noProof/>
                <w:color w:val="000000"/>
                <w:kern w:val="0"/>
                <w:sz w:val="16"/>
                <w:szCs w:val="16"/>
                <w:lang w:eastAsia="en-US"/>
              </w:rPr>
            </w:pPr>
            <w:r w:rsidRPr="00ED2CE1">
              <w:rPr>
                <w:rFonts w:ascii="Times New Roman" w:eastAsiaTheme="minorHAnsi" w:hAnsi="Times New Roman" w:cs="Times New Roman"/>
                <w:noProof/>
                <w:color w:val="000000"/>
                <w:kern w:val="0"/>
                <w:sz w:val="16"/>
                <w:szCs w:val="16"/>
                <w:lang w:eastAsia="en-US"/>
              </w:rPr>
              <w:lastRenderedPageBreak/>
              <w:t>Bina, 2020; Brealey et al., 2010; Button et al., 2017; Dennis &amp; Chung-Lee, 2006; Hadfield &amp; Wittkowski, 2017; Hansotte et al., 2017; Hewitt et al., 2009; Holopainen &amp; Hakulinen, 2019; Jones et al., 2014; Kassam, 2019; Lucas et al., 2019; Megnin-Viggars et al., 2015; Mollard et al., 2016; Newman et al., 2019; Nilaweera et al., 2014; Praetorius et al., 2020; Sambrook Smith et al., 2019; Schmied et al., 2017; Slade et al., 2020; Sorsa et al., 2021; Staneva et al., 2015; Viveiros &amp; Darling, 2018; Watson et al., 2019</w:t>
            </w:r>
          </w:p>
          <w:p w14:paraId="7596C58D"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color w:val="000000"/>
                <w:kern w:val="0"/>
                <w:sz w:val="16"/>
                <w:szCs w:val="16"/>
                <w:lang w:eastAsia="en-US"/>
              </w:rPr>
              <w:t>SH</w:t>
            </w:r>
          </w:p>
        </w:tc>
        <w:tc>
          <w:tcPr>
            <w:tcW w:w="160" w:type="pct"/>
            <w:shd w:val="clear" w:color="auto" w:fill="auto"/>
          </w:tcPr>
          <w:p w14:paraId="3425B1D4"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lastRenderedPageBreak/>
              <w:t>26</w:t>
            </w:r>
          </w:p>
        </w:tc>
        <w:tc>
          <w:tcPr>
            <w:tcW w:w="581" w:type="pct"/>
          </w:tcPr>
          <w:p w14:paraId="2523D262"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Low confidence</w:t>
            </w:r>
          </w:p>
        </w:tc>
        <w:tc>
          <w:tcPr>
            <w:tcW w:w="470" w:type="pct"/>
          </w:tcPr>
          <w:p w14:paraId="6A4AAE33"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1" w:type="pct"/>
          </w:tcPr>
          <w:p w14:paraId="4E09C7F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6" w:type="pct"/>
          </w:tcPr>
          <w:p w14:paraId="684A69EF" w14:textId="77777777" w:rsidR="00ED2CE1" w:rsidRPr="00ED2CE1" w:rsidRDefault="00ED2CE1" w:rsidP="00ED2CE1">
            <w:pPr>
              <w:spacing w:line="240" w:lineRule="auto"/>
              <w:ind w:firstLine="0"/>
              <w:rPr>
                <w:rFonts w:ascii="Times New Roman" w:eastAsiaTheme="minorHAnsi" w:hAnsi="Times New Roman" w:cs="Times New Roman"/>
                <w:kern w:val="0"/>
                <w:sz w:val="16"/>
                <w:szCs w:val="16"/>
                <w:lang w:eastAsia="en-US"/>
              </w:rPr>
            </w:pPr>
            <w:r w:rsidRPr="00ED2CE1">
              <w:rPr>
                <w:rFonts w:ascii="Times New Roman" w:eastAsiaTheme="minorHAnsi" w:hAnsi="Times New Roman" w:cs="Times New Roman"/>
                <w:kern w:val="0"/>
                <w:sz w:val="16"/>
                <w:szCs w:val="16"/>
                <w:lang w:eastAsia="en-US"/>
              </w:rPr>
              <w:t>High confidence</w:t>
            </w:r>
          </w:p>
        </w:tc>
        <w:tc>
          <w:tcPr>
            <w:tcW w:w="437" w:type="pct"/>
          </w:tcPr>
          <w:p w14:paraId="09CEF009" w14:textId="77777777" w:rsidR="00ED2CE1" w:rsidRPr="00ED2CE1" w:rsidRDefault="00ED2CE1" w:rsidP="00ED2CE1">
            <w:pPr>
              <w:spacing w:line="240" w:lineRule="auto"/>
              <w:ind w:firstLine="0"/>
              <w:rPr>
                <w:rFonts w:ascii="Times New Roman" w:eastAsiaTheme="minorHAnsi" w:hAnsi="Times New Roman" w:cs="Times New Roman"/>
                <w:b/>
                <w:bCs/>
                <w:kern w:val="0"/>
                <w:sz w:val="16"/>
                <w:szCs w:val="16"/>
                <w:lang w:eastAsia="en-US"/>
              </w:rPr>
            </w:pPr>
            <w:r w:rsidRPr="00ED2CE1">
              <w:rPr>
                <w:rFonts w:ascii="Times New Roman" w:eastAsiaTheme="minorHAnsi" w:hAnsi="Times New Roman" w:cs="Times New Roman"/>
                <w:b/>
                <w:bCs/>
                <w:kern w:val="0"/>
                <w:sz w:val="16"/>
                <w:szCs w:val="16"/>
                <w:lang w:eastAsia="en-US"/>
              </w:rPr>
              <w:t>High confidence</w:t>
            </w:r>
          </w:p>
        </w:tc>
      </w:tr>
    </w:tbl>
    <w:p w14:paraId="626F7956" w14:textId="77777777" w:rsidR="00D02261" w:rsidRDefault="00D02261" w:rsidP="00D02261">
      <w:pPr>
        <w:ind w:firstLine="0"/>
        <w:rPr>
          <w:lang w:eastAsia="en-US"/>
        </w:rPr>
      </w:pPr>
    </w:p>
    <w:p w14:paraId="40865807" w14:textId="77777777" w:rsidR="00D02261" w:rsidRPr="00D02261" w:rsidRDefault="00D02261" w:rsidP="00D02261">
      <w:pPr>
        <w:ind w:firstLine="0"/>
        <w:rPr>
          <w:lang w:eastAsia="en-US"/>
        </w:rPr>
      </w:pPr>
    </w:p>
    <w:p w14:paraId="3EC91E0D" w14:textId="7D159211" w:rsidR="007B1560" w:rsidRPr="00265687" w:rsidRDefault="007B1560" w:rsidP="00BE7DC4">
      <w:pPr>
        <w:spacing w:line="240" w:lineRule="auto"/>
        <w:ind w:firstLine="0"/>
        <w:rPr>
          <w:rFonts w:ascii="Times New Roman" w:hAnsi="Times New Roman" w:cs="Times New Roman"/>
        </w:rPr>
      </w:pPr>
      <w:r w:rsidRPr="00265687">
        <w:rPr>
          <w:rFonts w:ascii="Times New Roman" w:hAnsi="Times New Roman" w:cs="Times New Roman"/>
        </w:rPr>
        <w:br w:type="page"/>
      </w:r>
    </w:p>
    <w:p w14:paraId="27686D9B" w14:textId="6975663D" w:rsidR="006B2564" w:rsidRPr="00265687" w:rsidRDefault="00367A93" w:rsidP="00AA1602">
      <w:pPr>
        <w:pStyle w:val="Heading1"/>
        <w:rPr>
          <w:rFonts w:ascii="Times New Roman" w:hAnsi="Times New Roman" w:cs="Times New Roman"/>
          <w:color w:val="auto"/>
          <w:sz w:val="24"/>
          <w:szCs w:val="24"/>
        </w:rPr>
      </w:pPr>
      <w:bookmarkStart w:id="7" w:name="_Toc108781725"/>
      <w:r>
        <w:rPr>
          <w:rFonts w:ascii="Times New Roman" w:hAnsi="Times New Roman" w:cs="Times New Roman"/>
          <w:i/>
          <w:iCs/>
          <w:color w:val="auto"/>
          <w:sz w:val="24"/>
          <w:szCs w:val="24"/>
        </w:rPr>
        <w:lastRenderedPageBreak/>
        <w:t>Supplementary Materials</w:t>
      </w:r>
      <w:r w:rsidR="006B2564" w:rsidRPr="00265687">
        <w:rPr>
          <w:rFonts w:ascii="Times New Roman" w:hAnsi="Times New Roman" w:cs="Times New Roman"/>
          <w:i/>
          <w:iCs/>
          <w:color w:val="auto"/>
          <w:sz w:val="24"/>
          <w:szCs w:val="24"/>
        </w:rPr>
        <w:t xml:space="preserve"> </w:t>
      </w:r>
      <w:r w:rsidR="00ED2CE1">
        <w:rPr>
          <w:rFonts w:ascii="Times New Roman" w:hAnsi="Times New Roman" w:cs="Times New Roman"/>
          <w:i/>
          <w:iCs/>
          <w:color w:val="auto"/>
          <w:sz w:val="24"/>
          <w:szCs w:val="24"/>
        </w:rPr>
        <w:t>6</w:t>
      </w:r>
      <w:r>
        <w:rPr>
          <w:rFonts w:ascii="Times New Roman" w:hAnsi="Times New Roman" w:cs="Times New Roman"/>
          <w:i/>
          <w:iCs/>
          <w:color w:val="auto"/>
          <w:sz w:val="24"/>
          <w:szCs w:val="24"/>
        </w:rPr>
        <w:t>:</w:t>
      </w:r>
      <w:r w:rsidR="006B2564" w:rsidRPr="00265687">
        <w:rPr>
          <w:rFonts w:ascii="Times New Roman" w:hAnsi="Times New Roman" w:cs="Times New Roman"/>
          <w:color w:val="auto"/>
          <w:sz w:val="24"/>
          <w:szCs w:val="24"/>
        </w:rPr>
        <w:t xml:space="preserve"> </w:t>
      </w:r>
      <w:r w:rsidR="008836AA" w:rsidRPr="00265687">
        <w:rPr>
          <w:rFonts w:ascii="Times New Roman" w:hAnsi="Times New Roman" w:cs="Times New Roman"/>
          <w:color w:val="auto"/>
          <w:sz w:val="24"/>
          <w:szCs w:val="24"/>
        </w:rPr>
        <w:t>GRADE-CERQual Adequacy rating table</w:t>
      </w:r>
      <w:bookmarkEnd w:id="7"/>
    </w:p>
    <w:tbl>
      <w:tblPr>
        <w:tblStyle w:val="TableGridLight"/>
        <w:tblW w:w="4826" w:type="pct"/>
        <w:tblLook w:val="04A0" w:firstRow="1" w:lastRow="0" w:firstColumn="1" w:lastColumn="0" w:noHBand="0" w:noVBand="1"/>
      </w:tblPr>
      <w:tblGrid>
        <w:gridCol w:w="662"/>
        <w:gridCol w:w="3543"/>
        <w:gridCol w:w="1866"/>
        <w:gridCol w:w="1686"/>
        <w:gridCol w:w="2593"/>
        <w:gridCol w:w="3113"/>
      </w:tblGrid>
      <w:tr w:rsidR="0021519F" w:rsidRPr="0021519F" w14:paraId="613F63CC" w14:textId="77777777" w:rsidTr="0021519F">
        <w:tc>
          <w:tcPr>
            <w:tcW w:w="246" w:type="pct"/>
            <w:shd w:val="clear" w:color="auto" w:fill="A6A6A6" w:themeFill="background1" w:themeFillShade="A6"/>
          </w:tcPr>
          <w:p w14:paraId="752F8693" w14:textId="77777777" w:rsidR="0021519F" w:rsidRPr="0021519F" w:rsidRDefault="0021519F" w:rsidP="0021519F">
            <w:pPr>
              <w:pStyle w:val="ListParagraph"/>
              <w:spacing w:after="0" w:line="240" w:lineRule="auto"/>
              <w:ind w:left="0"/>
              <w:rPr>
                <w:rFonts w:ascii="Times New Roman" w:hAnsi="Times New Roman" w:cs="Times New Roman"/>
                <w:b/>
                <w:bCs/>
                <w:color w:val="FFFFFF" w:themeColor="background1"/>
                <w:sz w:val="16"/>
                <w:szCs w:val="16"/>
              </w:rPr>
            </w:pPr>
            <w:r w:rsidRPr="0021519F">
              <w:rPr>
                <w:rFonts w:ascii="Times New Roman" w:hAnsi="Times New Roman" w:cs="Times New Roman"/>
                <w:sz w:val="16"/>
                <w:szCs w:val="16"/>
              </w:rPr>
              <w:t>Source</w:t>
            </w:r>
          </w:p>
          <w:p w14:paraId="3B4AAAB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316" w:type="pct"/>
            <w:shd w:val="clear" w:color="auto" w:fill="A6A6A6" w:themeFill="background1" w:themeFillShade="A6"/>
          </w:tcPr>
          <w:p w14:paraId="3A84FFE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Theme</w:t>
            </w:r>
          </w:p>
        </w:tc>
        <w:tc>
          <w:tcPr>
            <w:tcW w:w="693" w:type="pct"/>
            <w:shd w:val="clear" w:color="auto" w:fill="A6A6A6" w:themeFill="background1" w:themeFillShade="A6"/>
          </w:tcPr>
          <w:p w14:paraId="1B59582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Summary of review finding</w:t>
            </w:r>
          </w:p>
        </w:tc>
        <w:tc>
          <w:tcPr>
            <w:tcW w:w="626" w:type="pct"/>
            <w:shd w:val="clear" w:color="auto" w:fill="A6A6A6" w:themeFill="background1" w:themeFillShade="A6"/>
          </w:tcPr>
          <w:p w14:paraId="4D98460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Studies contributing to finding</w:t>
            </w:r>
          </w:p>
        </w:tc>
        <w:tc>
          <w:tcPr>
            <w:tcW w:w="963" w:type="pct"/>
            <w:shd w:val="clear" w:color="auto" w:fill="A6A6A6" w:themeFill="background1" w:themeFillShade="A6"/>
          </w:tcPr>
          <w:p w14:paraId="65C2932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Adequacy</w:t>
            </w:r>
          </w:p>
        </w:tc>
        <w:tc>
          <w:tcPr>
            <w:tcW w:w="1156" w:type="pct"/>
            <w:shd w:val="clear" w:color="auto" w:fill="A6A6A6" w:themeFill="background1" w:themeFillShade="A6"/>
          </w:tcPr>
          <w:p w14:paraId="7493B2C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Overall rating</w:t>
            </w:r>
          </w:p>
        </w:tc>
      </w:tr>
      <w:tr w:rsidR="0021519F" w:rsidRPr="0021519F" w14:paraId="67A44764" w14:textId="77777777" w:rsidTr="006A54BC">
        <w:tc>
          <w:tcPr>
            <w:tcW w:w="246" w:type="pct"/>
          </w:tcPr>
          <w:p w14:paraId="57E476BA"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1</w:t>
            </w:r>
          </w:p>
        </w:tc>
        <w:tc>
          <w:tcPr>
            <w:tcW w:w="1316" w:type="pct"/>
          </w:tcPr>
          <w:p w14:paraId="72ABB3C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Additional personal difficulties</w:t>
            </w:r>
          </w:p>
        </w:tc>
        <w:tc>
          <w:tcPr>
            <w:tcW w:w="693" w:type="pct"/>
          </w:tcPr>
          <w:p w14:paraId="401DD7C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Difficulties that women may have that are not related to perinatal mental illness, such as poverty can prevent successful service implementation</w:t>
            </w:r>
          </w:p>
        </w:tc>
        <w:tc>
          <w:tcPr>
            <w:tcW w:w="626" w:type="pct"/>
          </w:tcPr>
          <w:p w14:paraId="53ECB7F3"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Ganann 2019</w:t>
            </w:r>
          </w:p>
          <w:p w14:paraId="3B59D55F"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Rowan 2010</w:t>
            </w:r>
          </w:p>
          <w:p w14:paraId="005B6D2A"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Kerker 2018</w:t>
            </w:r>
          </w:p>
          <w:p w14:paraId="4E779AF4"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Munodawafa 2017</w:t>
            </w:r>
          </w:p>
          <w:p w14:paraId="5D807368"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Williams 2016</w:t>
            </w:r>
          </w:p>
          <w:p w14:paraId="23D8532C"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Atif 2016</w:t>
            </w:r>
          </w:p>
          <w:p w14:paraId="3CFB7229"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Atif 2020</w:t>
            </w:r>
          </w:p>
          <w:p w14:paraId="15576B0F"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Boyd 2011</w:t>
            </w:r>
          </w:p>
          <w:p w14:paraId="55B2E1F5" w14:textId="77777777" w:rsidR="0021519F" w:rsidRPr="0021519F" w:rsidRDefault="0021519F" w:rsidP="0021519F">
            <w:pPr>
              <w:spacing w:line="240" w:lineRule="auto"/>
              <w:ind w:firstLine="0"/>
              <w:jc w:val="both"/>
              <w:rPr>
                <w:rFonts w:ascii="Times New Roman" w:hAnsi="Times New Roman" w:cs="Times New Roman"/>
                <w:sz w:val="16"/>
                <w:szCs w:val="16"/>
              </w:rPr>
            </w:pPr>
            <w:r w:rsidRPr="0021519F">
              <w:rPr>
                <w:rFonts w:ascii="Times New Roman" w:hAnsi="Times New Roman" w:cs="Times New Roman"/>
                <w:sz w:val="16"/>
                <w:szCs w:val="16"/>
              </w:rPr>
              <w:t>Cox 2017</w:t>
            </w:r>
          </w:p>
          <w:p w14:paraId="4A936718" w14:textId="77777777" w:rsidR="0021519F" w:rsidRPr="0021519F" w:rsidRDefault="0021519F" w:rsidP="0021519F">
            <w:pPr>
              <w:pStyle w:val="ListParagraph"/>
              <w:spacing w:after="0" w:line="240" w:lineRule="auto"/>
              <w:ind w:left="0"/>
              <w:jc w:val="both"/>
              <w:rPr>
                <w:rFonts w:ascii="Times New Roman" w:hAnsi="Times New Roman" w:cs="Times New Roman"/>
                <w:sz w:val="16"/>
                <w:szCs w:val="16"/>
              </w:rPr>
            </w:pPr>
            <w:r w:rsidRPr="0021519F">
              <w:rPr>
                <w:rFonts w:ascii="Times New Roman" w:hAnsi="Times New Roman" w:cs="Times New Roman"/>
                <w:sz w:val="16"/>
                <w:szCs w:val="16"/>
              </w:rPr>
              <w:t>Nakku 2016</w:t>
            </w:r>
          </w:p>
        </w:tc>
        <w:tc>
          <w:tcPr>
            <w:tcW w:w="963" w:type="pct"/>
          </w:tcPr>
          <w:p w14:paraId="13E6DD9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 </w:t>
            </w:r>
            <w:r w:rsidRPr="0021519F">
              <w:rPr>
                <w:rFonts w:ascii="Times New Roman" w:hAnsi="Times New Roman" w:cs="Times New Roman"/>
                <w:sz w:val="16"/>
                <w:szCs w:val="16"/>
              </w:rPr>
              <w:t>Rowan, Kerker and Cox – vague, descriptive data</w:t>
            </w:r>
          </w:p>
          <w:p w14:paraId="1ACE88A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 </w:t>
            </w:r>
            <w:r w:rsidRPr="0021519F">
              <w:rPr>
                <w:rFonts w:ascii="Times New Roman" w:hAnsi="Times New Roman" w:cs="Times New Roman"/>
                <w:sz w:val="16"/>
                <w:szCs w:val="16"/>
              </w:rPr>
              <w:t xml:space="preserve"> 10 studies</w:t>
            </w:r>
          </w:p>
        </w:tc>
        <w:tc>
          <w:tcPr>
            <w:tcW w:w="1156" w:type="pct"/>
          </w:tcPr>
          <w:p w14:paraId="005C152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Minor – most studies provide rich relevant data, and there are a large amount of supporting studies</w:t>
            </w:r>
          </w:p>
        </w:tc>
      </w:tr>
      <w:tr w:rsidR="0021519F" w:rsidRPr="0021519F" w14:paraId="712BA93D" w14:textId="77777777" w:rsidTr="006A54BC">
        <w:tc>
          <w:tcPr>
            <w:tcW w:w="246" w:type="pct"/>
          </w:tcPr>
          <w:p w14:paraId="2453B97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1</w:t>
            </w:r>
          </w:p>
        </w:tc>
        <w:tc>
          <w:tcPr>
            <w:tcW w:w="1316" w:type="pct"/>
            <w:vMerge w:val="restart"/>
          </w:tcPr>
          <w:p w14:paraId="3AFE24C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Family</w:t>
            </w:r>
          </w:p>
          <w:p w14:paraId="42D5C26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Family and friends</w:t>
            </w:r>
          </w:p>
        </w:tc>
        <w:tc>
          <w:tcPr>
            <w:tcW w:w="693" w:type="pct"/>
            <w:vMerge w:val="restart"/>
          </w:tcPr>
          <w:p w14:paraId="1D8EE62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Negative beliefs from women’s family and friends can prevent successful implementation, help-seeking and women’s access to services</w:t>
            </w:r>
          </w:p>
        </w:tc>
        <w:tc>
          <w:tcPr>
            <w:tcW w:w="626" w:type="pct"/>
          </w:tcPr>
          <w:p w14:paraId="0E1FEA4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2016</w:t>
            </w:r>
          </w:p>
          <w:p w14:paraId="796BF25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p w14:paraId="3D3D158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 2011</w:t>
            </w:r>
          </w:p>
          <w:p w14:paraId="6B6FA3B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 2017</w:t>
            </w:r>
          </w:p>
          <w:p w14:paraId="34E9D01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 2019</w:t>
            </w:r>
          </w:p>
          <w:p w14:paraId="08E01BC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 2018</w:t>
            </w:r>
          </w:p>
          <w:p w14:paraId="189687F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 2015</w:t>
            </w:r>
          </w:p>
          <w:p w14:paraId="61EA22E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Nakku 2016</w:t>
            </w:r>
          </w:p>
          <w:p w14:paraId="6E4A0FD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2A4FC5F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51695FA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 mahen</w:t>
            </w:r>
          </w:p>
          <w:p w14:paraId="52867C5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Pineros Leano</w:t>
            </w:r>
          </w:p>
          <w:p w14:paraId="0C5D72D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p w14:paraId="780C973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 2009</w:t>
            </w:r>
          </w:p>
          <w:p w14:paraId="16133B9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Young 2019</w:t>
            </w:r>
          </w:p>
        </w:tc>
        <w:tc>
          <w:tcPr>
            <w:tcW w:w="963" w:type="pct"/>
            <w:vMerge w:val="restart"/>
          </w:tcPr>
          <w:p w14:paraId="7AE27C8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  </w:t>
            </w:r>
            <w:r w:rsidRPr="0021519F">
              <w:rPr>
                <w:rFonts w:ascii="Times New Roman" w:hAnsi="Times New Roman" w:cs="Times New Roman"/>
                <w:sz w:val="16"/>
                <w:szCs w:val="16"/>
              </w:rPr>
              <w:t>Higgins was very vague, reported as a stat. Hansotte was a bit vague. Viveiros is not detailed</w:t>
            </w:r>
          </w:p>
          <w:p w14:paraId="5DD125D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 </w:t>
            </w:r>
            <w:r w:rsidRPr="0021519F">
              <w:rPr>
                <w:rFonts w:ascii="Times New Roman" w:hAnsi="Times New Roman" w:cs="Times New Roman"/>
                <w:sz w:val="16"/>
                <w:szCs w:val="16"/>
              </w:rPr>
              <w:t xml:space="preserve"> 30 studies</w:t>
            </w:r>
          </w:p>
        </w:tc>
        <w:tc>
          <w:tcPr>
            <w:tcW w:w="1156" w:type="pct"/>
            <w:vMerge w:val="restart"/>
          </w:tcPr>
          <w:p w14:paraId="3BA62D7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 to very minor - </w:t>
            </w:r>
            <w:r w:rsidRPr="0021519F">
              <w:rPr>
                <w:rFonts w:ascii="Times New Roman" w:hAnsi="Times New Roman" w:cs="Times New Roman"/>
                <w:sz w:val="16"/>
                <w:szCs w:val="16"/>
              </w:rPr>
              <w:t xml:space="preserve"> 30 studies, majority are very rich in data, very descriptive </w:t>
            </w:r>
          </w:p>
        </w:tc>
      </w:tr>
      <w:tr w:rsidR="0021519F" w:rsidRPr="0021519F" w14:paraId="4E119D62" w14:textId="77777777" w:rsidTr="006A54BC">
        <w:tc>
          <w:tcPr>
            <w:tcW w:w="246" w:type="pct"/>
          </w:tcPr>
          <w:p w14:paraId="3308760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vMerge/>
          </w:tcPr>
          <w:p w14:paraId="66A4E7E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5F6137F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2FAD27F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Dennis &amp; Chung-Lee, 2006; Forde et al., 2020; Hadfield &amp; Wittkowski, 2017; Hansotte et al., 2017; Holopainen &amp; Hakulinen, 2019; Jones, 2019; Lucas et al., 2019; Nilaweera et al., 2014; Schmied et al., 2017; Smith et al., 2019; Sorsa et al., 2021; Viveiros &amp; Darling, 2018; Watson et al., 2019</w:t>
            </w:r>
          </w:p>
        </w:tc>
        <w:tc>
          <w:tcPr>
            <w:tcW w:w="963" w:type="pct"/>
            <w:vMerge/>
          </w:tcPr>
          <w:p w14:paraId="20E421A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6AEAD59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6399B93B" w14:textId="77777777" w:rsidTr="006A54BC">
        <w:tc>
          <w:tcPr>
            <w:tcW w:w="246" w:type="pct"/>
          </w:tcPr>
          <w:p w14:paraId="14CF9F0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7C14B4F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Social isolation</w:t>
            </w:r>
          </w:p>
        </w:tc>
        <w:tc>
          <w:tcPr>
            <w:tcW w:w="693" w:type="pct"/>
          </w:tcPr>
          <w:p w14:paraId="4170723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Social isolation can exacerbate women’s symptoms, but can also </w:t>
            </w:r>
            <w:r w:rsidRPr="0021519F">
              <w:rPr>
                <w:rFonts w:ascii="Times New Roman" w:hAnsi="Times New Roman" w:cs="Times New Roman"/>
                <w:sz w:val="16"/>
                <w:szCs w:val="16"/>
              </w:rPr>
              <w:lastRenderedPageBreak/>
              <w:t>be exacerbated by social isolation. This can affect help seeking and women’s experiences of care</w:t>
            </w:r>
          </w:p>
        </w:tc>
        <w:tc>
          <w:tcPr>
            <w:tcW w:w="626" w:type="pct"/>
          </w:tcPr>
          <w:p w14:paraId="11DB01F3"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lastRenderedPageBreak/>
              <w:t>Bina, 2020; Giscombe et al., 2020;</w:t>
            </w:r>
          </w:p>
          <w:p w14:paraId="19E689D1"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 xml:space="preserve">Jones, 2019; </w:t>
            </w:r>
          </w:p>
          <w:p w14:paraId="3C41D5CB"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lastRenderedPageBreak/>
              <w:t xml:space="preserve">Jones et al., 2014; </w:t>
            </w:r>
          </w:p>
          <w:p w14:paraId="44B38F6F"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Kassam, 2019;</w:t>
            </w:r>
          </w:p>
          <w:p w14:paraId="37926220"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 xml:space="preserve">Tobin et al., 2018; </w:t>
            </w:r>
          </w:p>
          <w:p w14:paraId="05CB4670"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Viveiros &amp; Darling, 2018</w:t>
            </w:r>
          </w:p>
          <w:p w14:paraId="6259DDE0"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Watson</w:t>
            </w:r>
          </w:p>
          <w:p w14:paraId="2CA1B424"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tc>
        <w:tc>
          <w:tcPr>
            <w:tcW w:w="963" w:type="pct"/>
          </w:tcPr>
          <w:p w14:paraId="528893C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 </w:t>
            </w:r>
            <w:r w:rsidRPr="0021519F">
              <w:rPr>
                <w:rFonts w:ascii="Times New Roman" w:hAnsi="Times New Roman" w:cs="Times New Roman"/>
                <w:sz w:val="16"/>
                <w:szCs w:val="16"/>
              </w:rPr>
              <w:t xml:space="preserve"> bina not rich, one statement, viveiros statement, jones 19 3 words</w:t>
            </w:r>
          </w:p>
          <w:p w14:paraId="5C9A3D2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Quantity = </w:t>
            </w:r>
            <w:r w:rsidRPr="0021519F">
              <w:rPr>
                <w:rFonts w:ascii="Times New Roman" w:hAnsi="Times New Roman" w:cs="Times New Roman"/>
                <w:sz w:val="16"/>
                <w:szCs w:val="16"/>
              </w:rPr>
              <w:t xml:space="preserve">8 </w:t>
            </w:r>
          </w:p>
        </w:tc>
        <w:tc>
          <w:tcPr>
            <w:tcW w:w="1156" w:type="pct"/>
          </w:tcPr>
          <w:p w14:paraId="2429687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Moderate - </w:t>
            </w:r>
            <w:r w:rsidRPr="0021519F">
              <w:rPr>
                <w:rFonts w:ascii="Times New Roman" w:hAnsi="Times New Roman" w:cs="Times New Roman"/>
                <w:sz w:val="16"/>
                <w:szCs w:val="16"/>
              </w:rPr>
              <w:t xml:space="preserve"> 3 very non descriptive studies, but the rest are fine, 8 is a fair quantity but I </w:t>
            </w:r>
            <w:r w:rsidRPr="0021519F">
              <w:rPr>
                <w:rFonts w:ascii="Times New Roman" w:hAnsi="Times New Roman" w:cs="Times New Roman"/>
                <w:sz w:val="16"/>
                <w:szCs w:val="16"/>
              </w:rPr>
              <w:lastRenderedPageBreak/>
              <w:t xml:space="preserve">think with so many studies included it is still a small amount </w:t>
            </w:r>
          </w:p>
        </w:tc>
      </w:tr>
      <w:tr w:rsidR="0021519F" w:rsidRPr="0021519F" w14:paraId="0B287041" w14:textId="77777777" w:rsidTr="006A54BC">
        <w:tc>
          <w:tcPr>
            <w:tcW w:w="246" w:type="pct"/>
          </w:tcPr>
          <w:p w14:paraId="1B63ED05"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lastRenderedPageBreak/>
              <w:t>1</w:t>
            </w:r>
          </w:p>
        </w:tc>
        <w:tc>
          <w:tcPr>
            <w:tcW w:w="1316" w:type="pct"/>
          </w:tcPr>
          <w:p w14:paraId="6388917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Beliefs about the causes of mental illness</w:t>
            </w:r>
          </w:p>
        </w:tc>
        <w:tc>
          <w:tcPr>
            <w:tcW w:w="693" w:type="pct"/>
            <w:vMerge w:val="restart"/>
          </w:tcPr>
          <w:p w14:paraId="0941420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When women believe their symptoms are caused by a biological predisposition, or that their symptoms are caused by spiritual, physical or external factors, or are a normal response to motherhood this hinders implementation and prevents women help seeking and accessing services. </w:t>
            </w:r>
          </w:p>
        </w:tc>
        <w:tc>
          <w:tcPr>
            <w:tcW w:w="626" w:type="pct"/>
          </w:tcPr>
          <w:p w14:paraId="278D9D3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O'Mahen 2015</w:t>
            </w:r>
          </w:p>
          <w:p w14:paraId="7ED52F0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Feinberg 2006</w:t>
            </w:r>
          </w:p>
        </w:tc>
        <w:tc>
          <w:tcPr>
            <w:tcW w:w="963" w:type="pct"/>
          </w:tcPr>
          <w:p w14:paraId="537B116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 </w:t>
            </w:r>
            <w:r w:rsidRPr="0021519F">
              <w:rPr>
                <w:rFonts w:ascii="Times New Roman" w:hAnsi="Times New Roman" w:cs="Times New Roman"/>
                <w:sz w:val="16"/>
                <w:szCs w:val="16"/>
              </w:rPr>
              <w:t xml:space="preserve"> both are rich</w:t>
            </w:r>
          </w:p>
          <w:p w14:paraId="3356F2F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 </w:t>
            </w:r>
            <w:r w:rsidRPr="0021519F">
              <w:rPr>
                <w:rFonts w:ascii="Times New Roman" w:hAnsi="Times New Roman" w:cs="Times New Roman"/>
                <w:sz w:val="16"/>
                <w:szCs w:val="16"/>
              </w:rPr>
              <w:t xml:space="preserve"> 2 - poor</w:t>
            </w:r>
          </w:p>
        </w:tc>
        <w:tc>
          <w:tcPr>
            <w:tcW w:w="1156" w:type="pct"/>
          </w:tcPr>
          <w:p w14:paraId="29B4763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rich, but not enough studies</w:t>
            </w:r>
          </w:p>
        </w:tc>
      </w:tr>
      <w:tr w:rsidR="0021519F" w:rsidRPr="0021519F" w14:paraId="7858D1AA" w14:textId="77777777" w:rsidTr="006A54BC">
        <w:tc>
          <w:tcPr>
            <w:tcW w:w="246" w:type="pct"/>
          </w:tcPr>
          <w:p w14:paraId="296737A5"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77CE7A1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Spiritual</w:t>
            </w:r>
          </w:p>
        </w:tc>
        <w:tc>
          <w:tcPr>
            <w:tcW w:w="693" w:type="pct"/>
            <w:vMerge/>
          </w:tcPr>
          <w:p w14:paraId="472F040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71BA263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Schmied et al., 2017; Wittkowski et al., 2014</w:t>
            </w:r>
          </w:p>
        </w:tc>
        <w:tc>
          <w:tcPr>
            <w:tcW w:w="963" w:type="pct"/>
          </w:tcPr>
          <w:p w14:paraId="0D598D4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b/>
                <w:bCs/>
                <w:sz w:val="16"/>
                <w:szCs w:val="16"/>
              </w:rPr>
              <w:softHyphen/>
            </w:r>
            <w:r w:rsidRPr="0021519F">
              <w:rPr>
                <w:rFonts w:ascii="Times New Roman" w:hAnsi="Times New Roman" w:cs="Times New Roman"/>
                <w:sz w:val="16"/>
                <w:szCs w:val="16"/>
              </w:rPr>
              <w:t>fine, less rich than above</w:t>
            </w:r>
          </w:p>
          <w:p w14:paraId="3F8DFA1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 2</w:t>
            </w:r>
          </w:p>
        </w:tc>
        <w:tc>
          <w:tcPr>
            <w:tcW w:w="1156" w:type="pct"/>
          </w:tcPr>
          <w:p w14:paraId="44BF422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Serious: </w:t>
            </w:r>
            <w:r w:rsidRPr="0021519F">
              <w:rPr>
                <w:rFonts w:ascii="Times New Roman" w:hAnsi="Times New Roman" w:cs="Times New Roman"/>
                <w:sz w:val="16"/>
                <w:szCs w:val="16"/>
              </w:rPr>
              <w:t xml:space="preserve"> rich but not as rich as above and only 2 studies</w:t>
            </w:r>
          </w:p>
        </w:tc>
      </w:tr>
      <w:tr w:rsidR="0021519F" w:rsidRPr="0021519F" w14:paraId="73BBE8E8" w14:textId="77777777" w:rsidTr="006A54BC">
        <w:tc>
          <w:tcPr>
            <w:tcW w:w="246" w:type="pct"/>
          </w:tcPr>
          <w:p w14:paraId="02705342"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2A36BF0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External</w:t>
            </w:r>
          </w:p>
        </w:tc>
        <w:tc>
          <w:tcPr>
            <w:tcW w:w="693" w:type="pct"/>
            <w:vMerge/>
          </w:tcPr>
          <w:p w14:paraId="114C38C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342B201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Dennis &amp; Chung-Lee, 2006; Lucas et al., 2019; Schmied et al., 2017; Staneva et al., 2015; Tobin et al., 2018; Watson et al., 2019</w:t>
            </w:r>
          </w:p>
        </w:tc>
        <w:tc>
          <w:tcPr>
            <w:tcW w:w="963" w:type="pct"/>
          </w:tcPr>
          <w:p w14:paraId="757A8DC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 </w:t>
            </w:r>
            <w:r w:rsidRPr="0021519F">
              <w:rPr>
                <w:rFonts w:ascii="Times New Roman" w:hAnsi="Times New Roman" w:cs="Times New Roman"/>
                <w:sz w:val="16"/>
                <w:szCs w:val="16"/>
              </w:rPr>
              <w:t xml:space="preserve"> button is one statement</w:t>
            </w:r>
          </w:p>
          <w:p w14:paraId="799E2EC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 </w:t>
            </w:r>
            <w:r w:rsidRPr="0021519F">
              <w:rPr>
                <w:rFonts w:ascii="Times New Roman" w:hAnsi="Times New Roman" w:cs="Times New Roman"/>
                <w:sz w:val="16"/>
                <w:szCs w:val="16"/>
              </w:rPr>
              <w:t xml:space="preserve">8 </w:t>
            </w:r>
          </w:p>
        </w:tc>
        <w:tc>
          <w:tcPr>
            <w:tcW w:w="1156" w:type="pct"/>
          </w:tcPr>
          <w:p w14:paraId="4475BC0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most were rich but 8 studies is very limited</w:t>
            </w:r>
          </w:p>
        </w:tc>
      </w:tr>
      <w:tr w:rsidR="0021519F" w:rsidRPr="0021519F" w14:paraId="557E4FE0" w14:textId="77777777" w:rsidTr="006A54BC">
        <w:tc>
          <w:tcPr>
            <w:tcW w:w="246" w:type="pct"/>
          </w:tcPr>
          <w:p w14:paraId="0AE2F03D"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3F2713A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Physical</w:t>
            </w:r>
          </w:p>
        </w:tc>
        <w:tc>
          <w:tcPr>
            <w:tcW w:w="693" w:type="pct"/>
            <w:vMerge/>
          </w:tcPr>
          <w:p w14:paraId="5928B53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09BC115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Dennis &amp; Chung-Lee, 2006; Forde et al., 2020; Jones et al., 2014; Newman et al., 2019; Schmied et al., 2017; Smith et al., 2019; Staneva et al., 2015; Watson et al., 2019</w:t>
            </w:r>
          </w:p>
        </w:tc>
        <w:tc>
          <w:tcPr>
            <w:tcW w:w="963" w:type="pct"/>
          </w:tcPr>
          <w:p w14:paraId="0EF2DA3B" w14:textId="77777777" w:rsidR="0021519F" w:rsidRPr="0021519F" w:rsidRDefault="0021519F" w:rsidP="0021519F">
            <w:pPr>
              <w:pStyle w:val="ListParagraph"/>
              <w:spacing w:after="0" w:line="240" w:lineRule="auto"/>
              <w:ind w:left="0"/>
              <w:rPr>
                <w:rFonts w:ascii="Times New Roman" w:hAnsi="Times New Roman" w:cs="Times New Roman"/>
                <w:bCs/>
                <w:sz w:val="16"/>
                <w:szCs w:val="16"/>
              </w:rPr>
            </w:pPr>
            <w:r w:rsidRPr="0021519F">
              <w:rPr>
                <w:rFonts w:ascii="Times New Roman" w:hAnsi="Times New Roman" w:cs="Times New Roman"/>
                <w:b/>
                <w:sz w:val="16"/>
                <w:szCs w:val="16"/>
              </w:rPr>
              <w:t xml:space="preserve">Richness: </w:t>
            </w:r>
            <w:r w:rsidRPr="0021519F">
              <w:rPr>
                <w:rFonts w:ascii="Times New Roman" w:hAnsi="Times New Roman" w:cs="Times New Roman"/>
                <w:bCs/>
                <w:sz w:val="16"/>
                <w:szCs w:val="16"/>
              </w:rPr>
              <w:t xml:space="preserve"> Watson very vague</w:t>
            </w:r>
          </w:p>
          <w:p w14:paraId="15AABAD0" w14:textId="77777777" w:rsidR="0021519F" w:rsidRPr="0021519F" w:rsidRDefault="0021519F" w:rsidP="0021519F">
            <w:pPr>
              <w:pStyle w:val="ListParagraph"/>
              <w:spacing w:after="0" w:line="240" w:lineRule="auto"/>
              <w:ind w:left="0"/>
              <w:rPr>
                <w:rFonts w:ascii="Times New Roman" w:hAnsi="Times New Roman" w:cs="Times New Roman"/>
                <w:b/>
                <w:sz w:val="16"/>
                <w:szCs w:val="16"/>
              </w:rPr>
            </w:pPr>
            <w:r w:rsidRPr="0021519F">
              <w:rPr>
                <w:rFonts w:ascii="Times New Roman" w:hAnsi="Times New Roman" w:cs="Times New Roman"/>
                <w:b/>
                <w:sz w:val="16"/>
                <w:szCs w:val="16"/>
              </w:rPr>
              <w:t>Quantity: 10</w:t>
            </w:r>
          </w:p>
        </w:tc>
        <w:tc>
          <w:tcPr>
            <w:tcW w:w="1156" w:type="pct"/>
          </w:tcPr>
          <w:p w14:paraId="51CD8BF0" w14:textId="77777777" w:rsidR="0021519F" w:rsidRPr="0021519F" w:rsidRDefault="0021519F" w:rsidP="0021519F">
            <w:pPr>
              <w:pStyle w:val="ListParagraph"/>
              <w:spacing w:after="0" w:line="240" w:lineRule="auto"/>
              <w:ind w:left="0"/>
              <w:rPr>
                <w:rFonts w:ascii="Times New Roman" w:hAnsi="Times New Roman" w:cs="Times New Roman"/>
                <w:bCs/>
                <w:sz w:val="16"/>
                <w:szCs w:val="16"/>
              </w:rPr>
            </w:pPr>
            <w:r w:rsidRPr="0021519F">
              <w:rPr>
                <w:rFonts w:ascii="Times New Roman" w:hAnsi="Times New Roman" w:cs="Times New Roman"/>
                <w:b/>
                <w:sz w:val="16"/>
                <w:szCs w:val="16"/>
              </w:rPr>
              <w:t xml:space="preserve">Minor: </w:t>
            </w:r>
            <w:r w:rsidRPr="0021519F">
              <w:rPr>
                <w:rFonts w:ascii="Times New Roman" w:hAnsi="Times New Roman" w:cs="Times New Roman"/>
                <w:bCs/>
                <w:sz w:val="16"/>
                <w:szCs w:val="16"/>
              </w:rPr>
              <w:t>most descriptively rich, 10 studies limited but okay</w:t>
            </w:r>
          </w:p>
        </w:tc>
      </w:tr>
      <w:tr w:rsidR="0021519F" w:rsidRPr="0021519F" w14:paraId="4402856F" w14:textId="77777777" w:rsidTr="006A54BC">
        <w:tc>
          <w:tcPr>
            <w:tcW w:w="246" w:type="pct"/>
          </w:tcPr>
          <w:p w14:paraId="69CB2E79"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32C2B99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Normal</w:t>
            </w:r>
          </w:p>
        </w:tc>
        <w:tc>
          <w:tcPr>
            <w:tcW w:w="693" w:type="pct"/>
            <w:vMerge/>
          </w:tcPr>
          <w:p w14:paraId="7356A35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5DC4C6A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Dennis &amp; Chung-Lee, 2006; Giscombe et al., 2020; Jones et al., 2014; Schmied et al., 2017; Slade et al., 2020; Smith et al., 2019; Sorsa et al., 2021</w:t>
            </w:r>
          </w:p>
        </w:tc>
        <w:tc>
          <w:tcPr>
            <w:tcW w:w="963" w:type="pct"/>
          </w:tcPr>
          <w:p w14:paraId="6106A9B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but viveiros were rich</w:t>
            </w:r>
          </w:p>
          <w:p w14:paraId="57AAE87D"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7</w:t>
            </w:r>
          </w:p>
        </w:tc>
        <w:tc>
          <w:tcPr>
            <w:tcW w:w="1156" w:type="pct"/>
          </w:tcPr>
          <w:p w14:paraId="52A5F70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most were rich but 7 studies is very limited</w:t>
            </w:r>
          </w:p>
        </w:tc>
      </w:tr>
      <w:tr w:rsidR="0021519F" w:rsidRPr="0021519F" w14:paraId="7EAE6432" w14:textId="77777777" w:rsidTr="006A54BC">
        <w:tc>
          <w:tcPr>
            <w:tcW w:w="246" w:type="pct"/>
          </w:tcPr>
          <w:p w14:paraId="2FC5CE8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5290539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Dealing with symptoms - ignore</w:t>
            </w:r>
          </w:p>
        </w:tc>
        <w:tc>
          <w:tcPr>
            <w:tcW w:w="693" w:type="pct"/>
            <w:vMerge w:val="restart"/>
          </w:tcPr>
          <w:p w14:paraId="05E416E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Depending on how women view their symptoms will affect how they deal with their symptoms. When women choose to ignore their difficulties, minimise their symptoms or seek spiritual guidance this is </w:t>
            </w:r>
            <w:r w:rsidRPr="0021519F">
              <w:rPr>
                <w:rFonts w:ascii="Times New Roman" w:hAnsi="Times New Roman" w:cs="Times New Roman"/>
                <w:sz w:val="16"/>
                <w:szCs w:val="16"/>
              </w:rPr>
              <w:lastRenderedPageBreak/>
              <w:t>a barrier to help-seeking and access</w:t>
            </w:r>
          </w:p>
          <w:p w14:paraId="1A4EB11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57EBD8A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lastRenderedPageBreak/>
              <w:t>Bina, 2020; Hadfield &amp; Wittkowski, 2017; Jones, 2019; Newman et al., 2019; Schmied et al., 2017; Slade et al., 2020</w:t>
            </w:r>
          </w:p>
        </w:tc>
        <w:tc>
          <w:tcPr>
            <w:tcW w:w="963" w:type="pct"/>
          </w:tcPr>
          <w:p w14:paraId="0DE2713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rich</w:t>
            </w:r>
          </w:p>
          <w:p w14:paraId="431DB42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6</w:t>
            </w:r>
          </w:p>
        </w:tc>
        <w:tc>
          <w:tcPr>
            <w:tcW w:w="1156" w:type="pct"/>
          </w:tcPr>
          <w:p w14:paraId="6594207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most were rich but 6 studies is very limited</w:t>
            </w:r>
          </w:p>
        </w:tc>
      </w:tr>
      <w:tr w:rsidR="0021519F" w:rsidRPr="0021519F" w14:paraId="10351AD0" w14:textId="77777777" w:rsidTr="006A54BC">
        <w:tc>
          <w:tcPr>
            <w:tcW w:w="246" w:type="pct"/>
          </w:tcPr>
          <w:p w14:paraId="0346D2BF"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4F0F912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seeking spiritual guidance</w:t>
            </w:r>
          </w:p>
        </w:tc>
        <w:tc>
          <w:tcPr>
            <w:tcW w:w="693" w:type="pct"/>
            <w:vMerge/>
          </w:tcPr>
          <w:p w14:paraId="2341302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16E06F7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Hansotte et al., 2017; Kassam, 2019; Schmied et al., 2017; Watson et al., 2019</w:t>
            </w:r>
          </w:p>
        </w:tc>
        <w:tc>
          <w:tcPr>
            <w:tcW w:w="963" w:type="pct"/>
          </w:tcPr>
          <w:p w14:paraId="3B208C9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good</w:t>
            </w:r>
          </w:p>
          <w:p w14:paraId="6ABE08F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4</w:t>
            </w:r>
          </w:p>
          <w:p w14:paraId="176BE27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20DB180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Serious: </w:t>
            </w:r>
            <w:r w:rsidRPr="0021519F">
              <w:rPr>
                <w:rFonts w:ascii="Times New Roman" w:hAnsi="Times New Roman" w:cs="Times New Roman"/>
                <w:sz w:val="16"/>
                <w:szCs w:val="16"/>
              </w:rPr>
              <w:t xml:space="preserve"> rich but very limited number of studies, more research needed </w:t>
            </w:r>
          </w:p>
        </w:tc>
      </w:tr>
      <w:tr w:rsidR="0021519F" w:rsidRPr="0021519F" w14:paraId="605E47B4" w14:textId="77777777" w:rsidTr="006A54BC">
        <w:tc>
          <w:tcPr>
            <w:tcW w:w="246" w:type="pct"/>
          </w:tcPr>
          <w:p w14:paraId="60524A5E"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lastRenderedPageBreak/>
              <w:t>2</w:t>
            </w:r>
          </w:p>
        </w:tc>
        <w:tc>
          <w:tcPr>
            <w:tcW w:w="1316" w:type="pct"/>
          </w:tcPr>
          <w:p w14:paraId="4FFBE9D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Symptom minimisation</w:t>
            </w:r>
          </w:p>
        </w:tc>
        <w:tc>
          <w:tcPr>
            <w:tcW w:w="693" w:type="pct"/>
            <w:vMerge/>
          </w:tcPr>
          <w:p w14:paraId="0E45BF7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24CEBEC0"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Bina, 2020; Dennis &amp; Chung-Lee, 2006; Forde et al., 2020; Hewitt et al., 2009; Holopainen &amp; Hakulinen, 2019; Jones et al., 2014; Kassam, 2019; Lucas et al., 2019; Megnin-Viggars et al., 2015; Schmied et al., 2017; Staneva et al., 2015; Watson et al., 2019</w:t>
            </w:r>
          </w:p>
        </w:tc>
        <w:tc>
          <w:tcPr>
            <w:tcW w:w="963" w:type="pct"/>
          </w:tcPr>
          <w:p w14:paraId="2A789E0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Dennis is one statement, Watson also one statement</w:t>
            </w:r>
          </w:p>
          <w:p w14:paraId="7053109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12</w:t>
            </w:r>
          </w:p>
          <w:p w14:paraId="3DB0447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2E3FCB1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2 vague studies, but 12 supporting studies</w:t>
            </w:r>
          </w:p>
        </w:tc>
      </w:tr>
      <w:tr w:rsidR="0021519F" w:rsidRPr="0021519F" w14:paraId="4805467B" w14:textId="77777777" w:rsidTr="006A54BC">
        <w:tc>
          <w:tcPr>
            <w:tcW w:w="246" w:type="pct"/>
          </w:tcPr>
          <w:p w14:paraId="1BF1C040"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2469146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Recognising something is wrong</w:t>
            </w:r>
          </w:p>
        </w:tc>
        <w:tc>
          <w:tcPr>
            <w:tcW w:w="693" w:type="pct"/>
          </w:tcPr>
          <w:p w14:paraId="6E40228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have to recognise something is wrong before they seek help</w:t>
            </w:r>
          </w:p>
        </w:tc>
        <w:tc>
          <w:tcPr>
            <w:tcW w:w="626" w:type="pct"/>
          </w:tcPr>
          <w:p w14:paraId="2D7AA6C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Forde et al., 2020; Hadfield &amp; Wittkowski, 2017; Hansotte et al., 2017; Slade et al., 2020; Sorsa et al., 2021; Staneva et al., 2015; Viveiros &amp; Darling, 2018</w:t>
            </w:r>
          </w:p>
        </w:tc>
        <w:tc>
          <w:tcPr>
            <w:tcW w:w="963" w:type="pct"/>
          </w:tcPr>
          <w:p w14:paraId="555E2B8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Hadfield not detailed, Forde not massively detailed, Hansotte equally undetailed</w:t>
            </w:r>
          </w:p>
          <w:p w14:paraId="18B92CE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9</w:t>
            </w:r>
          </w:p>
          <w:p w14:paraId="12FC05E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697BA8B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most were rich but limited data overall </w:t>
            </w:r>
          </w:p>
        </w:tc>
      </w:tr>
      <w:tr w:rsidR="0021519F" w:rsidRPr="0021519F" w14:paraId="1DAB132B" w14:textId="77777777" w:rsidTr="006A54BC">
        <w:tc>
          <w:tcPr>
            <w:tcW w:w="246" w:type="pct"/>
          </w:tcPr>
          <w:p w14:paraId="0D6DC52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2</w:t>
            </w:r>
          </w:p>
        </w:tc>
        <w:tc>
          <w:tcPr>
            <w:tcW w:w="1316" w:type="pct"/>
          </w:tcPr>
          <w:p w14:paraId="47308B2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Not knowing where to go</w:t>
            </w:r>
          </w:p>
        </w:tc>
        <w:tc>
          <w:tcPr>
            <w:tcW w:w="693" w:type="pct"/>
          </w:tcPr>
          <w:p w14:paraId="2C5672C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Not having enough information to know where to go is a barrier to help seeking</w:t>
            </w:r>
          </w:p>
        </w:tc>
        <w:tc>
          <w:tcPr>
            <w:tcW w:w="626" w:type="pct"/>
          </w:tcPr>
          <w:p w14:paraId="0B7D93C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Dennis &amp; Chung-Lee, 2006; Hansotte et al., 2017; Jones, 2019; Megnin-Viggars et al., 2015; Schmied et al., 2017; Smith et al., 2019; Sorsa et al., 2021; Tobin et al., 2018</w:t>
            </w:r>
          </w:p>
        </w:tc>
        <w:tc>
          <w:tcPr>
            <w:tcW w:w="963" w:type="pct"/>
          </w:tcPr>
          <w:p w14:paraId="6B9A490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Bina, Hansotte, Megnin viggars, Dennis, Sambrook Smith, Sorsa did not provide particularly detailed descriptions </w:t>
            </w:r>
          </w:p>
          <w:p w14:paraId="18F14DD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9</w:t>
            </w:r>
          </w:p>
          <w:p w14:paraId="7C43198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3537184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few studies and not all were rich</w:t>
            </w:r>
          </w:p>
        </w:tc>
      </w:tr>
      <w:tr w:rsidR="0021519F" w:rsidRPr="0021519F" w14:paraId="015DD912" w14:textId="77777777" w:rsidTr="006A54BC">
        <w:tc>
          <w:tcPr>
            <w:tcW w:w="246" w:type="pct"/>
          </w:tcPr>
          <w:p w14:paraId="470B150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2</w:t>
            </w:r>
          </w:p>
        </w:tc>
        <w:tc>
          <w:tcPr>
            <w:tcW w:w="1316" w:type="pct"/>
          </w:tcPr>
          <w:p w14:paraId="0F31FD5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Beliefs about health services</w:t>
            </w:r>
          </w:p>
        </w:tc>
        <w:tc>
          <w:tcPr>
            <w:tcW w:w="693" w:type="pct"/>
            <w:vMerge w:val="restart"/>
          </w:tcPr>
          <w:p w14:paraId="0BD1BA7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Beliefs about health services are also a barrier to helpseeking and access, such as believing services only offer medication, are stretched, HCPs wont care or that they not sure if the HCP they are talking with are equipped to deal with their symptoms,</w:t>
            </w:r>
          </w:p>
        </w:tc>
        <w:tc>
          <w:tcPr>
            <w:tcW w:w="626" w:type="pct"/>
          </w:tcPr>
          <w:p w14:paraId="07EC4839"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N/A</w:t>
            </w:r>
          </w:p>
        </w:tc>
        <w:tc>
          <w:tcPr>
            <w:tcW w:w="963" w:type="pct"/>
          </w:tcPr>
          <w:p w14:paraId="0E9B5B0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78FF9E0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61662D03" w14:textId="77777777" w:rsidTr="006A54BC">
        <w:tc>
          <w:tcPr>
            <w:tcW w:w="246" w:type="pct"/>
          </w:tcPr>
          <w:p w14:paraId="085D444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2</w:t>
            </w:r>
          </w:p>
        </w:tc>
        <w:tc>
          <w:tcPr>
            <w:tcW w:w="1316" w:type="pct"/>
          </w:tcPr>
          <w:p w14:paraId="7D124A1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Beliefs about health services – medication only</w:t>
            </w:r>
          </w:p>
        </w:tc>
        <w:tc>
          <w:tcPr>
            <w:tcW w:w="693" w:type="pct"/>
            <w:vMerge/>
          </w:tcPr>
          <w:p w14:paraId="41B12CF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4516981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Jones, 2019; Megnin-Viggars et al., 2015; Nilaweera et al., 2014; Sorsa et al., 2021; Tobin et al., 2018</w:t>
            </w:r>
          </w:p>
        </w:tc>
        <w:tc>
          <w:tcPr>
            <w:tcW w:w="963" w:type="pct"/>
          </w:tcPr>
          <w:p w14:paraId="0ED538B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Sorsa does not provide rich data</w:t>
            </w:r>
          </w:p>
          <w:p w14:paraId="24EEA61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7</w:t>
            </w:r>
          </w:p>
          <w:p w14:paraId="7265BA3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43A6646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most were rich but limited data overall</w:t>
            </w:r>
          </w:p>
        </w:tc>
      </w:tr>
      <w:tr w:rsidR="0021519F" w:rsidRPr="0021519F" w14:paraId="3BC3CDD0" w14:textId="77777777" w:rsidTr="006A54BC">
        <w:tc>
          <w:tcPr>
            <w:tcW w:w="246" w:type="pct"/>
          </w:tcPr>
          <w:p w14:paraId="27D9C06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2</w:t>
            </w:r>
          </w:p>
        </w:tc>
        <w:tc>
          <w:tcPr>
            <w:tcW w:w="1316" w:type="pct"/>
          </w:tcPr>
          <w:p w14:paraId="67B61F7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Beliefs about health services - stretched</w:t>
            </w:r>
          </w:p>
        </w:tc>
        <w:tc>
          <w:tcPr>
            <w:tcW w:w="693" w:type="pct"/>
            <w:vMerge/>
          </w:tcPr>
          <w:p w14:paraId="50E28E2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1E7400D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Hadfield &amp; Wittkowski, 2017</w:t>
            </w:r>
          </w:p>
        </w:tc>
        <w:tc>
          <w:tcPr>
            <w:tcW w:w="963" w:type="pct"/>
          </w:tcPr>
          <w:p w14:paraId="6350814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Very detailed</w:t>
            </w:r>
          </w:p>
          <w:p w14:paraId="227B9C5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1</w:t>
            </w:r>
          </w:p>
          <w:p w14:paraId="7B289302"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c>
          <w:tcPr>
            <w:tcW w:w="1156" w:type="pct"/>
          </w:tcPr>
          <w:p w14:paraId="5E9CADC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 not enough data to make conclusion – only one study</w:t>
            </w:r>
          </w:p>
        </w:tc>
      </w:tr>
      <w:tr w:rsidR="0021519F" w:rsidRPr="0021519F" w14:paraId="0739D13E" w14:textId="77777777" w:rsidTr="006A54BC">
        <w:tc>
          <w:tcPr>
            <w:tcW w:w="246" w:type="pct"/>
          </w:tcPr>
          <w:p w14:paraId="61BB7D9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2</w:t>
            </w:r>
          </w:p>
        </w:tc>
        <w:tc>
          <w:tcPr>
            <w:tcW w:w="1316" w:type="pct"/>
          </w:tcPr>
          <w:p w14:paraId="70CD688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Beliefs about HCPs – what is their role</w:t>
            </w:r>
          </w:p>
        </w:tc>
        <w:tc>
          <w:tcPr>
            <w:tcW w:w="693" w:type="pct"/>
            <w:vMerge/>
          </w:tcPr>
          <w:p w14:paraId="132F49F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1834B98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Brealey et al., 2010; Button et al., 2017; Dennis &amp; Chung-Lee, 2006; Hadfield &amp; Wittkowski, 2017; </w:t>
            </w:r>
            <w:r w:rsidRPr="0021519F">
              <w:rPr>
                <w:rFonts w:ascii="Times New Roman" w:hAnsi="Times New Roman" w:cs="Times New Roman"/>
                <w:noProof/>
                <w:color w:val="000000"/>
                <w:sz w:val="16"/>
                <w:szCs w:val="16"/>
              </w:rPr>
              <w:lastRenderedPageBreak/>
              <w:t>Hewitt et al., 2009; Megnin-Viggars et al., 2015; Mollard et al., 2016; Morrell et al., 2016; Nilaweera et al., 2014; Schmied et al., 2017; Scope et al., 2017; Smith et al., 2019</w:t>
            </w:r>
          </w:p>
        </w:tc>
        <w:tc>
          <w:tcPr>
            <w:tcW w:w="963" w:type="pct"/>
          </w:tcPr>
          <w:p w14:paraId="39BE707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Dennis is not very detailed. 2 which lack additional content but it is clear what the message is</w:t>
            </w:r>
          </w:p>
          <w:p w14:paraId="59ED922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12</w:t>
            </w:r>
          </w:p>
          <w:p w14:paraId="0A0D6F04" w14:textId="77777777" w:rsidR="0021519F" w:rsidRPr="0021519F" w:rsidRDefault="0021519F" w:rsidP="0021519F">
            <w:pPr>
              <w:spacing w:line="240" w:lineRule="auto"/>
              <w:ind w:firstLine="0"/>
              <w:rPr>
                <w:rFonts w:ascii="Times New Roman" w:hAnsi="Times New Roman" w:cs="Times New Roman"/>
                <w:sz w:val="16"/>
                <w:szCs w:val="16"/>
              </w:rPr>
            </w:pPr>
          </w:p>
        </w:tc>
        <w:tc>
          <w:tcPr>
            <w:tcW w:w="1156" w:type="pct"/>
          </w:tcPr>
          <w:p w14:paraId="4068957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Minor - </w:t>
            </w:r>
            <w:r w:rsidRPr="0021519F">
              <w:rPr>
                <w:rFonts w:ascii="Times New Roman" w:hAnsi="Times New Roman" w:cs="Times New Roman"/>
                <w:sz w:val="16"/>
                <w:szCs w:val="16"/>
              </w:rPr>
              <w:t xml:space="preserve"> most clear and there is quite a lot of supporting data </w:t>
            </w:r>
          </w:p>
        </w:tc>
      </w:tr>
      <w:tr w:rsidR="0021519F" w:rsidRPr="0021519F" w14:paraId="3B5B8F4A" w14:textId="77777777" w:rsidTr="006A54BC">
        <w:tc>
          <w:tcPr>
            <w:tcW w:w="246" w:type="pct"/>
          </w:tcPr>
          <w:p w14:paraId="501CEC0C"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00986ED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Beliefs about HCPs – they won’t be interested</w:t>
            </w:r>
          </w:p>
        </w:tc>
        <w:tc>
          <w:tcPr>
            <w:tcW w:w="693" w:type="pct"/>
            <w:vMerge/>
          </w:tcPr>
          <w:p w14:paraId="72E1DA5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5D82357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Hadfield &amp; Wittkowski, 2017</w:t>
            </w:r>
          </w:p>
        </w:tc>
        <w:tc>
          <w:tcPr>
            <w:tcW w:w="963" w:type="pct"/>
          </w:tcPr>
          <w:p w14:paraId="6748FC6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both provide rich data</w:t>
            </w:r>
          </w:p>
          <w:p w14:paraId="7607D8C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2</w:t>
            </w:r>
          </w:p>
          <w:p w14:paraId="2614309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6F9828A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 </w:t>
            </w:r>
            <w:r w:rsidRPr="0021519F">
              <w:rPr>
                <w:rFonts w:ascii="Times New Roman" w:hAnsi="Times New Roman" w:cs="Times New Roman"/>
                <w:sz w:val="16"/>
                <w:szCs w:val="16"/>
              </w:rPr>
              <w:t xml:space="preserve"> rich, but not enough studies (n = 2)</w:t>
            </w:r>
          </w:p>
        </w:tc>
      </w:tr>
      <w:tr w:rsidR="0021519F" w:rsidRPr="0021519F" w14:paraId="45AB3685" w14:textId="77777777" w:rsidTr="006A54BC">
        <w:tc>
          <w:tcPr>
            <w:tcW w:w="246" w:type="pct"/>
          </w:tcPr>
          <w:p w14:paraId="4294EBD0"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1</w:t>
            </w:r>
          </w:p>
        </w:tc>
        <w:tc>
          <w:tcPr>
            <w:tcW w:w="1316" w:type="pct"/>
          </w:tcPr>
          <w:p w14:paraId="662773E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Inability to attend</w:t>
            </w:r>
          </w:p>
        </w:tc>
        <w:tc>
          <w:tcPr>
            <w:tcW w:w="693" w:type="pct"/>
            <w:vMerge w:val="restart"/>
          </w:tcPr>
          <w:p w14:paraId="12969A5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Logistical issues effect implementation, help seeking and access to care. These logistical issues include, childcare, travel, timing of appointments</w:t>
            </w:r>
          </w:p>
        </w:tc>
        <w:tc>
          <w:tcPr>
            <w:tcW w:w="626" w:type="pct"/>
          </w:tcPr>
          <w:p w14:paraId="36AB0C1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Young 2019</w:t>
            </w:r>
          </w:p>
          <w:p w14:paraId="5AFC839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2016</w:t>
            </w:r>
          </w:p>
          <w:p w14:paraId="2450DD2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Pugh 2015</w:t>
            </w:r>
          </w:p>
          <w:p w14:paraId="4D41A5F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p w14:paraId="6A89E64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 2011</w:t>
            </w:r>
          </w:p>
          <w:p w14:paraId="475405F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Chariter 2015</w:t>
            </w:r>
          </w:p>
          <w:p w14:paraId="7D74A15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 2017</w:t>
            </w:r>
          </w:p>
          <w:p w14:paraId="7E5ED96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 2017</w:t>
            </w:r>
          </w:p>
          <w:p w14:paraId="17C6366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Friedman 2011</w:t>
            </w:r>
          </w:p>
          <w:p w14:paraId="2A22EBD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Hadfield 2019</w:t>
            </w:r>
          </w:p>
          <w:p w14:paraId="18BF1ED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Eappen 2018</w:t>
            </w:r>
          </w:p>
          <w:p w14:paraId="770F796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Masood 2015</w:t>
            </w:r>
          </w:p>
        </w:tc>
        <w:tc>
          <w:tcPr>
            <w:tcW w:w="963" w:type="pct"/>
          </w:tcPr>
          <w:p w14:paraId="27B1F11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Atif 16 is vague, as is Chartier &amp; Hadfield – could be more detailed </w:t>
            </w:r>
          </w:p>
          <w:p w14:paraId="707BA71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12</w:t>
            </w:r>
          </w:p>
          <w:p w14:paraId="52C6417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1AC9AAD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 </w:t>
            </w:r>
            <w:r w:rsidRPr="0021519F">
              <w:rPr>
                <w:rFonts w:ascii="Times New Roman" w:hAnsi="Times New Roman" w:cs="Times New Roman"/>
                <w:sz w:val="16"/>
                <w:szCs w:val="16"/>
              </w:rPr>
              <w:t xml:space="preserve"> lots of data, most is clear </w:t>
            </w:r>
          </w:p>
        </w:tc>
      </w:tr>
      <w:tr w:rsidR="0021519F" w:rsidRPr="0021519F" w14:paraId="60DD5F00" w14:textId="77777777" w:rsidTr="006A54BC">
        <w:tc>
          <w:tcPr>
            <w:tcW w:w="246" w:type="pct"/>
          </w:tcPr>
          <w:p w14:paraId="54576C4C"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38E2939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Logistics – childcare</w:t>
            </w:r>
          </w:p>
        </w:tc>
        <w:tc>
          <w:tcPr>
            <w:tcW w:w="693" w:type="pct"/>
            <w:vMerge/>
          </w:tcPr>
          <w:p w14:paraId="6745355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651B2B0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Dennis &amp; Chung-Lee, 2006; Hansotte et al., 2017; Morrell et al., 2016;Jones 19 Newman et al., 2019; Scope et al., 2017; Smith et al., 2019; Tobin et al., 2018; Watson et al., 2019</w:t>
            </w:r>
          </w:p>
        </w:tc>
        <w:tc>
          <w:tcPr>
            <w:tcW w:w="963" w:type="pct"/>
          </w:tcPr>
          <w:p w14:paraId="5E4DC99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None of the studies describe this in detail, but it is well supported by data (lots of it and very clear)</w:t>
            </w:r>
          </w:p>
          <w:p w14:paraId="693C565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11 (15 including studies above)</w:t>
            </w:r>
          </w:p>
          <w:p w14:paraId="4ACA0ED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44A74A6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bookmarkStart w:id="8" w:name="_Hlk83744806"/>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lots of data and all is saying the same thing</w:t>
            </w:r>
            <w:bookmarkEnd w:id="8"/>
          </w:p>
        </w:tc>
      </w:tr>
      <w:tr w:rsidR="0021519F" w:rsidRPr="0021519F" w14:paraId="6C4AFC40" w14:textId="77777777" w:rsidTr="006A54BC">
        <w:tc>
          <w:tcPr>
            <w:tcW w:w="246" w:type="pct"/>
          </w:tcPr>
          <w:p w14:paraId="2792753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38A6ABB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Logistics – timing</w:t>
            </w:r>
          </w:p>
        </w:tc>
        <w:tc>
          <w:tcPr>
            <w:tcW w:w="693" w:type="pct"/>
            <w:vMerge/>
          </w:tcPr>
          <w:p w14:paraId="6D179B2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3DA7D5B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Dennis &amp; Chung-Lee, 2006; Newman et al., 2019; Scope et al., 2017; Watson et al., 2019</w:t>
            </w:r>
          </w:p>
        </w:tc>
        <w:tc>
          <w:tcPr>
            <w:tcW w:w="963" w:type="pct"/>
          </w:tcPr>
          <w:p w14:paraId="6ABE063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 </w:t>
            </w: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None of the studies describe this in detail</w:t>
            </w:r>
          </w:p>
          <w:p w14:paraId="17019C8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 5 (9 including studies above)</w:t>
            </w:r>
          </w:p>
        </w:tc>
        <w:tc>
          <w:tcPr>
            <w:tcW w:w="1156" w:type="pct"/>
          </w:tcPr>
          <w:p w14:paraId="33DE255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data and all is saying the same thing</w:t>
            </w:r>
          </w:p>
        </w:tc>
      </w:tr>
      <w:tr w:rsidR="0021519F" w:rsidRPr="0021519F" w14:paraId="3A48281A" w14:textId="77777777" w:rsidTr="006A54BC">
        <w:tc>
          <w:tcPr>
            <w:tcW w:w="246" w:type="pct"/>
          </w:tcPr>
          <w:p w14:paraId="13BC234E"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33A32B2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Logistics – location/travel</w:t>
            </w:r>
          </w:p>
        </w:tc>
        <w:tc>
          <w:tcPr>
            <w:tcW w:w="693" w:type="pct"/>
            <w:vMerge/>
          </w:tcPr>
          <w:p w14:paraId="15BB130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44D6565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Bina, 2020; Hansotte et al., 2017; Jones, 2019; Mollard et al., 2016; Morrell et al., 2016; Newman et al., 2019; Sorsa et al., 2021; Tobin et al., </w:t>
            </w:r>
            <w:r w:rsidRPr="0021519F">
              <w:rPr>
                <w:rFonts w:ascii="Times New Roman" w:hAnsi="Times New Roman" w:cs="Times New Roman"/>
                <w:noProof/>
                <w:color w:val="000000"/>
                <w:sz w:val="16"/>
                <w:szCs w:val="16"/>
              </w:rPr>
              <w:lastRenderedPageBreak/>
              <w:t>2018; Watson et al., 2019</w:t>
            </w:r>
          </w:p>
        </w:tc>
        <w:tc>
          <w:tcPr>
            <w:tcW w:w="963" w:type="pct"/>
          </w:tcPr>
          <w:p w14:paraId="6DBB8DDD"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None of the studies describe this in detail</w:t>
            </w:r>
          </w:p>
          <w:p w14:paraId="4F3E48F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9 (12 including above)</w:t>
            </w:r>
          </w:p>
        </w:tc>
        <w:tc>
          <w:tcPr>
            <w:tcW w:w="1156" w:type="pct"/>
          </w:tcPr>
          <w:p w14:paraId="2381814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lots of data and all is saying the same thing</w:t>
            </w:r>
          </w:p>
        </w:tc>
      </w:tr>
      <w:tr w:rsidR="0021519F" w:rsidRPr="0021519F" w14:paraId="15C3075C" w14:textId="77777777" w:rsidTr="006A54BC">
        <w:tc>
          <w:tcPr>
            <w:tcW w:w="246" w:type="pct"/>
          </w:tcPr>
          <w:p w14:paraId="7D373B9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1</w:t>
            </w:r>
          </w:p>
        </w:tc>
        <w:tc>
          <w:tcPr>
            <w:tcW w:w="1316" w:type="pct"/>
          </w:tcPr>
          <w:p w14:paraId="4AF6215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Symptoms of psychological difficulty</w:t>
            </w:r>
          </w:p>
        </w:tc>
        <w:tc>
          <w:tcPr>
            <w:tcW w:w="693" w:type="pct"/>
            <w:vMerge w:val="restart"/>
          </w:tcPr>
          <w:p w14:paraId="5F6AE36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Psychological factors such as fear of judgement, feeling psychologically ready to take part in care, symptoms of psychological difficulties, and fear of social services involvement prevent implementation, help seeking and access to PNMH care</w:t>
            </w:r>
          </w:p>
        </w:tc>
        <w:tc>
          <w:tcPr>
            <w:tcW w:w="626" w:type="pct"/>
          </w:tcPr>
          <w:p w14:paraId="22A2882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Friedman 2011</w:t>
            </w:r>
          </w:p>
          <w:p w14:paraId="504D768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 2011</w:t>
            </w:r>
          </w:p>
          <w:p w14:paraId="46C86A9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Hadfield 2019</w:t>
            </w:r>
          </w:p>
          <w:p w14:paraId="11ADE50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BINA (2)</w:t>
            </w:r>
          </w:p>
          <w:p w14:paraId="5737B33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Viveirose (2)</w:t>
            </w:r>
          </w:p>
        </w:tc>
        <w:tc>
          <w:tcPr>
            <w:tcW w:w="963" w:type="pct"/>
          </w:tcPr>
          <w:p w14:paraId="0EE2A92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rich</w:t>
            </w:r>
          </w:p>
          <w:p w14:paraId="28813B0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5 </w:t>
            </w:r>
          </w:p>
        </w:tc>
        <w:tc>
          <w:tcPr>
            <w:tcW w:w="1156" w:type="pct"/>
          </w:tcPr>
          <w:p w14:paraId="00C1616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not enough data to draw conclusions</w:t>
            </w:r>
          </w:p>
        </w:tc>
      </w:tr>
      <w:tr w:rsidR="0021519F" w:rsidRPr="0021519F" w14:paraId="42444CA5" w14:textId="77777777" w:rsidTr="006A54BC">
        <w:tc>
          <w:tcPr>
            <w:tcW w:w="246" w:type="pct"/>
          </w:tcPr>
          <w:p w14:paraId="75FE24D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31D76DC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Being seen as bad mum</w:t>
            </w:r>
          </w:p>
        </w:tc>
        <w:tc>
          <w:tcPr>
            <w:tcW w:w="693" w:type="pct"/>
            <w:vMerge/>
          </w:tcPr>
          <w:p w14:paraId="309C747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7D2BEF8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Brealey et al., 2010; Button et al., 2017; Forde et al., 2020; Jones et al., 2014; Lucas et al., 2019; Schmied et al., 2017; Slade et al., 2020; Sorsa et al., 2021; Viveiros &amp; Darling, 2018; Watson et al., 2019</w:t>
            </w:r>
          </w:p>
        </w:tc>
        <w:tc>
          <w:tcPr>
            <w:tcW w:w="963" w:type="pct"/>
          </w:tcPr>
          <w:p w14:paraId="199053F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viveiros is lacking in detail </w:t>
            </w:r>
          </w:p>
          <w:p w14:paraId="50F25A2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10</w:t>
            </w:r>
            <w:r w:rsidRPr="0021519F">
              <w:rPr>
                <w:rFonts w:ascii="Times New Roman" w:hAnsi="Times New Roman" w:cs="Times New Roman"/>
                <w:sz w:val="16"/>
                <w:szCs w:val="16"/>
              </w:rPr>
              <w:t xml:space="preserve"> </w:t>
            </w:r>
          </w:p>
        </w:tc>
        <w:tc>
          <w:tcPr>
            <w:tcW w:w="1156" w:type="pct"/>
          </w:tcPr>
          <w:p w14:paraId="7C78D30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data and all is saying the same thing</w:t>
            </w:r>
          </w:p>
        </w:tc>
      </w:tr>
      <w:tr w:rsidR="0021519F" w:rsidRPr="0021519F" w14:paraId="0AC446DF" w14:textId="77777777" w:rsidTr="006A54BC">
        <w:tc>
          <w:tcPr>
            <w:tcW w:w="246" w:type="pct"/>
          </w:tcPr>
          <w:p w14:paraId="513D2A16"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3284672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Social services</w:t>
            </w:r>
          </w:p>
        </w:tc>
        <w:tc>
          <w:tcPr>
            <w:tcW w:w="693" w:type="pct"/>
            <w:vMerge/>
          </w:tcPr>
          <w:p w14:paraId="1C76493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00E39B1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Brealey et al., 2010; Button et al., 2017; Dennis &amp; Chung-Lee, 2006; Evans et al., 2020; Forde et al., 2020; Hadfield &amp; Wittkowski, 2017; Hewitt et al., 2009; Jones, 2019; Megnin-Viggars et al., 2015; Newman et al., 2019; Tobin et al., 2018; Watson et al., 2019</w:t>
            </w:r>
          </w:p>
        </w:tc>
        <w:tc>
          <w:tcPr>
            <w:tcW w:w="963" w:type="pct"/>
            <w:vMerge w:val="restart"/>
          </w:tcPr>
          <w:p w14:paraId="36C1D8F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rich</w:t>
            </w:r>
          </w:p>
          <w:p w14:paraId="45AC344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13</w:t>
            </w:r>
          </w:p>
        </w:tc>
        <w:tc>
          <w:tcPr>
            <w:tcW w:w="1156" w:type="pct"/>
          </w:tcPr>
          <w:p w14:paraId="7A5E328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 </w:t>
            </w:r>
            <w:r w:rsidRPr="0021519F">
              <w:rPr>
                <w:rFonts w:ascii="Times New Roman" w:hAnsi="Times New Roman" w:cs="Times New Roman"/>
                <w:sz w:val="16"/>
                <w:szCs w:val="16"/>
              </w:rPr>
              <w:t xml:space="preserve"> all data is rich and all is saying the same thing and there is a fair bit of data supporting this</w:t>
            </w:r>
          </w:p>
        </w:tc>
      </w:tr>
      <w:tr w:rsidR="0021519F" w:rsidRPr="0021519F" w14:paraId="37394CD5" w14:textId="77777777" w:rsidTr="006A54BC">
        <w:tc>
          <w:tcPr>
            <w:tcW w:w="246" w:type="pct"/>
          </w:tcPr>
          <w:p w14:paraId="26DFA1EB"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SH</w:t>
            </w:r>
          </w:p>
        </w:tc>
        <w:tc>
          <w:tcPr>
            <w:tcW w:w="1316" w:type="pct"/>
          </w:tcPr>
          <w:p w14:paraId="6C53841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Fear of social services involvement</w:t>
            </w:r>
          </w:p>
        </w:tc>
        <w:tc>
          <w:tcPr>
            <w:tcW w:w="693" w:type="pct"/>
            <w:vMerge/>
          </w:tcPr>
          <w:p w14:paraId="5AFF70B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14953C1C"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Stakeholder group meeting</w:t>
            </w:r>
          </w:p>
        </w:tc>
        <w:tc>
          <w:tcPr>
            <w:tcW w:w="963" w:type="pct"/>
            <w:vMerge/>
          </w:tcPr>
          <w:p w14:paraId="3C2FC72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0FF7F9D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4FAC9F61" w14:textId="77777777" w:rsidTr="006A54BC">
        <w:tc>
          <w:tcPr>
            <w:tcW w:w="246" w:type="pct"/>
          </w:tcPr>
          <w:p w14:paraId="2C454E0A"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1</w:t>
            </w:r>
          </w:p>
        </w:tc>
        <w:tc>
          <w:tcPr>
            <w:tcW w:w="1316" w:type="pct"/>
          </w:tcPr>
          <w:p w14:paraId="79CF941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Psychological readiness</w:t>
            </w:r>
          </w:p>
        </w:tc>
        <w:tc>
          <w:tcPr>
            <w:tcW w:w="693" w:type="pct"/>
            <w:vMerge/>
          </w:tcPr>
          <w:p w14:paraId="2B7255D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5C53ADD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Leger 2005</w:t>
            </w:r>
          </w:p>
          <w:p w14:paraId="1141B6D4"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sz w:val="16"/>
                <w:szCs w:val="16"/>
              </w:rPr>
              <w:t>Chartier 2015</w:t>
            </w:r>
          </w:p>
        </w:tc>
        <w:tc>
          <w:tcPr>
            <w:tcW w:w="963" w:type="pct"/>
          </w:tcPr>
          <w:p w14:paraId="210F97B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Neither particularly rich</w:t>
            </w:r>
          </w:p>
          <w:p w14:paraId="6E3B2F60"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2</w:t>
            </w:r>
          </w:p>
        </w:tc>
        <w:tc>
          <w:tcPr>
            <w:tcW w:w="1156" w:type="pct"/>
          </w:tcPr>
          <w:p w14:paraId="6F955A0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Serious - </w:t>
            </w:r>
            <w:r w:rsidRPr="0021519F">
              <w:rPr>
                <w:rFonts w:ascii="Times New Roman" w:hAnsi="Times New Roman" w:cs="Times New Roman"/>
                <w:sz w:val="16"/>
                <w:szCs w:val="16"/>
              </w:rPr>
              <w:t xml:space="preserve"> only 2 studies, only a sentence for each study</w:t>
            </w:r>
          </w:p>
        </w:tc>
      </w:tr>
      <w:tr w:rsidR="0021519F" w:rsidRPr="0021519F" w14:paraId="7E60B56E" w14:textId="77777777" w:rsidTr="006A54BC">
        <w:tc>
          <w:tcPr>
            <w:tcW w:w="246" w:type="pct"/>
          </w:tcPr>
          <w:p w14:paraId="2C6B336B"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27A047E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Ethnicity</w:t>
            </w:r>
          </w:p>
        </w:tc>
        <w:tc>
          <w:tcPr>
            <w:tcW w:w="693" w:type="pct"/>
            <w:vMerge w:val="restart"/>
          </w:tcPr>
          <w:p w14:paraId="4AF3D71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Demographic factors such as age (older women are more likely to seek help), ethnicity (white women are more likely to seek help), and previous experiences with mental health services (those with previous diagnoses and positive experiences of MHS are more likely to </w:t>
            </w:r>
            <w:r w:rsidRPr="0021519F">
              <w:rPr>
                <w:rFonts w:ascii="Times New Roman" w:hAnsi="Times New Roman" w:cs="Times New Roman"/>
                <w:sz w:val="16"/>
                <w:szCs w:val="16"/>
              </w:rPr>
              <w:lastRenderedPageBreak/>
              <w:t>seek help) impacted helpseeking and access to PNMH Care</w:t>
            </w:r>
          </w:p>
        </w:tc>
        <w:tc>
          <w:tcPr>
            <w:tcW w:w="626" w:type="pct"/>
          </w:tcPr>
          <w:p w14:paraId="07905E16" w14:textId="77777777" w:rsidR="0021519F" w:rsidRPr="0021519F" w:rsidRDefault="0021519F" w:rsidP="0021519F">
            <w:pPr>
              <w:pStyle w:val="ListParagraph"/>
              <w:spacing w:after="0" w:line="240" w:lineRule="auto"/>
              <w:ind w:left="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lastRenderedPageBreak/>
              <w:t>Bina, 2020; Dennis &amp; Chung-Lee, 2006; Hansotte et al., 2017; Watson et al., 2019</w:t>
            </w:r>
          </w:p>
        </w:tc>
        <w:tc>
          <w:tcPr>
            <w:tcW w:w="963" w:type="pct"/>
          </w:tcPr>
          <w:p w14:paraId="487630B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all rich </w:t>
            </w:r>
          </w:p>
          <w:p w14:paraId="79376AD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4 </w:t>
            </w:r>
          </w:p>
        </w:tc>
        <w:tc>
          <w:tcPr>
            <w:tcW w:w="1156" w:type="pct"/>
          </w:tcPr>
          <w:p w14:paraId="5E0B9BB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not enough data to draw conclusions</w:t>
            </w:r>
          </w:p>
        </w:tc>
      </w:tr>
      <w:tr w:rsidR="0021519F" w:rsidRPr="0021519F" w14:paraId="12EE26E8" w14:textId="77777777" w:rsidTr="006A54BC">
        <w:tc>
          <w:tcPr>
            <w:tcW w:w="246" w:type="pct"/>
          </w:tcPr>
          <w:p w14:paraId="5F1D3EE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0002631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Age</w:t>
            </w:r>
          </w:p>
        </w:tc>
        <w:tc>
          <w:tcPr>
            <w:tcW w:w="693" w:type="pct"/>
            <w:vMerge/>
          </w:tcPr>
          <w:p w14:paraId="76A0D81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138E45DF" w14:textId="77777777" w:rsidR="0021519F" w:rsidRPr="0021519F" w:rsidRDefault="0021519F" w:rsidP="0021519F">
            <w:pPr>
              <w:pStyle w:val="ListParagraph"/>
              <w:spacing w:after="0" w:line="240" w:lineRule="auto"/>
              <w:ind w:left="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Bina, 2020; Hansotte et al., 2017</w:t>
            </w:r>
          </w:p>
        </w:tc>
        <w:tc>
          <w:tcPr>
            <w:tcW w:w="963" w:type="pct"/>
          </w:tcPr>
          <w:p w14:paraId="541B2BB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 not particularly rich</w:t>
            </w:r>
          </w:p>
          <w:p w14:paraId="3169E68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2 </w:t>
            </w:r>
          </w:p>
        </w:tc>
        <w:tc>
          <w:tcPr>
            <w:tcW w:w="1156" w:type="pct"/>
          </w:tcPr>
          <w:p w14:paraId="46BE707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Serious - </w:t>
            </w:r>
            <w:r w:rsidRPr="0021519F">
              <w:rPr>
                <w:rFonts w:ascii="Times New Roman" w:hAnsi="Times New Roman" w:cs="Times New Roman"/>
                <w:sz w:val="16"/>
                <w:szCs w:val="16"/>
              </w:rPr>
              <w:t xml:space="preserve"> only 2 studies, only a sentence for each study</w:t>
            </w:r>
          </w:p>
        </w:tc>
      </w:tr>
      <w:tr w:rsidR="0021519F" w:rsidRPr="0021519F" w14:paraId="289AC58E" w14:textId="77777777" w:rsidTr="006A54BC">
        <w:tc>
          <w:tcPr>
            <w:tcW w:w="246" w:type="pct"/>
          </w:tcPr>
          <w:p w14:paraId="55574E4C"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1</w:t>
            </w:r>
          </w:p>
        </w:tc>
        <w:tc>
          <w:tcPr>
            <w:tcW w:w="1316" w:type="pct"/>
            <w:vMerge w:val="restart"/>
          </w:tcPr>
          <w:p w14:paraId="1163A66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Previous experiences</w:t>
            </w:r>
          </w:p>
        </w:tc>
        <w:tc>
          <w:tcPr>
            <w:tcW w:w="693" w:type="pct"/>
            <w:vMerge/>
          </w:tcPr>
          <w:p w14:paraId="36F3B3B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3E42DF8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O’mahen</w:t>
            </w:r>
          </w:p>
        </w:tc>
        <w:tc>
          <w:tcPr>
            <w:tcW w:w="963" w:type="pct"/>
            <w:vMerge w:val="restart"/>
          </w:tcPr>
          <w:p w14:paraId="2685382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Relatively rich and detailed</w:t>
            </w:r>
          </w:p>
          <w:p w14:paraId="5FC7CCF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8</w:t>
            </w:r>
          </w:p>
        </w:tc>
        <w:tc>
          <w:tcPr>
            <w:tcW w:w="1156" w:type="pct"/>
          </w:tcPr>
          <w:p w14:paraId="0F0E09C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1928731" w14:textId="77777777" w:rsidTr="006A54BC">
        <w:tc>
          <w:tcPr>
            <w:tcW w:w="246" w:type="pct"/>
          </w:tcPr>
          <w:p w14:paraId="5499A862"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vMerge/>
          </w:tcPr>
          <w:p w14:paraId="25DDA29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42B3B01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0277E49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Button et al., 2017; Evans et al., 2020; Hadfield &amp; Wittkowski, 2017; Hansotte et al., 2017; </w:t>
            </w:r>
            <w:r w:rsidRPr="0021519F">
              <w:rPr>
                <w:rFonts w:ascii="Times New Roman" w:hAnsi="Times New Roman" w:cs="Times New Roman"/>
                <w:noProof/>
                <w:color w:val="000000"/>
                <w:sz w:val="16"/>
                <w:szCs w:val="16"/>
              </w:rPr>
              <w:lastRenderedPageBreak/>
              <w:t>Jones, 2019; Sorsa et al., 2021; Watson et al., 2019</w:t>
            </w:r>
          </w:p>
        </w:tc>
        <w:tc>
          <w:tcPr>
            <w:tcW w:w="963" w:type="pct"/>
            <w:vMerge/>
          </w:tcPr>
          <w:p w14:paraId="4C88193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1C3D2A7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rich but not enough data to draw conclusions </w:t>
            </w:r>
          </w:p>
        </w:tc>
      </w:tr>
      <w:tr w:rsidR="0021519F" w:rsidRPr="0021519F" w14:paraId="5671F091" w14:textId="77777777" w:rsidTr="006A54BC">
        <w:tc>
          <w:tcPr>
            <w:tcW w:w="246" w:type="pct"/>
          </w:tcPr>
          <w:p w14:paraId="1D5967F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2</w:t>
            </w:r>
          </w:p>
        </w:tc>
        <w:tc>
          <w:tcPr>
            <w:tcW w:w="1316" w:type="pct"/>
          </w:tcPr>
          <w:p w14:paraId="09F5A69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Previous diagnoses</w:t>
            </w:r>
          </w:p>
        </w:tc>
        <w:tc>
          <w:tcPr>
            <w:tcW w:w="693" w:type="pct"/>
            <w:vMerge/>
          </w:tcPr>
          <w:p w14:paraId="3004325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2C0B09E5" w14:textId="77777777" w:rsidR="0021519F" w:rsidRPr="0021519F" w:rsidRDefault="0021519F" w:rsidP="0021519F">
            <w:pPr>
              <w:pStyle w:val="ListParagraph"/>
              <w:spacing w:after="0" w:line="240" w:lineRule="auto"/>
              <w:ind w:left="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Bina, 2020;</w:t>
            </w:r>
          </w:p>
        </w:tc>
        <w:tc>
          <w:tcPr>
            <w:tcW w:w="963" w:type="pct"/>
          </w:tcPr>
          <w:p w14:paraId="3E876012"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Richness: No</w:t>
            </w:r>
          </w:p>
          <w:p w14:paraId="6A7D701F"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w:t>
            </w:r>
          </w:p>
        </w:tc>
        <w:tc>
          <w:tcPr>
            <w:tcW w:w="1156" w:type="pct"/>
          </w:tcPr>
          <w:p w14:paraId="6943507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Serious - </w:t>
            </w:r>
            <w:r w:rsidRPr="0021519F">
              <w:rPr>
                <w:rFonts w:ascii="Times New Roman" w:hAnsi="Times New Roman" w:cs="Times New Roman"/>
                <w:sz w:val="16"/>
                <w:szCs w:val="16"/>
              </w:rPr>
              <w:t xml:space="preserve"> only 1 study, not rich, more data needed </w:t>
            </w:r>
          </w:p>
        </w:tc>
      </w:tr>
      <w:tr w:rsidR="0021519F" w:rsidRPr="0021519F" w14:paraId="372F9F2E" w14:textId="77777777" w:rsidTr="0021519F">
        <w:tc>
          <w:tcPr>
            <w:tcW w:w="246" w:type="pct"/>
            <w:shd w:val="clear" w:color="auto" w:fill="A6A6A6" w:themeFill="background1" w:themeFillShade="A6"/>
          </w:tcPr>
          <w:p w14:paraId="6C26CBA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c>
          <w:tcPr>
            <w:tcW w:w="1316" w:type="pct"/>
            <w:shd w:val="clear" w:color="auto" w:fill="A6A6A6" w:themeFill="background1" w:themeFillShade="A6"/>
          </w:tcPr>
          <w:p w14:paraId="275EE157"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HCPs</w:t>
            </w:r>
          </w:p>
        </w:tc>
        <w:tc>
          <w:tcPr>
            <w:tcW w:w="693" w:type="pct"/>
            <w:shd w:val="clear" w:color="auto" w:fill="A6A6A6" w:themeFill="background1" w:themeFillShade="A6"/>
          </w:tcPr>
          <w:p w14:paraId="7DF7983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c>
          <w:tcPr>
            <w:tcW w:w="626" w:type="pct"/>
            <w:shd w:val="clear" w:color="auto" w:fill="A6A6A6" w:themeFill="background1" w:themeFillShade="A6"/>
          </w:tcPr>
          <w:p w14:paraId="1E96D550" w14:textId="77777777" w:rsidR="0021519F" w:rsidRPr="0021519F" w:rsidRDefault="0021519F" w:rsidP="0021519F">
            <w:pPr>
              <w:spacing w:line="240" w:lineRule="auto"/>
              <w:ind w:firstLine="0"/>
              <w:rPr>
                <w:rFonts w:ascii="Times New Roman" w:hAnsi="Times New Roman" w:cs="Times New Roman"/>
                <w:b/>
                <w:bCs/>
                <w:sz w:val="16"/>
                <w:szCs w:val="16"/>
              </w:rPr>
            </w:pPr>
          </w:p>
        </w:tc>
        <w:tc>
          <w:tcPr>
            <w:tcW w:w="963" w:type="pct"/>
            <w:shd w:val="clear" w:color="auto" w:fill="A6A6A6" w:themeFill="background1" w:themeFillShade="A6"/>
          </w:tcPr>
          <w:p w14:paraId="1B823069"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c>
          <w:tcPr>
            <w:tcW w:w="1156" w:type="pct"/>
            <w:shd w:val="clear" w:color="auto" w:fill="A6A6A6" w:themeFill="background1" w:themeFillShade="A6"/>
          </w:tcPr>
          <w:p w14:paraId="6C87F785"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r>
      <w:tr w:rsidR="0021519F" w:rsidRPr="0021519F" w14:paraId="008AE0BE" w14:textId="77777777" w:rsidTr="006A54BC">
        <w:tc>
          <w:tcPr>
            <w:tcW w:w="246" w:type="pct"/>
          </w:tcPr>
          <w:p w14:paraId="38FA76E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7BB0A24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Characteristics of healthcare professionals (n = 19)</w:t>
            </w:r>
          </w:p>
        </w:tc>
        <w:tc>
          <w:tcPr>
            <w:tcW w:w="693" w:type="pct"/>
            <w:vMerge w:val="restart"/>
          </w:tcPr>
          <w:p w14:paraId="424DA11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The way healthcare professionals acted towards women. For example, open, non-judgmental, willing to listen, motivated and interested healthcare professionals were valued by women, aided implementation. Trustworthy, readily available, helpful, interested, nonjudgemental, understanding, caring, positive, empathetic, warm, above and beyond were all facilitators to PNMH access.</w:t>
            </w:r>
          </w:p>
        </w:tc>
        <w:tc>
          <w:tcPr>
            <w:tcW w:w="626" w:type="pct"/>
          </w:tcPr>
          <w:p w14:paraId="372A6EA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w:t>
            </w:r>
          </w:p>
          <w:p w14:paraId="71E3374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34CCBDB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2D96F95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13E91D2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710F6B9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779FF35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4E486A3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4B20813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Judd</w:t>
            </w:r>
          </w:p>
          <w:p w14:paraId="39094F9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353FAB2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Leger</w:t>
            </w:r>
          </w:p>
          <w:p w14:paraId="6694BED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w:t>
            </w:r>
          </w:p>
          <w:p w14:paraId="736A449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Munodawaf</w:t>
            </w:r>
          </w:p>
          <w:p w14:paraId="4ED6A38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Myors</w:t>
            </w:r>
          </w:p>
          <w:p w14:paraId="1B4B8AD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w:t>
            </w:r>
          </w:p>
          <w:p w14:paraId="3C1B3BE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7BD674F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Pugh</w:t>
            </w:r>
          </w:p>
          <w:p w14:paraId="6D523CA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06EF09A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Willioams</w:t>
            </w:r>
          </w:p>
          <w:p w14:paraId="1B52EE5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Atif 2020</w:t>
            </w:r>
          </w:p>
        </w:tc>
        <w:tc>
          <w:tcPr>
            <w:tcW w:w="963" w:type="pct"/>
            <w:vMerge w:val="restart"/>
          </w:tcPr>
          <w:p w14:paraId="578D634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Boyd is not detailed, Higgins not detailed, Judd not detailed, Kim not detailed, Brealey is not very detailed </w:t>
            </w:r>
          </w:p>
          <w:p w14:paraId="662784EB"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34</w:t>
            </w:r>
          </w:p>
        </w:tc>
        <w:tc>
          <w:tcPr>
            <w:tcW w:w="1156" w:type="pct"/>
            <w:vMerge w:val="restart"/>
          </w:tcPr>
          <w:p w14:paraId="1523268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 </w:t>
            </w:r>
            <w:r w:rsidRPr="0021519F">
              <w:rPr>
                <w:rFonts w:ascii="Times New Roman" w:hAnsi="Times New Roman" w:cs="Times New Roman"/>
                <w:sz w:val="16"/>
                <w:szCs w:val="16"/>
              </w:rPr>
              <w:t xml:space="preserve"> although a couple aren’t very detailed, there are over 30 studies all saying the same thing, it is enough to make a conclusion </w:t>
            </w:r>
          </w:p>
        </w:tc>
      </w:tr>
      <w:tr w:rsidR="0021519F" w:rsidRPr="0021519F" w14:paraId="7C1A759C" w14:textId="77777777" w:rsidTr="006A54BC">
        <w:tc>
          <w:tcPr>
            <w:tcW w:w="246" w:type="pct"/>
          </w:tcPr>
          <w:p w14:paraId="6ADC939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2B17EFE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Characteristics of HCPs</w:t>
            </w:r>
          </w:p>
        </w:tc>
        <w:tc>
          <w:tcPr>
            <w:tcW w:w="693" w:type="pct"/>
            <w:vMerge/>
          </w:tcPr>
          <w:p w14:paraId="505AB49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42CF495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Brealey et al., 2010; Button et al., 2017; Dennis &amp; Chung-Lee, 2006; Forde et al., 2020; Hadfield &amp; Wittkowski, 2017; Hewitt et al., 2009; Megnin-Viggars et al., 2015; Morrell et al., 2016; Newman et al., 2019; Schmied et al., 2017; Slade et al., 2020; Staneva et al., 2015; Viveiros &amp; Darling, 2018</w:t>
            </w:r>
          </w:p>
        </w:tc>
        <w:tc>
          <w:tcPr>
            <w:tcW w:w="963" w:type="pct"/>
            <w:vMerge/>
          </w:tcPr>
          <w:p w14:paraId="253C8C4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1EDF6B0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04D1AC11" w14:textId="77777777" w:rsidTr="006A54BC">
        <w:tc>
          <w:tcPr>
            <w:tcW w:w="246" w:type="pct"/>
          </w:tcPr>
          <w:p w14:paraId="1E1EE21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21D4BFD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color w:val="000000"/>
                <w:sz w:val="16"/>
                <w:szCs w:val="16"/>
              </w:rPr>
              <w:t>HCP being dismissive or normalising symptoms</w:t>
            </w:r>
          </w:p>
        </w:tc>
        <w:tc>
          <w:tcPr>
            <w:tcW w:w="693" w:type="pct"/>
          </w:tcPr>
          <w:p w14:paraId="79CF432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This prevented women from accessing care</w:t>
            </w:r>
          </w:p>
        </w:tc>
        <w:tc>
          <w:tcPr>
            <w:tcW w:w="626" w:type="pct"/>
          </w:tcPr>
          <w:p w14:paraId="1F50695E"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 xml:space="preserve">Button et al., 2017; Dennis &amp; Chung-Lee, 2006; Forde et al., 2020; Hadfield &amp; Wittkowski, 2017; Hansotte et al., 2017; Megnin-Viggars et al., </w:t>
            </w:r>
            <w:r w:rsidRPr="0021519F">
              <w:rPr>
                <w:rFonts w:ascii="Times New Roman" w:hAnsi="Times New Roman" w:cs="Times New Roman"/>
                <w:noProof/>
                <w:color w:val="000000"/>
                <w:sz w:val="16"/>
                <w:szCs w:val="16"/>
              </w:rPr>
              <w:lastRenderedPageBreak/>
              <w:t>2015; Newman et al., 2019; Sorsa et al., 2021; Watson et al., 2019</w:t>
            </w:r>
          </w:p>
        </w:tc>
        <w:tc>
          <w:tcPr>
            <w:tcW w:w="963" w:type="pct"/>
          </w:tcPr>
          <w:p w14:paraId="6AE6FD2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All provide detailed data</w:t>
            </w:r>
          </w:p>
          <w:p w14:paraId="3A8AE8B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9</w:t>
            </w:r>
          </w:p>
        </w:tc>
        <w:tc>
          <w:tcPr>
            <w:tcW w:w="1156" w:type="pct"/>
          </w:tcPr>
          <w:p w14:paraId="7E0E474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including SH support</w:t>
            </w:r>
          </w:p>
        </w:tc>
      </w:tr>
      <w:tr w:rsidR="0021519F" w:rsidRPr="0021519F" w14:paraId="59BB2FAF" w14:textId="77777777" w:rsidTr="006A54BC">
        <w:tc>
          <w:tcPr>
            <w:tcW w:w="246" w:type="pct"/>
          </w:tcPr>
          <w:p w14:paraId="7AC2B50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1AA8D2B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color w:val="000000"/>
                <w:sz w:val="16"/>
                <w:szCs w:val="16"/>
              </w:rPr>
              <w:t>The way the HCP delivers the care</w:t>
            </w:r>
          </w:p>
        </w:tc>
        <w:tc>
          <w:tcPr>
            <w:tcW w:w="693" w:type="pct"/>
          </w:tcPr>
          <w:p w14:paraId="59A8C7C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HCPs focussing on the infant, not asking about PNMH or asking in a tick-box way, not treating women as individuals and not being culturally sentitive were barriers to care</w:t>
            </w:r>
          </w:p>
        </w:tc>
        <w:tc>
          <w:tcPr>
            <w:tcW w:w="626" w:type="pct"/>
          </w:tcPr>
          <w:p w14:paraId="3B048BC3"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Button et al., 2017; Forde et al., 2020; Kassam, 2019; Megnin-Viggars et al., 2015; Nilaweera et al., 2014; Schmied et al., 2017; Slade et al., 2020; Smith et al., 2019; Sorsa et al., 2021</w:t>
            </w:r>
          </w:p>
        </w:tc>
        <w:tc>
          <w:tcPr>
            <w:tcW w:w="963" w:type="pct"/>
          </w:tcPr>
          <w:p w14:paraId="38727E5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provide detailed data</w:t>
            </w:r>
          </w:p>
          <w:p w14:paraId="1B65F34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9</w:t>
            </w:r>
          </w:p>
        </w:tc>
        <w:tc>
          <w:tcPr>
            <w:tcW w:w="1156" w:type="pct"/>
          </w:tcPr>
          <w:p w14:paraId="3131ACB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not enough data to make a conclusion</w:t>
            </w:r>
          </w:p>
        </w:tc>
      </w:tr>
      <w:tr w:rsidR="0021519F" w:rsidRPr="0021519F" w14:paraId="2F963147" w14:textId="77777777" w:rsidTr="006A54BC">
        <w:tc>
          <w:tcPr>
            <w:tcW w:w="246" w:type="pct"/>
          </w:tcPr>
          <w:p w14:paraId="7D21328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7D9D2D3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Collaborative working (n = 18)</w:t>
            </w:r>
          </w:p>
        </w:tc>
        <w:tc>
          <w:tcPr>
            <w:tcW w:w="693" w:type="pct"/>
          </w:tcPr>
          <w:p w14:paraId="11DCFA6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Healthcare professionals working together to improve care for women.</w:t>
            </w:r>
          </w:p>
        </w:tc>
        <w:tc>
          <w:tcPr>
            <w:tcW w:w="626" w:type="pct"/>
          </w:tcPr>
          <w:p w14:paraId="657E8C9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Ammerman</w:t>
            </w:r>
          </w:p>
          <w:p w14:paraId="42E47AE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Boyds</w:t>
            </w:r>
          </w:p>
          <w:p w14:paraId="524B1DD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Byatt</w:t>
            </w:r>
          </w:p>
          <w:p w14:paraId="26C5D1D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0E0F4F0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Eappen</w:t>
            </w:r>
          </w:p>
          <w:p w14:paraId="7C570B3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32572B9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5530AA4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470259B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Judd</w:t>
            </w:r>
          </w:p>
          <w:p w14:paraId="4039749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773B736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Lind</w:t>
            </w:r>
          </w:p>
          <w:p w14:paraId="3EC7952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Lomonaco</w:t>
            </w:r>
          </w:p>
          <w:p w14:paraId="09B2E04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Munodawafa</w:t>
            </w:r>
          </w:p>
          <w:p w14:paraId="2E53B49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Myors</w:t>
            </w:r>
          </w:p>
          <w:p w14:paraId="5C444E7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4383E36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35B6F58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46F5139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Willey</w:t>
            </w:r>
          </w:p>
        </w:tc>
        <w:tc>
          <w:tcPr>
            <w:tcW w:w="963" w:type="pct"/>
          </w:tcPr>
          <w:p w14:paraId="42FDEE8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Higgins is not v detailed, neither is Lind, same with Nithianden</w:t>
            </w:r>
          </w:p>
          <w:p w14:paraId="22B5C83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18 </w:t>
            </w:r>
          </w:p>
        </w:tc>
        <w:tc>
          <w:tcPr>
            <w:tcW w:w="1156" w:type="pct"/>
          </w:tcPr>
          <w:p w14:paraId="32CE4E1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all saying that working together, organisational links are important </w:t>
            </w:r>
          </w:p>
        </w:tc>
      </w:tr>
      <w:tr w:rsidR="0021519F" w:rsidRPr="0021519F" w14:paraId="35BC042C" w14:textId="77777777" w:rsidTr="006A54BC">
        <w:tc>
          <w:tcPr>
            <w:tcW w:w="246" w:type="pct"/>
          </w:tcPr>
          <w:p w14:paraId="2FED4CB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3DA576E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Communication between healthcare professionals (n = 10)</w:t>
            </w:r>
          </w:p>
          <w:p w14:paraId="0FCF550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tcPr>
          <w:p w14:paraId="1FFD067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Clear communication amongst healthcare professionals.</w:t>
            </w:r>
          </w:p>
        </w:tc>
        <w:tc>
          <w:tcPr>
            <w:tcW w:w="626" w:type="pct"/>
          </w:tcPr>
          <w:p w14:paraId="48ECF94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4624565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Byatt</w:t>
            </w:r>
          </w:p>
          <w:p w14:paraId="7B11F66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7B26348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Eappen</w:t>
            </w:r>
          </w:p>
          <w:p w14:paraId="03BA86A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Lind</w:t>
            </w:r>
          </w:p>
          <w:p w14:paraId="25CC532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w:t>
            </w:r>
          </w:p>
          <w:p w14:paraId="2A9F495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Nithiandan</w:t>
            </w:r>
          </w:p>
          <w:p w14:paraId="3BCCD18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Orsmby</w:t>
            </w:r>
          </w:p>
          <w:p w14:paraId="3B8F738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Riwan</w:t>
            </w:r>
          </w:p>
          <w:p w14:paraId="0950A89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Segre</w:t>
            </w:r>
          </w:p>
        </w:tc>
        <w:tc>
          <w:tcPr>
            <w:tcW w:w="963" w:type="pct"/>
          </w:tcPr>
          <w:p w14:paraId="76605D7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all provide detailed data apart from Segre </w:t>
            </w:r>
          </w:p>
          <w:p w14:paraId="69EE189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10</w:t>
            </w:r>
          </w:p>
        </w:tc>
        <w:tc>
          <w:tcPr>
            <w:tcW w:w="1156" w:type="pct"/>
          </w:tcPr>
          <w:p w14:paraId="6E33010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all saying the same thing </w:t>
            </w:r>
          </w:p>
        </w:tc>
      </w:tr>
      <w:tr w:rsidR="0021519F" w:rsidRPr="0021519F" w14:paraId="38908D94" w14:textId="77777777" w:rsidTr="006A54BC">
        <w:tc>
          <w:tcPr>
            <w:tcW w:w="246" w:type="pct"/>
          </w:tcPr>
          <w:p w14:paraId="08F8EB8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5070177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Confidence of healthcare providers</w:t>
            </w:r>
          </w:p>
          <w:p w14:paraId="7742363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 (n = 12)</w:t>
            </w:r>
          </w:p>
        </w:tc>
        <w:tc>
          <w:tcPr>
            <w:tcW w:w="693" w:type="pct"/>
          </w:tcPr>
          <w:p w14:paraId="4227602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Healthcare professional’s belief in their ability to provide the care being offered to women.</w:t>
            </w:r>
          </w:p>
        </w:tc>
        <w:tc>
          <w:tcPr>
            <w:tcW w:w="626" w:type="pct"/>
          </w:tcPr>
          <w:p w14:paraId="7B9FC50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p w14:paraId="3B558A3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 xml:space="preserve">Beeber </w:t>
            </w:r>
          </w:p>
          <w:p w14:paraId="5BA4F5B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62743A9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1FF9628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Fernandez</w:t>
            </w:r>
          </w:p>
          <w:p w14:paraId="3D46293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47A8F29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Munodawara</w:t>
            </w:r>
          </w:p>
          <w:p w14:paraId="376F2DC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3F3BD12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Ormsby</w:t>
            </w:r>
          </w:p>
          <w:p w14:paraId="74D2D4C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Reed</w:t>
            </w:r>
          </w:p>
          <w:p w14:paraId="57399E7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Vik</w:t>
            </w:r>
          </w:p>
        </w:tc>
        <w:tc>
          <w:tcPr>
            <w:tcW w:w="963" w:type="pct"/>
          </w:tcPr>
          <w:p w14:paraId="5880789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 xml:space="preserve">Beeber is lacking detail </w:t>
            </w:r>
          </w:p>
          <w:p w14:paraId="53A0333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w:t>
            </w:r>
            <w:r w:rsidRPr="0021519F">
              <w:rPr>
                <w:rFonts w:ascii="Times New Roman" w:hAnsi="Times New Roman" w:cs="Times New Roman"/>
                <w:sz w:val="16"/>
                <w:szCs w:val="16"/>
              </w:rPr>
              <w:t xml:space="preserve">11 </w:t>
            </w:r>
          </w:p>
        </w:tc>
        <w:tc>
          <w:tcPr>
            <w:tcW w:w="1156" w:type="pct"/>
          </w:tcPr>
          <w:p w14:paraId="43DAB64D"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all saying the same thing</w:t>
            </w:r>
          </w:p>
        </w:tc>
      </w:tr>
      <w:tr w:rsidR="0021519F" w:rsidRPr="0021519F" w14:paraId="1014AF14" w14:textId="77777777" w:rsidTr="006A54BC">
        <w:tc>
          <w:tcPr>
            <w:tcW w:w="246" w:type="pct"/>
          </w:tcPr>
          <w:p w14:paraId="1C9425E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7A7FFA0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Dedicated person to act as women’s advocate (n = 7)</w:t>
            </w:r>
          </w:p>
        </w:tc>
        <w:tc>
          <w:tcPr>
            <w:tcW w:w="693" w:type="pct"/>
          </w:tcPr>
          <w:p w14:paraId="1AA7748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Someone who can explain the process of the service and who is there for women throughout the care pathway. </w:t>
            </w:r>
          </w:p>
        </w:tc>
        <w:tc>
          <w:tcPr>
            <w:tcW w:w="626" w:type="pct"/>
          </w:tcPr>
          <w:p w14:paraId="252D0E8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Lomonoco haycroft</w:t>
            </w:r>
          </w:p>
          <w:p w14:paraId="4C92CAC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3678F7B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59C3609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375DADD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w:t>
            </w:r>
          </w:p>
          <w:p w14:paraId="1FE3E0C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04334F4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Willey</w:t>
            </w:r>
          </w:p>
        </w:tc>
        <w:tc>
          <w:tcPr>
            <w:tcW w:w="963" w:type="pct"/>
          </w:tcPr>
          <w:p w14:paraId="3F74D22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Kim provides hardly any detail </w:t>
            </w:r>
          </w:p>
          <w:p w14:paraId="7FAECB9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Quantity:8</w:t>
            </w:r>
          </w:p>
        </w:tc>
        <w:tc>
          <w:tcPr>
            <w:tcW w:w="1156" w:type="pct"/>
          </w:tcPr>
          <w:p w14:paraId="6FC5BDF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more data is needed before conclusions can be made </w:t>
            </w:r>
          </w:p>
        </w:tc>
      </w:tr>
      <w:tr w:rsidR="0021519F" w:rsidRPr="0021519F" w14:paraId="4C534537" w14:textId="77777777" w:rsidTr="006A54BC">
        <w:tc>
          <w:tcPr>
            <w:tcW w:w="246" w:type="pct"/>
          </w:tcPr>
          <w:p w14:paraId="048D54B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3CF841D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Heavy workload (n = 20)</w:t>
            </w:r>
          </w:p>
        </w:tc>
        <w:tc>
          <w:tcPr>
            <w:tcW w:w="693" w:type="pct"/>
            <w:vMerge w:val="restart"/>
          </w:tcPr>
          <w:p w14:paraId="1B024F3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 heavy workload or not enough time to provide the care being offered by the service was a barrier to implementation and HCP appearing to busy to women was a barrier to PNMH access.</w:t>
            </w:r>
          </w:p>
        </w:tc>
        <w:tc>
          <w:tcPr>
            <w:tcW w:w="626" w:type="pct"/>
          </w:tcPr>
          <w:p w14:paraId="42A4B0D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Ammerman</w:t>
            </w:r>
          </w:p>
          <w:p w14:paraId="4321F29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0865533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Drozd</w:t>
            </w:r>
          </w:p>
          <w:p w14:paraId="323556B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Eappen</w:t>
            </w:r>
          </w:p>
          <w:p w14:paraId="434BA09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475D787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Fernandez</w:t>
            </w:r>
          </w:p>
          <w:p w14:paraId="67E3F18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2EB5C8F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0EECA94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28266C3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65137ED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McCauley</w:t>
            </w:r>
          </w:p>
          <w:p w14:paraId="37F68CD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w:t>
            </w:r>
          </w:p>
          <w:p w14:paraId="0885386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Nakku</w:t>
            </w:r>
          </w:p>
          <w:p w14:paraId="79D147F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6CC1CCC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61DAD62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2357400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653F676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4C6E38E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Willey</w:t>
            </w:r>
          </w:p>
        </w:tc>
        <w:tc>
          <w:tcPr>
            <w:tcW w:w="963" w:type="pct"/>
            <w:vMerge w:val="restart"/>
          </w:tcPr>
          <w:p w14:paraId="3B8AAE85"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Kim provides hardly any detail, Bina provides little detail</w:t>
            </w:r>
          </w:p>
          <w:p w14:paraId="5255F6A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26</w:t>
            </w:r>
          </w:p>
        </w:tc>
        <w:tc>
          <w:tcPr>
            <w:tcW w:w="1156" w:type="pct"/>
            <w:vMerge w:val="restart"/>
          </w:tcPr>
          <w:p w14:paraId="46E4A32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w:t>
            </w:r>
            <w:r w:rsidRPr="0021519F">
              <w:rPr>
                <w:rFonts w:ascii="Times New Roman" w:hAnsi="Times New Roman" w:cs="Times New Roman"/>
                <w:sz w:val="16"/>
                <w:szCs w:val="16"/>
              </w:rPr>
              <w:t xml:space="preserve">lots of data, all saying the same thing </w:t>
            </w:r>
          </w:p>
        </w:tc>
      </w:tr>
      <w:tr w:rsidR="0021519F" w:rsidRPr="0021519F" w14:paraId="677DAED0" w14:textId="77777777" w:rsidTr="006A54BC">
        <w:tc>
          <w:tcPr>
            <w:tcW w:w="246" w:type="pct"/>
          </w:tcPr>
          <w:p w14:paraId="31931E1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73F6C47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HCP appearing too busy from women’s perspective</w:t>
            </w:r>
          </w:p>
        </w:tc>
        <w:tc>
          <w:tcPr>
            <w:tcW w:w="693" w:type="pct"/>
            <w:vMerge/>
          </w:tcPr>
          <w:p w14:paraId="5CDB7D6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6B664AD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Dennis &amp; Chung-Lee, 2006; Hewitt et al., 2009; Megnin-Viggars et al., 2015; Slade et al., 2020; Viveiros &amp; Darling, 2018; Watson et al., 2019</w:t>
            </w:r>
          </w:p>
        </w:tc>
        <w:tc>
          <w:tcPr>
            <w:tcW w:w="963" w:type="pct"/>
            <w:vMerge/>
          </w:tcPr>
          <w:p w14:paraId="4E52921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50BC6BB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1E77D6ED" w14:textId="77777777" w:rsidTr="006A54BC">
        <w:tc>
          <w:tcPr>
            <w:tcW w:w="246" w:type="pct"/>
          </w:tcPr>
          <w:p w14:paraId="5BA83F2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608B699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Knowledge (n = 8)</w:t>
            </w:r>
          </w:p>
        </w:tc>
        <w:tc>
          <w:tcPr>
            <w:tcW w:w="693" w:type="pct"/>
            <w:vMerge w:val="restart"/>
          </w:tcPr>
          <w:p w14:paraId="5F5FEA4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Healthcare professionals not knowing about PNMI or the services available was a barrier to implementation, and women perceiving this to be the case was a barrier to access</w:t>
            </w:r>
          </w:p>
        </w:tc>
        <w:tc>
          <w:tcPr>
            <w:tcW w:w="626" w:type="pct"/>
          </w:tcPr>
          <w:p w14:paraId="7DAB86B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385D4F3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6EB5A8C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McCauley</w:t>
            </w:r>
          </w:p>
          <w:p w14:paraId="4A17ECE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 McHarg</w:t>
            </w:r>
          </w:p>
          <w:p w14:paraId="12E805E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Ormsby</w:t>
            </w:r>
          </w:p>
          <w:p w14:paraId="6A373A4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Reed</w:t>
            </w:r>
          </w:p>
          <w:p w14:paraId="63C4451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7B9C124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Beeber</w:t>
            </w:r>
          </w:p>
        </w:tc>
        <w:tc>
          <w:tcPr>
            <w:tcW w:w="963" w:type="pct"/>
            <w:vMerge w:val="restart"/>
          </w:tcPr>
          <w:p w14:paraId="2D76C042"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3FBA64F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6CBF378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7EC24F45"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7F67F56F"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523FAEC4"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7020706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2784885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226F4D8B"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22FEA27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p w14:paraId="1DAB885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Ormsby is vague </w:t>
            </w:r>
          </w:p>
          <w:p w14:paraId="58998A8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9 </w:t>
            </w:r>
          </w:p>
        </w:tc>
        <w:tc>
          <w:tcPr>
            <w:tcW w:w="1156" w:type="pct"/>
            <w:vMerge w:val="restart"/>
          </w:tcPr>
          <w:p w14:paraId="1563531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Minor: </w:t>
            </w:r>
            <w:r w:rsidRPr="0021519F">
              <w:rPr>
                <w:rFonts w:ascii="Times New Roman" w:hAnsi="Times New Roman" w:cs="Times New Roman"/>
                <w:sz w:val="16"/>
                <w:szCs w:val="16"/>
              </w:rPr>
              <w:t xml:space="preserve">if you take lack of knowledge generally then there are 16 studies that show this </w:t>
            </w:r>
          </w:p>
        </w:tc>
      </w:tr>
      <w:tr w:rsidR="0021519F" w:rsidRPr="0021519F" w14:paraId="13C91F29" w14:textId="77777777" w:rsidTr="006A54BC">
        <w:tc>
          <w:tcPr>
            <w:tcW w:w="246" w:type="pct"/>
          </w:tcPr>
          <w:p w14:paraId="767D0AB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lastRenderedPageBreak/>
              <w:t>2</w:t>
            </w:r>
          </w:p>
        </w:tc>
        <w:tc>
          <w:tcPr>
            <w:tcW w:w="1316" w:type="pct"/>
          </w:tcPr>
          <w:p w14:paraId="3610759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Women’s perception of HCPs knowledge about PNMH </w:t>
            </w:r>
          </w:p>
        </w:tc>
        <w:tc>
          <w:tcPr>
            <w:tcW w:w="693" w:type="pct"/>
            <w:vMerge/>
          </w:tcPr>
          <w:p w14:paraId="307C897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34B238A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Dennis &amp; Chung-Lee, 2006; Forde et al., 2020; Hansotte et al., 2017; Jones, 2019; Megnin-Viggars et al., 2015; Morrell et al., 2016</w:t>
            </w:r>
          </w:p>
        </w:tc>
        <w:tc>
          <w:tcPr>
            <w:tcW w:w="963" w:type="pct"/>
            <w:vMerge/>
          </w:tcPr>
          <w:p w14:paraId="34342EC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50F2F5B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6ACEAB5B" w14:textId="77777777" w:rsidTr="006A54BC">
        <w:tc>
          <w:tcPr>
            <w:tcW w:w="246" w:type="pct"/>
          </w:tcPr>
          <w:p w14:paraId="25BD2BC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654560DC" w14:textId="77777777" w:rsidR="0021519F" w:rsidRPr="0021519F" w:rsidRDefault="0021519F" w:rsidP="0021519F">
            <w:pPr>
              <w:pStyle w:val="ListParagraph"/>
              <w:spacing w:after="0" w:line="240" w:lineRule="auto"/>
              <w:ind w:left="0"/>
              <w:rPr>
                <w:rFonts w:ascii="Times New Roman" w:hAnsi="Times New Roman" w:cs="Times New Roman"/>
                <w:noProof/>
                <w:color w:val="000000"/>
                <w:sz w:val="16"/>
                <w:szCs w:val="16"/>
              </w:rPr>
            </w:pPr>
            <w:r w:rsidRPr="0021519F">
              <w:rPr>
                <w:rFonts w:ascii="Times New Roman" w:hAnsi="Times New Roman" w:cs="Times New Roman"/>
                <w:sz w:val="16"/>
                <w:szCs w:val="16"/>
              </w:rPr>
              <w:t>Women’s perception of HCPs knowledge of services/referral pathways</w:t>
            </w:r>
          </w:p>
        </w:tc>
        <w:tc>
          <w:tcPr>
            <w:tcW w:w="693" w:type="pct"/>
            <w:vMerge/>
          </w:tcPr>
          <w:p w14:paraId="31A1C38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25D698D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Dennis &amp; Chung-Lee, 2006; Smith et al., 2019; Viveiros &amp; Darling, 2018</w:t>
            </w:r>
          </w:p>
        </w:tc>
        <w:tc>
          <w:tcPr>
            <w:tcW w:w="963" w:type="pct"/>
          </w:tcPr>
          <w:p w14:paraId="34B31E1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Richness: all fine </w:t>
            </w:r>
          </w:p>
          <w:p w14:paraId="56954C7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7</w:t>
            </w:r>
          </w:p>
        </w:tc>
        <w:tc>
          <w:tcPr>
            <w:tcW w:w="1156" w:type="pct"/>
            <w:vMerge/>
          </w:tcPr>
          <w:p w14:paraId="38A3465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351C825B" w14:textId="77777777" w:rsidTr="006A54BC">
        <w:tc>
          <w:tcPr>
            <w:tcW w:w="246" w:type="pct"/>
          </w:tcPr>
          <w:p w14:paraId="1590B8E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6C12065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Supervision/Support (n = 6)</w:t>
            </w:r>
          </w:p>
        </w:tc>
        <w:tc>
          <w:tcPr>
            <w:tcW w:w="693" w:type="pct"/>
          </w:tcPr>
          <w:p w14:paraId="0A8995E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The opportunity for healthcare professionals to have a place to reflect and raise issues.</w:t>
            </w:r>
          </w:p>
        </w:tc>
        <w:tc>
          <w:tcPr>
            <w:tcW w:w="626" w:type="pct"/>
          </w:tcPr>
          <w:p w14:paraId="5B48097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75A1136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3F72D83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Munodawafa</w:t>
            </w:r>
          </w:p>
          <w:p w14:paraId="33DEC3C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Nakku</w:t>
            </w:r>
          </w:p>
          <w:p w14:paraId="0409697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781E8D6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Nithianden</w:t>
            </w:r>
          </w:p>
        </w:tc>
        <w:tc>
          <w:tcPr>
            <w:tcW w:w="963" w:type="pct"/>
          </w:tcPr>
          <w:p w14:paraId="4722BC1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provide an okay level of detail</w:t>
            </w:r>
          </w:p>
          <w:p w14:paraId="1A95E5D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6</w:t>
            </w:r>
          </w:p>
        </w:tc>
        <w:tc>
          <w:tcPr>
            <w:tcW w:w="1156" w:type="pct"/>
          </w:tcPr>
          <w:p w14:paraId="03A03BA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not the most detailed or quantity full theme, not enough evidence to draw conclusions </w:t>
            </w:r>
          </w:p>
        </w:tc>
      </w:tr>
      <w:tr w:rsidR="0021519F" w:rsidRPr="0021519F" w14:paraId="50EB0C74" w14:textId="77777777" w:rsidTr="006A54BC">
        <w:tc>
          <w:tcPr>
            <w:tcW w:w="246" w:type="pct"/>
          </w:tcPr>
          <w:p w14:paraId="21C1A1F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1C706B5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Training (n = 27)</w:t>
            </w:r>
          </w:p>
        </w:tc>
        <w:tc>
          <w:tcPr>
            <w:tcW w:w="693" w:type="pct"/>
          </w:tcPr>
          <w:p w14:paraId="1FD18DF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The opportunity for healthcare professionals to learn about perinatal mental illness and the care they are providing to women- poor or no training was associated with poor or no implementation.</w:t>
            </w:r>
          </w:p>
        </w:tc>
        <w:tc>
          <w:tcPr>
            <w:tcW w:w="626" w:type="pct"/>
          </w:tcPr>
          <w:p w14:paraId="4540158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Ammerman</w:t>
            </w:r>
          </w:p>
          <w:p w14:paraId="4686728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2016</w:t>
            </w:r>
          </w:p>
          <w:p w14:paraId="2EE4450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Atiff 2020</w:t>
            </w:r>
          </w:p>
          <w:p w14:paraId="0639599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Beeber</w:t>
            </w:r>
          </w:p>
          <w:p w14:paraId="612FB2B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7DE8697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58235A5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5F4DA08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Drozd</w:t>
            </w:r>
          </w:p>
          <w:p w14:paraId="401474F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Eappen</w:t>
            </w:r>
          </w:p>
          <w:p w14:paraId="6BD7453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3C8694D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1208B16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7289B5B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Judd</w:t>
            </w:r>
          </w:p>
          <w:p w14:paraId="280C573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7C7B967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Lind</w:t>
            </w:r>
          </w:p>
          <w:p w14:paraId="2C47AB1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Mccaluey</w:t>
            </w:r>
          </w:p>
          <w:p w14:paraId="547A9D9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w:t>
            </w:r>
          </w:p>
          <w:p w14:paraId="7EFC91B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Munodowar</w:t>
            </w:r>
          </w:p>
          <w:p w14:paraId="3A6E9D2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408FB74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647653D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Reed</w:t>
            </w:r>
          </w:p>
          <w:p w14:paraId="2A7C2CE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78D3C87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6FBFB8E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Willey</w:t>
            </w:r>
          </w:p>
          <w:p w14:paraId="29247C9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Williams</w:t>
            </w:r>
          </w:p>
        </w:tc>
        <w:tc>
          <w:tcPr>
            <w:tcW w:w="963" w:type="pct"/>
          </w:tcPr>
          <w:p w14:paraId="77CD43A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Chartier doesn’t provide a high level of detail</w:t>
            </w:r>
          </w:p>
          <w:p w14:paraId="18A9A62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25</w:t>
            </w:r>
          </w:p>
        </w:tc>
        <w:tc>
          <w:tcPr>
            <w:tcW w:w="1156" w:type="pct"/>
          </w:tcPr>
          <w:p w14:paraId="3F58E8E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w:t>
            </w:r>
            <w:r w:rsidRPr="0021519F">
              <w:rPr>
                <w:rFonts w:ascii="Times New Roman" w:hAnsi="Times New Roman" w:cs="Times New Roman"/>
                <w:sz w:val="16"/>
                <w:szCs w:val="16"/>
              </w:rPr>
              <w:t xml:space="preserve">a lot of studies, providing a good level of detail about training </w:t>
            </w:r>
          </w:p>
        </w:tc>
      </w:tr>
      <w:tr w:rsidR="0021519F" w:rsidRPr="0021519F" w14:paraId="2ECCD299" w14:textId="77777777" w:rsidTr="006A54BC">
        <w:tc>
          <w:tcPr>
            <w:tcW w:w="246" w:type="pct"/>
          </w:tcPr>
          <w:p w14:paraId="64499CA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770A81D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HCP not recognising help-seeking</w:t>
            </w:r>
          </w:p>
        </w:tc>
        <w:tc>
          <w:tcPr>
            <w:tcW w:w="693" w:type="pct"/>
          </w:tcPr>
          <w:p w14:paraId="6923D52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This impacted women’s access to care</w:t>
            </w:r>
          </w:p>
        </w:tc>
        <w:tc>
          <w:tcPr>
            <w:tcW w:w="626" w:type="pct"/>
          </w:tcPr>
          <w:p w14:paraId="1EB5B82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Megnin-Viggars et al., 2015; Tobin et al., 2018; Watson et al., 2019</w:t>
            </w:r>
          </w:p>
        </w:tc>
        <w:tc>
          <w:tcPr>
            <w:tcW w:w="963" w:type="pct"/>
          </w:tcPr>
          <w:p w14:paraId="3C66685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Most studies only provide a basic level of detail </w:t>
            </w:r>
          </w:p>
          <w:p w14:paraId="3FBE9A7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5</w:t>
            </w:r>
          </w:p>
        </w:tc>
        <w:tc>
          <w:tcPr>
            <w:tcW w:w="1156" w:type="pct"/>
          </w:tcPr>
          <w:p w14:paraId="0E38A98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Not enough detailed data to draw a conclusion. </w:t>
            </w:r>
          </w:p>
        </w:tc>
      </w:tr>
      <w:tr w:rsidR="0021519F" w:rsidRPr="0021519F" w14:paraId="0A56DE27" w14:textId="77777777" w:rsidTr="0021519F">
        <w:tc>
          <w:tcPr>
            <w:tcW w:w="246" w:type="pct"/>
            <w:shd w:val="clear" w:color="auto" w:fill="A6A6A6" w:themeFill="background1" w:themeFillShade="A6"/>
          </w:tcPr>
          <w:p w14:paraId="02B80BA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316" w:type="pct"/>
            <w:shd w:val="clear" w:color="auto" w:fill="A6A6A6" w:themeFill="background1" w:themeFillShade="A6"/>
          </w:tcPr>
          <w:p w14:paraId="69A3D7D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Interpersonal </w:t>
            </w:r>
          </w:p>
        </w:tc>
        <w:tc>
          <w:tcPr>
            <w:tcW w:w="693" w:type="pct"/>
            <w:shd w:val="clear" w:color="auto" w:fill="A6A6A6" w:themeFill="background1" w:themeFillShade="A6"/>
          </w:tcPr>
          <w:p w14:paraId="4D9D1D1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shd w:val="clear" w:color="auto" w:fill="A6A6A6" w:themeFill="background1" w:themeFillShade="A6"/>
          </w:tcPr>
          <w:p w14:paraId="1F71EA1A"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shd w:val="clear" w:color="auto" w:fill="A6A6A6" w:themeFill="background1" w:themeFillShade="A6"/>
          </w:tcPr>
          <w:p w14:paraId="702EACC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shd w:val="clear" w:color="auto" w:fill="A6A6A6" w:themeFill="background1" w:themeFillShade="A6"/>
          </w:tcPr>
          <w:p w14:paraId="49A642A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5799E62" w14:textId="77777777" w:rsidTr="006A54BC">
        <w:tc>
          <w:tcPr>
            <w:tcW w:w="246" w:type="pct"/>
          </w:tcPr>
          <w:p w14:paraId="4195327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lastRenderedPageBreak/>
              <w:t>1</w:t>
            </w:r>
          </w:p>
        </w:tc>
        <w:tc>
          <w:tcPr>
            <w:tcW w:w="1316" w:type="pct"/>
          </w:tcPr>
          <w:p w14:paraId="13BDF73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Language barriers (n = 10)</w:t>
            </w:r>
          </w:p>
        </w:tc>
        <w:tc>
          <w:tcPr>
            <w:tcW w:w="693" w:type="pct"/>
            <w:vMerge w:val="restart"/>
          </w:tcPr>
          <w:p w14:paraId="79C0E53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Difficulties in communication due to women and healthcare professionals speaking different languages affected implementation and access.</w:t>
            </w:r>
          </w:p>
        </w:tc>
        <w:tc>
          <w:tcPr>
            <w:tcW w:w="626" w:type="pct"/>
          </w:tcPr>
          <w:p w14:paraId="78268E0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7A247A8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647DD6A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4AA17CE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w:t>
            </w:r>
          </w:p>
          <w:p w14:paraId="3041330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Munodowafa</w:t>
            </w:r>
          </w:p>
          <w:p w14:paraId="5050A66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Nithiaden</w:t>
            </w:r>
          </w:p>
          <w:p w14:paraId="410DBDF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Pinero-leano</w:t>
            </w:r>
          </w:p>
          <w:p w14:paraId="473CF40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Segre</w:t>
            </w:r>
          </w:p>
          <w:p w14:paraId="0869DDA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Willey</w:t>
            </w:r>
          </w:p>
          <w:p w14:paraId="6069ED5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Williams</w:t>
            </w:r>
          </w:p>
        </w:tc>
        <w:tc>
          <w:tcPr>
            <w:tcW w:w="963" w:type="pct"/>
            <w:vMerge w:val="restart"/>
          </w:tcPr>
          <w:p w14:paraId="5AC41FD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Data is detailed </w:t>
            </w:r>
          </w:p>
          <w:p w14:paraId="31065C24"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Quantity: 16 </w:t>
            </w:r>
          </w:p>
        </w:tc>
        <w:tc>
          <w:tcPr>
            <w:tcW w:w="1156" w:type="pct"/>
          </w:tcPr>
          <w:p w14:paraId="5C098D2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No/V minor: </w:t>
            </w:r>
            <w:r w:rsidRPr="0021519F">
              <w:rPr>
                <w:rFonts w:ascii="Times New Roman" w:hAnsi="Times New Roman" w:cs="Times New Roman"/>
                <w:sz w:val="16"/>
                <w:szCs w:val="16"/>
              </w:rPr>
              <w:t xml:space="preserve">detailed data provided across 2 systematic reviews, all saying the same thing + support from stakeholder meetings </w:t>
            </w:r>
          </w:p>
        </w:tc>
      </w:tr>
      <w:tr w:rsidR="0021519F" w:rsidRPr="0021519F" w14:paraId="1790CCE3" w14:textId="77777777" w:rsidTr="006A54BC">
        <w:tc>
          <w:tcPr>
            <w:tcW w:w="246" w:type="pct"/>
          </w:tcPr>
          <w:p w14:paraId="55BE07C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763DC9B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3B6F681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3BF802D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Button et al., 2017; Dennis &amp; Chung-Lee, 2006; Hansotte et al., 2017; Megnin-Viggars et al., 2015; Schmied et al., 2017; Smith et al., 2019</w:t>
            </w:r>
          </w:p>
        </w:tc>
        <w:tc>
          <w:tcPr>
            <w:tcW w:w="963" w:type="pct"/>
            <w:vMerge/>
          </w:tcPr>
          <w:p w14:paraId="34926B9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703760F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03F3B2F2" w14:textId="77777777" w:rsidTr="006A54BC">
        <w:tc>
          <w:tcPr>
            <w:tcW w:w="246" w:type="pct"/>
          </w:tcPr>
          <w:p w14:paraId="2910E76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SH</w:t>
            </w:r>
          </w:p>
        </w:tc>
        <w:tc>
          <w:tcPr>
            <w:tcW w:w="1316" w:type="pct"/>
          </w:tcPr>
          <w:p w14:paraId="088AF49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55D66DA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1E3A1C07"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Discussions of this in the stakeholder meetings</w:t>
            </w:r>
          </w:p>
        </w:tc>
        <w:tc>
          <w:tcPr>
            <w:tcW w:w="963" w:type="pct"/>
          </w:tcPr>
          <w:p w14:paraId="3652096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043F1AC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2AE05FBB" w14:textId="77777777" w:rsidTr="006A54BC">
        <w:tc>
          <w:tcPr>
            <w:tcW w:w="246" w:type="pct"/>
          </w:tcPr>
          <w:p w14:paraId="37248F2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1095CA6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Open and honest communication (n = 11)</w:t>
            </w:r>
          </w:p>
          <w:p w14:paraId="5D8394F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val="restart"/>
          </w:tcPr>
          <w:p w14:paraId="1BF6614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and healthcare professionals being able to speak openly and honestly without fear of judgement – aids implementation . Women like to be informed of what will he happening, and for HCPs to listen to them this aids access</w:t>
            </w:r>
          </w:p>
        </w:tc>
        <w:tc>
          <w:tcPr>
            <w:tcW w:w="626" w:type="pct"/>
          </w:tcPr>
          <w:p w14:paraId="55FEDEA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2DB14C5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Shakespeare</w:t>
            </w:r>
          </w:p>
          <w:p w14:paraId="05C9A57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p w14:paraId="23DE224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1BD6837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0F7D6AF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Beeber</w:t>
            </w:r>
          </w:p>
          <w:p w14:paraId="597DEC5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4EE162B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Willey</w:t>
            </w:r>
          </w:p>
          <w:p w14:paraId="3794991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Gannan</w:t>
            </w:r>
          </w:p>
        </w:tc>
        <w:tc>
          <w:tcPr>
            <w:tcW w:w="963" w:type="pct"/>
            <w:vMerge w:val="restart"/>
          </w:tcPr>
          <w:p w14:paraId="5AC0D67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Data is quite rich, but not as rich as other themes </w:t>
            </w:r>
          </w:p>
          <w:p w14:paraId="32EFD93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13</w:t>
            </w:r>
          </w:p>
        </w:tc>
        <w:tc>
          <w:tcPr>
            <w:tcW w:w="1156" w:type="pct"/>
            <w:vMerge w:val="restart"/>
          </w:tcPr>
          <w:p w14:paraId="366DBC5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issues: </w:t>
            </w:r>
            <w:r w:rsidRPr="0021519F">
              <w:rPr>
                <w:rFonts w:ascii="Times New Roman" w:hAnsi="Times New Roman" w:cs="Times New Roman"/>
                <w:sz w:val="16"/>
                <w:szCs w:val="16"/>
              </w:rPr>
              <w:t xml:space="preserve">communication is important for women and HCPs but some depth lacking </w:t>
            </w:r>
          </w:p>
        </w:tc>
      </w:tr>
      <w:tr w:rsidR="0021519F" w:rsidRPr="0021519F" w14:paraId="7DCF0F37" w14:textId="77777777" w:rsidTr="006A54BC">
        <w:tc>
          <w:tcPr>
            <w:tcW w:w="246" w:type="pct"/>
          </w:tcPr>
          <w:p w14:paraId="7CC54CE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3823BD5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Communication</w:t>
            </w:r>
          </w:p>
        </w:tc>
        <w:tc>
          <w:tcPr>
            <w:tcW w:w="693" w:type="pct"/>
            <w:vMerge/>
          </w:tcPr>
          <w:p w14:paraId="4E24806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695F1E0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Brealey et al., 2010; Forde et al., 2020; Hadfield &amp; Wittkowski, 2017; Hewitt et al., 2009</w:t>
            </w:r>
          </w:p>
        </w:tc>
        <w:tc>
          <w:tcPr>
            <w:tcW w:w="963" w:type="pct"/>
            <w:vMerge/>
          </w:tcPr>
          <w:p w14:paraId="010EC86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2F2A1E0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5A7CCD72" w14:textId="77777777" w:rsidTr="006A54BC">
        <w:tc>
          <w:tcPr>
            <w:tcW w:w="246" w:type="pct"/>
          </w:tcPr>
          <w:p w14:paraId="0B87B56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7047927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Information provision</w:t>
            </w:r>
          </w:p>
        </w:tc>
        <w:tc>
          <w:tcPr>
            <w:tcW w:w="693" w:type="pct"/>
          </w:tcPr>
          <w:p w14:paraId="04CB2C8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like to have information shared with them, this aids access</w:t>
            </w:r>
          </w:p>
        </w:tc>
        <w:tc>
          <w:tcPr>
            <w:tcW w:w="626" w:type="pct"/>
          </w:tcPr>
          <w:p w14:paraId="017851E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Dennis; Hadfield; Jones Megnin-Viggars et al., 2015; Randall &amp; Briscoe, 2018; Slade et al., 2020; Sorsa et al., 2021; </w:t>
            </w:r>
          </w:p>
        </w:tc>
        <w:tc>
          <w:tcPr>
            <w:tcW w:w="963" w:type="pct"/>
          </w:tcPr>
          <w:p w14:paraId="7FEB8F8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Jones is not detailed </w:t>
            </w:r>
          </w:p>
          <w:p w14:paraId="0AEDB16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8</w:t>
            </w:r>
          </w:p>
        </w:tc>
        <w:tc>
          <w:tcPr>
            <w:tcW w:w="1156" w:type="pct"/>
          </w:tcPr>
          <w:p w14:paraId="5BBC1BA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There are more detailed themes, and only 8 studies supporting this theme </w:t>
            </w:r>
          </w:p>
        </w:tc>
      </w:tr>
      <w:tr w:rsidR="0021519F" w:rsidRPr="0021519F" w14:paraId="372204D5" w14:textId="77777777" w:rsidTr="006A54BC">
        <w:tc>
          <w:tcPr>
            <w:tcW w:w="246" w:type="pct"/>
          </w:tcPr>
          <w:p w14:paraId="00E2861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0D3E63D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Shared decision making</w:t>
            </w:r>
          </w:p>
        </w:tc>
        <w:tc>
          <w:tcPr>
            <w:tcW w:w="693" w:type="pct"/>
          </w:tcPr>
          <w:p w14:paraId="2D88056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like to make decisions about their care with HCPs, this aids access</w:t>
            </w:r>
          </w:p>
        </w:tc>
        <w:tc>
          <w:tcPr>
            <w:tcW w:w="626" w:type="pct"/>
          </w:tcPr>
          <w:p w14:paraId="5643C91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Hadfield &amp; Wittkowski, 2017; Megnin-Viggars et al., 2015; Morrell et al., 2016; Randall &amp; Briscoe, 2018; Scope et al., 2017</w:t>
            </w:r>
          </w:p>
        </w:tc>
        <w:tc>
          <w:tcPr>
            <w:tcW w:w="963" w:type="pct"/>
          </w:tcPr>
          <w:p w14:paraId="0185A3C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Data is moderately rich</w:t>
            </w:r>
          </w:p>
          <w:p w14:paraId="7EE8B83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6</w:t>
            </w:r>
          </w:p>
        </w:tc>
        <w:tc>
          <w:tcPr>
            <w:tcW w:w="1156" w:type="pct"/>
          </w:tcPr>
          <w:p w14:paraId="40EF4B2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There are more detailed themes, and only 6 studies supporting this theme</w:t>
            </w:r>
          </w:p>
        </w:tc>
      </w:tr>
      <w:tr w:rsidR="0021519F" w:rsidRPr="0021519F" w14:paraId="262CC020" w14:textId="77777777" w:rsidTr="006A54BC">
        <w:tc>
          <w:tcPr>
            <w:tcW w:w="246" w:type="pct"/>
          </w:tcPr>
          <w:p w14:paraId="2F20430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lastRenderedPageBreak/>
              <w:t>1</w:t>
            </w:r>
          </w:p>
        </w:tc>
        <w:tc>
          <w:tcPr>
            <w:tcW w:w="1316" w:type="pct"/>
          </w:tcPr>
          <w:p w14:paraId="03B87A1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Privacy and confidentiality (n = 8)</w:t>
            </w:r>
          </w:p>
        </w:tc>
        <w:tc>
          <w:tcPr>
            <w:tcW w:w="693" w:type="pct"/>
          </w:tcPr>
          <w:p w14:paraId="5730018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and healthcare professionals being able to interact in privacy.</w:t>
            </w:r>
          </w:p>
        </w:tc>
        <w:tc>
          <w:tcPr>
            <w:tcW w:w="626" w:type="pct"/>
          </w:tcPr>
          <w:p w14:paraId="67B7244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77F6C2C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509A4A9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4A2C730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Jallo</w:t>
            </w:r>
          </w:p>
          <w:p w14:paraId="264583C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w:t>
            </w:r>
          </w:p>
          <w:p w14:paraId="53DE020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Omahen</w:t>
            </w:r>
          </w:p>
          <w:p w14:paraId="0701778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Pineros-Leano</w:t>
            </w:r>
          </w:p>
          <w:p w14:paraId="5E524DF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Pugh</w:t>
            </w:r>
          </w:p>
        </w:tc>
        <w:tc>
          <w:tcPr>
            <w:tcW w:w="963" w:type="pct"/>
          </w:tcPr>
          <w:p w14:paraId="16865FE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Higgins, v v lacking in detail </w:t>
            </w:r>
          </w:p>
          <w:p w14:paraId="3C1A63A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8</w:t>
            </w:r>
          </w:p>
        </w:tc>
        <w:tc>
          <w:tcPr>
            <w:tcW w:w="1156" w:type="pct"/>
          </w:tcPr>
          <w:p w14:paraId="5B6E011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There are more detailed themes, and only 8 studies supporting this theme</w:t>
            </w:r>
          </w:p>
        </w:tc>
      </w:tr>
      <w:tr w:rsidR="0021519F" w:rsidRPr="0021519F" w14:paraId="2AD022AA" w14:textId="77777777" w:rsidTr="006A54BC">
        <w:tc>
          <w:tcPr>
            <w:tcW w:w="246" w:type="pct"/>
          </w:tcPr>
          <w:p w14:paraId="1DD34D4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E47E1A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Trusting relationship (n = 15)</w:t>
            </w:r>
          </w:p>
        </w:tc>
        <w:tc>
          <w:tcPr>
            <w:tcW w:w="693" w:type="pct"/>
            <w:vMerge w:val="restart"/>
          </w:tcPr>
          <w:p w14:paraId="36A977A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feeling safe with healthcare professionals to be able to be open and honest about their feelings this aided implementation and access.</w:t>
            </w:r>
          </w:p>
        </w:tc>
        <w:tc>
          <w:tcPr>
            <w:tcW w:w="626" w:type="pct"/>
          </w:tcPr>
          <w:p w14:paraId="1E5EFD6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2016</w:t>
            </w:r>
          </w:p>
          <w:p w14:paraId="3D2D49A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0D6FDD6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178D2EF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1E500B0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Hadfield</w:t>
            </w:r>
          </w:p>
          <w:p w14:paraId="7FC30B9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789F8A3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1B8690B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Leger</w:t>
            </w:r>
          </w:p>
          <w:p w14:paraId="146B690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77A8ADC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Shakespeare</w:t>
            </w:r>
          </w:p>
          <w:p w14:paraId="1D2041C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7989357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1FD4972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Willey</w:t>
            </w:r>
          </w:p>
          <w:p w14:paraId="39B6ADB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p w14:paraId="303358C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Young</w:t>
            </w:r>
          </w:p>
        </w:tc>
        <w:tc>
          <w:tcPr>
            <w:tcW w:w="963" w:type="pct"/>
            <w:vMerge w:val="restart"/>
          </w:tcPr>
          <w:p w14:paraId="3CE21B4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Most data is well detailed </w:t>
            </w:r>
          </w:p>
          <w:p w14:paraId="493CF06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25</w:t>
            </w:r>
          </w:p>
        </w:tc>
        <w:tc>
          <w:tcPr>
            <w:tcW w:w="1156" w:type="pct"/>
          </w:tcPr>
          <w:p w14:paraId="41DF33B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No/V minor: </w:t>
            </w:r>
            <w:r w:rsidRPr="0021519F">
              <w:rPr>
                <w:rFonts w:ascii="Times New Roman" w:hAnsi="Times New Roman" w:cs="Times New Roman"/>
                <w:sz w:val="16"/>
                <w:szCs w:val="16"/>
              </w:rPr>
              <w:t xml:space="preserve">There is a lot of data saying the same thing </w:t>
            </w:r>
          </w:p>
        </w:tc>
      </w:tr>
      <w:tr w:rsidR="0021519F" w:rsidRPr="0021519F" w14:paraId="3F16B28C" w14:textId="77777777" w:rsidTr="006A54BC">
        <w:trPr>
          <w:trHeight w:val="4443"/>
        </w:trPr>
        <w:tc>
          <w:tcPr>
            <w:tcW w:w="246" w:type="pct"/>
          </w:tcPr>
          <w:p w14:paraId="0DCEA12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4B096DB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Relationship and rapport</w:t>
            </w:r>
          </w:p>
        </w:tc>
        <w:tc>
          <w:tcPr>
            <w:tcW w:w="693" w:type="pct"/>
            <w:vMerge/>
          </w:tcPr>
          <w:p w14:paraId="43C3252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307525E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Brealey et al., 2010; Dennis &amp; Chung-Lee, 2006; Hadfield &amp; Wittkowski, 2017; Hewitt et al., 2009; Megnin-Viggars et al., 2015; Morrell et al., 2016; Scope et al., 2017; Slade et al., 2020; Tobin et al., 2018</w:t>
            </w:r>
          </w:p>
        </w:tc>
        <w:tc>
          <w:tcPr>
            <w:tcW w:w="963" w:type="pct"/>
            <w:vMerge/>
          </w:tcPr>
          <w:p w14:paraId="193CF05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51DDA52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1CEC1BE6" w14:textId="77777777" w:rsidTr="0021519F">
        <w:tc>
          <w:tcPr>
            <w:tcW w:w="246" w:type="pct"/>
            <w:shd w:val="clear" w:color="auto" w:fill="A6A6A6" w:themeFill="background1" w:themeFillShade="A6"/>
          </w:tcPr>
          <w:p w14:paraId="64CC80B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316" w:type="pct"/>
            <w:shd w:val="clear" w:color="auto" w:fill="A6A6A6" w:themeFill="background1" w:themeFillShade="A6"/>
          </w:tcPr>
          <w:p w14:paraId="1473073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Medication</w:t>
            </w:r>
          </w:p>
        </w:tc>
        <w:tc>
          <w:tcPr>
            <w:tcW w:w="693" w:type="pct"/>
            <w:shd w:val="clear" w:color="auto" w:fill="A6A6A6" w:themeFill="background1" w:themeFillShade="A6"/>
          </w:tcPr>
          <w:p w14:paraId="1BE8597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shd w:val="clear" w:color="auto" w:fill="A6A6A6" w:themeFill="background1" w:themeFillShade="A6"/>
          </w:tcPr>
          <w:p w14:paraId="3BBD0292"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shd w:val="clear" w:color="auto" w:fill="A6A6A6" w:themeFill="background1" w:themeFillShade="A6"/>
          </w:tcPr>
          <w:p w14:paraId="5D187AC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shd w:val="clear" w:color="auto" w:fill="A6A6A6" w:themeFill="background1" w:themeFillShade="A6"/>
          </w:tcPr>
          <w:p w14:paraId="0F2BC33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01051B7E" w14:textId="77777777" w:rsidTr="006A54BC">
        <w:tc>
          <w:tcPr>
            <w:tcW w:w="246" w:type="pct"/>
          </w:tcPr>
          <w:p w14:paraId="28F70C0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316" w:type="pct"/>
          </w:tcPr>
          <w:p w14:paraId="2894B78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HCPs reluctance</w:t>
            </w:r>
          </w:p>
        </w:tc>
        <w:tc>
          <w:tcPr>
            <w:tcW w:w="693" w:type="pct"/>
          </w:tcPr>
          <w:p w14:paraId="6C520AE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Healthcare professionals having little confidence in prescribing medication or knowing which medications are safe during pregnancy and breastfeeding</w:t>
            </w:r>
          </w:p>
        </w:tc>
        <w:tc>
          <w:tcPr>
            <w:tcW w:w="626" w:type="pct"/>
          </w:tcPr>
          <w:p w14:paraId="22798E6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2C598FC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Byatt</w:t>
            </w:r>
          </w:p>
          <w:p w14:paraId="02EE07F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Noonan</w:t>
            </w:r>
          </w:p>
        </w:tc>
        <w:tc>
          <w:tcPr>
            <w:tcW w:w="963" w:type="pct"/>
          </w:tcPr>
          <w:p w14:paraId="00B4181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There is detailed data supporting this theme</w:t>
            </w:r>
          </w:p>
          <w:p w14:paraId="180D459D"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3</w:t>
            </w:r>
          </w:p>
        </w:tc>
        <w:tc>
          <w:tcPr>
            <w:tcW w:w="1156" w:type="pct"/>
          </w:tcPr>
          <w:p w14:paraId="503449E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Not enough data to draw conclusions </w:t>
            </w:r>
          </w:p>
        </w:tc>
      </w:tr>
      <w:tr w:rsidR="0021519F" w:rsidRPr="0021519F" w14:paraId="2F8B5A2E" w14:textId="77777777" w:rsidTr="006A54BC">
        <w:tc>
          <w:tcPr>
            <w:tcW w:w="246" w:type="pct"/>
          </w:tcPr>
          <w:p w14:paraId="3BFC694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vMerge w:val="restart"/>
          </w:tcPr>
          <w:p w14:paraId="5D5F544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Women’s reluctance</w:t>
            </w:r>
          </w:p>
        </w:tc>
        <w:tc>
          <w:tcPr>
            <w:tcW w:w="693" w:type="pct"/>
            <w:vMerge w:val="restart"/>
          </w:tcPr>
          <w:p w14:paraId="2D30454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Women not wanting to take medication affects implementation of care and access. </w:t>
            </w:r>
          </w:p>
        </w:tc>
        <w:tc>
          <w:tcPr>
            <w:tcW w:w="626" w:type="pct"/>
          </w:tcPr>
          <w:p w14:paraId="2FDDFAA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w:t>
            </w:r>
          </w:p>
          <w:p w14:paraId="71E58DF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0E83360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Williamns</w:t>
            </w:r>
          </w:p>
          <w:p w14:paraId="5ABBD47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Young</w:t>
            </w:r>
          </w:p>
        </w:tc>
        <w:tc>
          <w:tcPr>
            <w:tcW w:w="963" w:type="pct"/>
            <w:vMerge w:val="restart"/>
          </w:tcPr>
          <w:p w14:paraId="72D224E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Jones did not provide rich, detailed data </w:t>
            </w:r>
          </w:p>
          <w:p w14:paraId="02DFA08C"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12</w:t>
            </w:r>
          </w:p>
        </w:tc>
        <w:tc>
          <w:tcPr>
            <w:tcW w:w="1156" w:type="pct"/>
            <w:vMerge w:val="restart"/>
          </w:tcPr>
          <w:p w14:paraId="581EC57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 </w:t>
            </w:r>
            <w:r w:rsidRPr="0021519F">
              <w:rPr>
                <w:rFonts w:ascii="Times New Roman" w:hAnsi="Times New Roman" w:cs="Times New Roman"/>
                <w:sz w:val="16"/>
                <w:szCs w:val="16"/>
              </w:rPr>
              <w:t>Multiple studies showing the same thing</w:t>
            </w:r>
          </w:p>
        </w:tc>
      </w:tr>
      <w:tr w:rsidR="0021519F" w:rsidRPr="0021519F" w14:paraId="5C799BC9" w14:textId="77777777" w:rsidTr="006A54BC">
        <w:tc>
          <w:tcPr>
            <w:tcW w:w="246" w:type="pct"/>
          </w:tcPr>
          <w:p w14:paraId="100F544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vMerge/>
          </w:tcPr>
          <w:p w14:paraId="3721F3A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2C8D13C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3B3D79E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Dennis, Tobin, Jones &amp; Sorsa, Megnin Viggers, Hadfield, Bina and Button</w:t>
            </w:r>
          </w:p>
        </w:tc>
        <w:tc>
          <w:tcPr>
            <w:tcW w:w="963" w:type="pct"/>
            <w:vMerge/>
          </w:tcPr>
          <w:p w14:paraId="407AC2B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408C2BD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41EA491" w14:textId="77777777" w:rsidTr="0021519F">
        <w:tc>
          <w:tcPr>
            <w:tcW w:w="246" w:type="pct"/>
            <w:shd w:val="clear" w:color="auto" w:fill="A6A6A6" w:themeFill="background1" w:themeFillShade="A6"/>
          </w:tcPr>
          <w:p w14:paraId="405A43F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316" w:type="pct"/>
            <w:shd w:val="clear" w:color="auto" w:fill="A6A6A6" w:themeFill="background1" w:themeFillShade="A6"/>
          </w:tcPr>
          <w:p w14:paraId="61EE1B51"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Ideal care </w:t>
            </w:r>
          </w:p>
        </w:tc>
        <w:tc>
          <w:tcPr>
            <w:tcW w:w="693" w:type="pct"/>
            <w:shd w:val="clear" w:color="auto" w:fill="A6A6A6" w:themeFill="background1" w:themeFillShade="A6"/>
          </w:tcPr>
          <w:p w14:paraId="069AE24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shd w:val="clear" w:color="auto" w:fill="A6A6A6" w:themeFill="background1" w:themeFillShade="A6"/>
          </w:tcPr>
          <w:p w14:paraId="7EE8385A"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shd w:val="clear" w:color="auto" w:fill="A6A6A6" w:themeFill="background1" w:themeFillShade="A6"/>
          </w:tcPr>
          <w:p w14:paraId="2DC6BE1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shd w:val="clear" w:color="auto" w:fill="A6A6A6" w:themeFill="background1" w:themeFillShade="A6"/>
          </w:tcPr>
          <w:p w14:paraId="3C78749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30B15C4C" w14:textId="77777777" w:rsidTr="006A54BC">
        <w:tc>
          <w:tcPr>
            <w:tcW w:w="246" w:type="pct"/>
          </w:tcPr>
          <w:p w14:paraId="569C405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vMerge w:val="restart"/>
          </w:tcPr>
          <w:p w14:paraId="435D389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Appropriateness</w:t>
            </w:r>
          </w:p>
          <w:p w14:paraId="6A50399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Appropriateness of care (n = 6)</w:t>
            </w:r>
          </w:p>
          <w:p w14:paraId="22BF308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Appropriateness </w:t>
            </w:r>
          </w:p>
        </w:tc>
        <w:tc>
          <w:tcPr>
            <w:tcW w:w="693" w:type="pct"/>
            <w:vMerge w:val="restart"/>
          </w:tcPr>
          <w:p w14:paraId="1BB6560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Care sensitively designed to fit women’s needs improved implementation and access</w:t>
            </w:r>
          </w:p>
        </w:tc>
        <w:tc>
          <w:tcPr>
            <w:tcW w:w="626" w:type="pct"/>
          </w:tcPr>
          <w:p w14:paraId="3D0E5AD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6ABF312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43CDC9E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48C8C01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963" w:type="pct"/>
            <w:vMerge w:val="restart"/>
          </w:tcPr>
          <w:p w14:paraId="587D621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Data is relevatively rich </w:t>
            </w:r>
          </w:p>
          <w:p w14:paraId="5D299167"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6</w:t>
            </w:r>
          </w:p>
        </w:tc>
        <w:tc>
          <w:tcPr>
            <w:tcW w:w="1156" w:type="pct"/>
            <w:vMerge w:val="restart"/>
          </w:tcPr>
          <w:p w14:paraId="1EBC165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Not enough data to draw conclusions</w:t>
            </w:r>
          </w:p>
        </w:tc>
      </w:tr>
      <w:tr w:rsidR="0021519F" w:rsidRPr="0021519F" w14:paraId="304A8567" w14:textId="77777777" w:rsidTr="006A54BC">
        <w:tc>
          <w:tcPr>
            <w:tcW w:w="246" w:type="pct"/>
          </w:tcPr>
          <w:p w14:paraId="1F2EA9E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vMerge/>
          </w:tcPr>
          <w:p w14:paraId="5C38B1A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0604FA8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080B441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Evans et al., 2020; Megnin-Viggars et al., 2015; Scope et al., 2017; </w:t>
            </w:r>
          </w:p>
        </w:tc>
        <w:tc>
          <w:tcPr>
            <w:tcW w:w="963" w:type="pct"/>
            <w:vMerge/>
          </w:tcPr>
          <w:p w14:paraId="333EF6C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118ED9E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209DA9CC" w14:textId="77777777" w:rsidTr="006A54BC">
        <w:tc>
          <w:tcPr>
            <w:tcW w:w="246" w:type="pct"/>
          </w:tcPr>
          <w:p w14:paraId="35EC9E6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5184C08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Culturally appropriate</w:t>
            </w:r>
          </w:p>
        </w:tc>
        <w:tc>
          <w:tcPr>
            <w:tcW w:w="693" w:type="pct"/>
          </w:tcPr>
          <w:p w14:paraId="6CDB24A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In line with this care needed to be culturally appropriate to fit to women’s individual cultural needs</w:t>
            </w:r>
          </w:p>
        </w:tc>
        <w:tc>
          <w:tcPr>
            <w:tcW w:w="626" w:type="pct"/>
          </w:tcPr>
          <w:p w14:paraId="2E1B0A0B" w14:textId="77777777" w:rsidR="0021519F" w:rsidRPr="0021519F" w:rsidRDefault="0021519F" w:rsidP="0021519F">
            <w:pPr>
              <w:spacing w:line="240" w:lineRule="auto"/>
              <w:ind w:firstLine="0"/>
              <w:rPr>
                <w:rFonts w:ascii="Times New Roman" w:hAnsi="Times New Roman" w:cs="Times New Roman"/>
                <w:noProof/>
                <w:color w:val="000000"/>
                <w:sz w:val="16"/>
                <w:szCs w:val="16"/>
                <w:highlight w:val="yellow"/>
              </w:rPr>
            </w:pPr>
            <w:r w:rsidRPr="0021519F">
              <w:rPr>
                <w:rFonts w:ascii="Times New Roman" w:hAnsi="Times New Roman" w:cs="Times New Roman"/>
                <w:noProof/>
                <w:color w:val="000000"/>
                <w:sz w:val="16"/>
                <w:szCs w:val="16"/>
              </w:rPr>
              <w:t>Button et al., 2017; Dennis &amp; Chung-Lee, 2006; Hadfield &amp; Wittkowski, 2017; Jones, 2019; Schmied et al., 2017; Smith et al., 2019; Tobin et al., 2018; Watson et al., 2019</w:t>
            </w:r>
          </w:p>
        </w:tc>
        <w:tc>
          <w:tcPr>
            <w:tcW w:w="963" w:type="pct"/>
          </w:tcPr>
          <w:p w14:paraId="5E5D11F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Most of the data apart from Jones is rich</w:t>
            </w:r>
          </w:p>
          <w:p w14:paraId="33867BD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8</w:t>
            </w:r>
          </w:p>
        </w:tc>
        <w:tc>
          <w:tcPr>
            <w:tcW w:w="1156" w:type="pct"/>
          </w:tcPr>
          <w:p w14:paraId="49496B1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although the findings are detailed, there is not enough data to draw firm conclusion </w:t>
            </w:r>
          </w:p>
        </w:tc>
      </w:tr>
      <w:tr w:rsidR="0021519F" w:rsidRPr="0021519F" w14:paraId="78CEE94A" w14:textId="77777777" w:rsidTr="006A54BC">
        <w:tc>
          <w:tcPr>
            <w:tcW w:w="246" w:type="pct"/>
          </w:tcPr>
          <w:p w14:paraId="5B87AE2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7F3207F4"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Woman-centred</w:t>
            </w:r>
          </w:p>
          <w:p w14:paraId="3D68156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Choice (n = 6)</w:t>
            </w:r>
          </w:p>
        </w:tc>
        <w:tc>
          <w:tcPr>
            <w:tcW w:w="693" w:type="pct"/>
          </w:tcPr>
          <w:p w14:paraId="5D09CA5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being able to choose their care improved implementation</w:t>
            </w:r>
          </w:p>
        </w:tc>
        <w:tc>
          <w:tcPr>
            <w:tcW w:w="626" w:type="pct"/>
          </w:tcPr>
          <w:p w14:paraId="5BA42EB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44A1FF4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15CAE88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2446B96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Ormsby</w:t>
            </w:r>
          </w:p>
          <w:p w14:paraId="4842F5F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4BE2C6E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Segre</w:t>
            </w:r>
          </w:p>
        </w:tc>
        <w:tc>
          <w:tcPr>
            <w:tcW w:w="963" w:type="pct"/>
          </w:tcPr>
          <w:p w14:paraId="55F5019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Data is moderately rich</w:t>
            </w:r>
          </w:p>
          <w:p w14:paraId="334A620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6</w:t>
            </w:r>
          </w:p>
        </w:tc>
        <w:tc>
          <w:tcPr>
            <w:tcW w:w="1156" w:type="pct"/>
          </w:tcPr>
          <w:p w14:paraId="47A0A46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Not enough data to draw conclusions</w:t>
            </w:r>
          </w:p>
        </w:tc>
      </w:tr>
      <w:tr w:rsidR="0021519F" w:rsidRPr="0021519F" w14:paraId="652BB68E" w14:textId="77777777" w:rsidTr="006A54BC">
        <w:tc>
          <w:tcPr>
            <w:tcW w:w="246" w:type="pct"/>
          </w:tcPr>
          <w:p w14:paraId="34D8A3B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760E33D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Fitting in with women’s lifestyle (n = 3)</w:t>
            </w:r>
          </w:p>
        </w:tc>
        <w:tc>
          <w:tcPr>
            <w:tcW w:w="693" w:type="pct"/>
          </w:tcPr>
          <w:p w14:paraId="19E7C96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Interventions that fit easily into women’s lifestyles aided implementation.</w:t>
            </w:r>
          </w:p>
        </w:tc>
        <w:tc>
          <w:tcPr>
            <w:tcW w:w="626" w:type="pct"/>
          </w:tcPr>
          <w:p w14:paraId="6C271A0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331FABE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Omahen</w:t>
            </w:r>
          </w:p>
          <w:p w14:paraId="6111CF7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Pugh</w:t>
            </w:r>
          </w:p>
        </w:tc>
        <w:tc>
          <w:tcPr>
            <w:tcW w:w="963" w:type="pct"/>
          </w:tcPr>
          <w:p w14:paraId="03503A2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Moderately rich</w:t>
            </w:r>
          </w:p>
          <w:p w14:paraId="37D3E00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3</w:t>
            </w:r>
          </w:p>
        </w:tc>
        <w:tc>
          <w:tcPr>
            <w:tcW w:w="1156" w:type="pct"/>
          </w:tcPr>
          <w:p w14:paraId="5646620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Not enough data to draw conclusions</w:t>
            </w:r>
          </w:p>
        </w:tc>
      </w:tr>
      <w:tr w:rsidR="0021519F" w:rsidRPr="0021519F" w14:paraId="4EB21933" w14:textId="77777777" w:rsidTr="006A54BC">
        <w:tc>
          <w:tcPr>
            <w:tcW w:w="246" w:type="pct"/>
          </w:tcPr>
          <w:p w14:paraId="590743C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06BFC2C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Flexibility (n = 13)</w:t>
            </w:r>
          </w:p>
        </w:tc>
        <w:tc>
          <w:tcPr>
            <w:tcW w:w="693" w:type="pct"/>
          </w:tcPr>
          <w:p w14:paraId="059FD01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Flexibility of care improved implementation</w:t>
            </w:r>
          </w:p>
        </w:tc>
        <w:tc>
          <w:tcPr>
            <w:tcW w:w="626" w:type="pct"/>
          </w:tcPr>
          <w:p w14:paraId="5EFFCC7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1654BD1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4BE6E17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Eappen</w:t>
            </w:r>
          </w:p>
          <w:p w14:paraId="736552D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112831E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Hadfield</w:t>
            </w:r>
          </w:p>
          <w:p w14:paraId="4E0EB06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Judd</w:t>
            </w:r>
          </w:p>
          <w:p w14:paraId="2492183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t>
            </w:r>
          </w:p>
          <w:p w14:paraId="13B7C3A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w:t>
            </w:r>
          </w:p>
          <w:p w14:paraId="0BDAD1E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Omahen</w:t>
            </w:r>
          </w:p>
          <w:p w14:paraId="64B3C07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Pugh</w:t>
            </w:r>
          </w:p>
          <w:p w14:paraId="5EEB99D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0F7A2D5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p w14:paraId="5D2B3B9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tc>
        <w:tc>
          <w:tcPr>
            <w:tcW w:w="963" w:type="pct"/>
          </w:tcPr>
          <w:p w14:paraId="5E995AB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 xml:space="preserve">Some studies are richer than others, but generally it is a  detailed theme </w:t>
            </w:r>
          </w:p>
          <w:p w14:paraId="3C3A9A17"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13</w:t>
            </w:r>
          </w:p>
        </w:tc>
        <w:tc>
          <w:tcPr>
            <w:tcW w:w="1156" w:type="pct"/>
          </w:tcPr>
          <w:p w14:paraId="2F363C3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moderate amount of studies </w:t>
            </w:r>
          </w:p>
        </w:tc>
      </w:tr>
      <w:tr w:rsidR="0021519F" w:rsidRPr="0021519F" w14:paraId="3FDBB5BC" w14:textId="77777777" w:rsidTr="006A54BC">
        <w:tc>
          <w:tcPr>
            <w:tcW w:w="246" w:type="pct"/>
          </w:tcPr>
          <w:p w14:paraId="217D8AFA" w14:textId="77777777" w:rsidR="0021519F" w:rsidRPr="00554D17" w:rsidRDefault="0021519F" w:rsidP="0021519F">
            <w:pPr>
              <w:pStyle w:val="ListParagraph"/>
              <w:spacing w:after="0" w:line="240" w:lineRule="auto"/>
              <w:ind w:left="0"/>
              <w:rPr>
                <w:rFonts w:ascii="Times New Roman" w:hAnsi="Times New Roman" w:cs="Times New Roman"/>
                <w:sz w:val="16"/>
                <w:szCs w:val="16"/>
              </w:rPr>
            </w:pPr>
            <w:r w:rsidRPr="00554D17">
              <w:rPr>
                <w:rFonts w:ascii="Times New Roman" w:hAnsi="Times New Roman" w:cs="Times New Roman"/>
                <w:sz w:val="16"/>
                <w:szCs w:val="16"/>
              </w:rPr>
              <w:t>1</w:t>
            </w:r>
          </w:p>
        </w:tc>
        <w:tc>
          <w:tcPr>
            <w:tcW w:w="1316" w:type="pct"/>
          </w:tcPr>
          <w:p w14:paraId="68495D4D" w14:textId="77777777" w:rsidR="0021519F" w:rsidRPr="00554D17" w:rsidRDefault="0021519F" w:rsidP="0021519F">
            <w:pPr>
              <w:pStyle w:val="ListParagraph"/>
              <w:spacing w:after="0" w:line="240" w:lineRule="auto"/>
              <w:ind w:left="0"/>
              <w:rPr>
                <w:rFonts w:ascii="Times New Roman" w:hAnsi="Times New Roman" w:cs="Times New Roman"/>
                <w:sz w:val="16"/>
                <w:szCs w:val="16"/>
              </w:rPr>
            </w:pPr>
            <w:r w:rsidRPr="00554D17">
              <w:rPr>
                <w:rFonts w:ascii="Times New Roman" w:hAnsi="Times New Roman" w:cs="Times New Roman"/>
                <w:sz w:val="16"/>
                <w:szCs w:val="16"/>
              </w:rPr>
              <w:t>Patient centred (n = 5)</w:t>
            </w:r>
          </w:p>
        </w:tc>
        <w:tc>
          <w:tcPr>
            <w:tcW w:w="693" w:type="pct"/>
            <w:vMerge w:val="restart"/>
          </w:tcPr>
          <w:p w14:paraId="618D53E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Being aware of patient’s needs and providing care with women at the centre aided implementation and access</w:t>
            </w:r>
          </w:p>
          <w:p w14:paraId="05D975B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Relevance to women improved implementation</w:t>
            </w:r>
          </w:p>
        </w:tc>
        <w:tc>
          <w:tcPr>
            <w:tcW w:w="626" w:type="pct"/>
          </w:tcPr>
          <w:p w14:paraId="0286371E"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tcPr>
          <w:p w14:paraId="71FD258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1794BB2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6A8B20EC" w14:textId="77777777" w:rsidTr="006A54BC">
        <w:tc>
          <w:tcPr>
            <w:tcW w:w="246" w:type="pct"/>
          </w:tcPr>
          <w:p w14:paraId="6AD7B17B" w14:textId="77777777" w:rsidR="0021519F" w:rsidRPr="00554D17" w:rsidRDefault="0021519F" w:rsidP="0021519F">
            <w:pPr>
              <w:pStyle w:val="ListParagraph"/>
              <w:spacing w:after="0" w:line="240" w:lineRule="auto"/>
              <w:ind w:left="0"/>
              <w:rPr>
                <w:rFonts w:ascii="Times New Roman" w:hAnsi="Times New Roman" w:cs="Times New Roman"/>
                <w:sz w:val="16"/>
                <w:szCs w:val="16"/>
              </w:rPr>
            </w:pPr>
            <w:r w:rsidRPr="00554D17">
              <w:rPr>
                <w:rFonts w:ascii="Times New Roman" w:hAnsi="Times New Roman" w:cs="Times New Roman"/>
                <w:sz w:val="16"/>
                <w:szCs w:val="16"/>
              </w:rPr>
              <w:t>1</w:t>
            </w:r>
          </w:p>
        </w:tc>
        <w:tc>
          <w:tcPr>
            <w:tcW w:w="1316" w:type="pct"/>
          </w:tcPr>
          <w:p w14:paraId="6FC0A0C2" w14:textId="77777777" w:rsidR="0021519F" w:rsidRPr="00554D17" w:rsidRDefault="0021519F" w:rsidP="0021519F">
            <w:pPr>
              <w:pStyle w:val="ListParagraph"/>
              <w:spacing w:after="0" w:line="240" w:lineRule="auto"/>
              <w:ind w:left="0"/>
              <w:rPr>
                <w:rFonts w:ascii="Times New Roman" w:hAnsi="Times New Roman" w:cs="Times New Roman"/>
                <w:sz w:val="16"/>
                <w:szCs w:val="16"/>
              </w:rPr>
            </w:pPr>
            <w:r w:rsidRPr="00554D17">
              <w:rPr>
                <w:rFonts w:ascii="Times New Roman" w:hAnsi="Times New Roman" w:cs="Times New Roman"/>
                <w:sz w:val="16"/>
                <w:szCs w:val="16"/>
              </w:rPr>
              <w:t>Relevance to women (n = 2)</w:t>
            </w:r>
          </w:p>
        </w:tc>
        <w:tc>
          <w:tcPr>
            <w:tcW w:w="693" w:type="pct"/>
            <w:vMerge/>
          </w:tcPr>
          <w:p w14:paraId="4BE4340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0CACCCA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Omahen</w:t>
            </w:r>
          </w:p>
          <w:p w14:paraId="5C331F6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Pugh</w:t>
            </w:r>
          </w:p>
        </w:tc>
        <w:tc>
          <w:tcPr>
            <w:tcW w:w="963" w:type="pct"/>
          </w:tcPr>
          <w:p w14:paraId="3048368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Richness: Moderately rich</w:t>
            </w:r>
          </w:p>
          <w:p w14:paraId="5D612599"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Quantity:2</w:t>
            </w:r>
          </w:p>
        </w:tc>
        <w:tc>
          <w:tcPr>
            <w:tcW w:w="1156" w:type="pct"/>
          </w:tcPr>
          <w:p w14:paraId="72EC33C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 only 2 studies, more data needed – also linked to appropriateness </w:t>
            </w:r>
          </w:p>
        </w:tc>
      </w:tr>
      <w:tr w:rsidR="0021519F" w:rsidRPr="0021519F" w14:paraId="26716BA4" w14:textId="77777777" w:rsidTr="006A54BC">
        <w:tc>
          <w:tcPr>
            <w:tcW w:w="246" w:type="pct"/>
          </w:tcPr>
          <w:p w14:paraId="767AF07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6567492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Individualised </w:t>
            </w:r>
          </w:p>
        </w:tc>
        <w:tc>
          <w:tcPr>
            <w:tcW w:w="693" w:type="pct"/>
            <w:vMerge/>
          </w:tcPr>
          <w:p w14:paraId="466DAA2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78250C8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Evans et al., 2020; Hadfield &amp; Wittkowski, 2017; Megnin-Viggars et al., 2015; Morrell et al., 2016; Schmied et al., 2017; Scope et al., 2017; Slade et al., 2020; Sorsa et al., 2021; Viveiros &amp; Darling, 2018; Watson et al., 2019</w:t>
            </w:r>
          </w:p>
        </w:tc>
        <w:tc>
          <w:tcPr>
            <w:tcW w:w="963" w:type="pct"/>
          </w:tcPr>
          <w:p w14:paraId="405E94F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Most data is rich</w:t>
            </w:r>
          </w:p>
          <w:p w14:paraId="0786E18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10</w:t>
            </w:r>
          </w:p>
        </w:tc>
        <w:tc>
          <w:tcPr>
            <w:tcW w:w="1156" w:type="pct"/>
          </w:tcPr>
          <w:p w14:paraId="5C86477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enough data to draw a conclusion, but literature not totally saturated </w:t>
            </w:r>
          </w:p>
        </w:tc>
      </w:tr>
      <w:tr w:rsidR="0021519F" w:rsidRPr="0021519F" w14:paraId="75430E25" w14:textId="77777777" w:rsidTr="006A54BC">
        <w:tc>
          <w:tcPr>
            <w:tcW w:w="246" w:type="pct"/>
          </w:tcPr>
          <w:p w14:paraId="683B354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42773E8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Length</w:t>
            </w:r>
          </w:p>
        </w:tc>
        <w:tc>
          <w:tcPr>
            <w:tcW w:w="693" w:type="pct"/>
          </w:tcPr>
          <w:p w14:paraId="73A5BBA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Care needed to be at an appropriate length for women, not to finish too early to aid access</w:t>
            </w:r>
          </w:p>
        </w:tc>
        <w:tc>
          <w:tcPr>
            <w:tcW w:w="626" w:type="pct"/>
          </w:tcPr>
          <w:p w14:paraId="381D830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Hadfield &amp; Wittkowski, 2017; Morrell et al., 2016; Schmied et al., 2017; Watson et al., 2019</w:t>
            </w:r>
          </w:p>
        </w:tc>
        <w:tc>
          <w:tcPr>
            <w:tcW w:w="963" w:type="pct"/>
          </w:tcPr>
          <w:p w14:paraId="5F38CA1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Data is quite detailed</w:t>
            </w:r>
          </w:p>
          <w:p w14:paraId="20AE65D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4</w:t>
            </w:r>
          </w:p>
        </w:tc>
        <w:tc>
          <w:tcPr>
            <w:tcW w:w="1156" w:type="pct"/>
          </w:tcPr>
          <w:p w14:paraId="5D85E8D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Despite detailed studies, more research is needed </w:t>
            </w:r>
          </w:p>
        </w:tc>
      </w:tr>
      <w:tr w:rsidR="0021519F" w:rsidRPr="0021519F" w14:paraId="4B2844DA" w14:textId="77777777" w:rsidTr="006A54BC">
        <w:tc>
          <w:tcPr>
            <w:tcW w:w="246" w:type="pct"/>
          </w:tcPr>
          <w:p w14:paraId="2882938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3463A10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Timing </w:t>
            </w:r>
          </w:p>
        </w:tc>
        <w:tc>
          <w:tcPr>
            <w:tcW w:w="693" w:type="pct"/>
          </w:tcPr>
          <w:p w14:paraId="6D2464D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Implementation was aided when the timing fitted in with women’s needs</w:t>
            </w:r>
          </w:p>
        </w:tc>
        <w:tc>
          <w:tcPr>
            <w:tcW w:w="626" w:type="pct"/>
          </w:tcPr>
          <w:p w14:paraId="283DCF9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Pugh</w:t>
            </w:r>
          </w:p>
          <w:p w14:paraId="6651D04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Segre</w:t>
            </w:r>
          </w:p>
          <w:p w14:paraId="6BB15B9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Leger</w:t>
            </w:r>
          </w:p>
          <w:p w14:paraId="0E13711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w:t>
            </w:r>
          </w:p>
          <w:p w14:paraId="1AE76DD5"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tc>
        <w:tc>
          <w:tcPr>
            <w:tcW w:w="963" w:type="pct"/>
          </w:tcPr>
          <w:p w14:paraId="3B6D475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Data is moderately rich</w:t>
            </w:r>
          </w:p>
          <w:p w14:paraId="6A57A375"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4</w:t>
            </w:r>
          </w:p>
        </w:tc>
        <w:tc>
          <w:tcPr>
            <w:tcW w:w="1156" w:type="pct"/>
          </w:tcPr>
          <w:p w14:paraId="3F26B63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Despite detailed studies, more research is needed </w:t>
            </w:r>
          </w:p>
        </w:tc>
      </w:tr>
      <w:tr w:rsidR="0021519F" w:rsidRPr="0021519F" w14:paraId="27D1BDA5" w14:textId="77777777" w:rsidTr="006A54BC">
        <w:tc>
          <w:tcPr>
            <w:tcW w:w="246" w:type="pct"/>
          </w:tcPr>
          <w:p w14:paraId="62E62AD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33079863"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How and where delivered</w:t>
            </w:r>
          </w:p>
          <w:p w14:paraId="456DCC9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Delivery in a healthcare setting (n = 12)</w:t>
            </w:r>
          </w:p>
        </w:tc>
        <w:tc>
          <w:tcPr>
            <w:tcW w:w="693" w:type="pct"/>
            <w:vMerge w:val="restart"/>
          </w:tcPr>
          <w:p w14:paraId="204F2A7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Generally women prefer treatment at their homes. Healthcare settings were seen by women as being too busy. Implementation was aided when services acted as a “one stop shop”</w:t>
            </w:r>
          </w:p>
        </w:tc>
        <w:tc>
          <w:tcPr>
            <w:tcW w:w="626" w:type="pct"/>
          </w:tcPr>
          <w:p w14:paraId="181C7D4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p w14:paraId="17FFF90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52010CE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0D59F7A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4F7F934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6C42903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Munodowafa</w:t>
            </w:r>
          </w:p>
          <w:p w14:paraId="50A3845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Ormsby</w:t>
            </w:r>
          </w:p>
          <w:p w14:paraId="2C19E3B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963" w:type="pct"/>
          </w:tcPr>
          <w:p w14:paraId="7840B31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The data is quite rich with some quotes </w:t>
            </w:r>
          </w:p>
          <w:p w14:paraId="6523AFF4"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7</w:t>
            </w:r>
          </w:p>
        </w:tc>
        <w:tc>
          <w:tcPr>
            <w:tcW w:w="1156" w:type="pct"/>
          </w:tcPr>
          <w:p w14:paraId="252216C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 </w:t>
            </w:r>
            <w:r w:rsidRPr="0021519F">
              <w:rPr>
                <w:rFonts w:ascii="Times New Roman" w:hAnsi="Times New Roman" w:cs="Times New Roman"/>
                <w:sz w:val="16"/>
                <w:szCs w:val="16"/>
              </w:rPr>
              <w:t xml:space="preserve"> only 7 studies, more research needed </w:t>
            </w:r>
          </w:p>
        </w:tc>
      </w:tr>
      <w:tr w:rsidR="0021519F" w:rsidRPr="0021519F" w14:paraId="0AE37D6E" w14:textId="77777777" w:rsidTr="006A54BC">
        <w:tc>
          <w:tcPr>
            <w:tcW w:w="246" w:type="pct"/>
          </w:tcPr>
          <w:p w14:paraId="3465307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29022B8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Delivery in home setting (n = 5)</w:t>
            </w:r>
          </w:p>
          <w:p w14:paraId="534D17D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4F984A4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20656D7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Ammerman</w:t>
            </w:r>
          </w:p>
          <w:p w14:paraId="6E253D8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Beeber</w:t>
            </w:r>
          </w:p>
          <w:p w14:paraId="25B55E7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Judd</w:t>
            </w:r>
          </w:p>
          <w:p w14:paraId="39F51A8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w:t>
            </w:r>
          </w:p>
          <w:p w14:paraId="0B06673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Myors</w:t>
            </w:r>
          </w:p>
          <w:p w14:paraId="0FB32E4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Leger</w:t>
            </w:r>
          </w:p>
          <w:p w14:paraId="68025C1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p w14:paraId="3D92B39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Hadfield</w:t>
            </w:r>
          </w:p>
          <w:p w14:paraId="4000A9A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Hansotte</w:t>
            </w:r>
          </w:p>
          <w:p w14:paraId="7478766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Jones 19</w:t>
            </w:r>
          </w:p>
          <w:p w14:paraId="4C63435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Praetorius</w:t>
            </w:r>
          </w:p>
          <w:p w14:paraId="171BD04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Sorsa</w:t>
            </w:r>
          </w:p>
        </w:tc>
        <w:tc>
          <w:tcPr>
            <w:tcW w:w="963" w:type="pct"/>
          </w:tcPr>
          <w:p w14:paraId="2112F67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 xml:space="preserve">The data is quite rich with some quotes </w:t>
            </w:r>
          </w:p>
          <w:p w14:paraId="6F84DFB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p w14:paraId="5787055C"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11</w:t>
            </w:r>
          </w:p>
        </w:tc>
        <w:tc>
          <w:tcPr>
            <w:tcW w:w="1156" w:type="pct"/>
          </w:tcPr>
          <w:p w14:paraId="71E575C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could be more data, but women appear to prefer home setting</w:t>
            </w:r>
          </w:p>
        </w:tc>
      </w:tr>
      <w:tr w:rsidR="0021519F" w:rsidRPr="0021519F" w14:paraId="3667C228" w14:textId="77777777" w:rsidTr="006A54BC">
        <w:tc>
          <w:tcPr>
            <w:tcW w:w="246" w:type="pct"/>
          </w:tcPr>
          <w:p w14:paraId="544F927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0BB1DCB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 xml:space="preserve">Location </w:t>
            </w:r>
          </w:p>
        </w:tc>
        <w:tc>
          <w:tcPr>
            <w:tcW w:w="693" w:type="pct"/>
            <w:vMerge/>
          </w:tcPr>
          <w:p w14:paraId="416CD58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0749A592"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Gannan</w:t>
            </w:r>
          </w:p>
          <w:p w14:paraId="2F61849E"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Judd</w:t>
            </w:r>
          </w:p>
          <w:p w14:paraId="4B296C2D"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Leger</w:t>
            </w:r>
          </w:p>
          <w:p w14:paraId="0F27DED4"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p w14:paraId="079C34C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Jones et al., 2014; Mollard et al., 2016; Newman et al., 2019;</w:t>
            </w:r>
          </w:p>
        </w:tc>
        <w:tc>
          <w:tcPr>
            <w:tcW w:w="963" w:type="pct"/>
          </w:tcPr>
          <w:p w14:paraId="0EA0530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Not particularly detailed </w:t>
            </w:r>
          </w:p>
          <w:p w14:paraId="379E5D5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7</w:t>
            </w:r>
          </w:p>
        </w:tc>
        <w:tc>
          <w:tcPr>
            <w:tcW w:w="1156" w:type="pct"/>
          </w:tcPr>
          <w:p w14:paraId="516F504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more data needed to understand good location </w:t>
            </w:r>
          </w:p>
        </w:tc>
      </w:tr>
      <w:tr w:rsidR="0021519F" w:rsidRPr="0021519F" w14:paraId="71B7CBE8" w14:textId="77777777" w:rsidTr="006A54BC">
        <w:tc>
          <w:tcPr>
            <w:tcW w:w="246" w:type="pct"/>
          </w:tcPr>
          <w:p w14:paraId="459056D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D61506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Face to face delivery (n = 4)</w:t>
            </w:r>
          </w:p>
        </w:tc>
        <w:tc>
          <w:tcPr>
            <w:tcW w:w="693" w:type="pct"/>
          </w:tcPr>
          <w:p w14:paraId="29572DE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Provision of face to face care, as opposed to over the phone or online improved implementation. </w:t>
            </w:r>
          </w:p>
        </w:tc>
        <w:tc>
          <w:tcPr>
            <w:tcW w:w="626" w:type="pct"/>
          </w:tcPr>
          <w:p w14:paraId="1088DBA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Omahen</w:t>
            </w:r>
          </w:p>
          <w:p w14:paraId="6D5E416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53FFA95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12104CF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Pugh</w:t>
            </w:r>
          </w:p>
        </w:tc>
        <w:tc>
          <w:tcPr>
            <w:tcW w:w="963" w:type="pct"/>
          </w:tcPr>
          <w:p w14:paraId="1664875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Not particularly detailed</w:t>
            </w:r>
          </w:p>
          <w:p w14:paraId="29A869D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4</w:t>
            </w:r>
          </w:p>
        </w:tc>
        <w:tc>
          <w:tcPr>
            <w:tcW w:w="1156" w:type="pct"/>
          </w:tcPr>
          <w:p w14:paraId="3CF081F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more data needed</w:t>
            </w:r>
          </w:p>
        </w:tc>
      </w:tr>
      <w:tr w:rsidR="0021519F" w:rsidRPr="0021519F" w14:paraId="23F71C1F" w14:textId="77777777" w:rsidTr="006A54BC">
        <w:tc>
          <w:tcPr>
            <w:tcW w:w="246" w:type="pct"/>
          </w:tcPr>
          <w:p w14:paraId="33166CEE"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1</w:t>
            </w:r>
          </w:p>
        </w:tc>
        <w:tc>
          <w:tcPr>
            <w:tcW w:w="1316" w:type="pct"/>
          </w:tcPr>
          <w:p w14:paraId="7E5DC4C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Group delivery (n = 3)</w:t>
            </w:r>
          </w:p>
        </w:tc>
        <w:tc>
          <w:tcPr>
            <w:tcW w:w="693" w:type="pct"/>
          </w:tcPr>
          <w:p w14:paraId="6E5393E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Delivery of care in a group setting, with other women with similar difficulties aided implementation.</w:t>
            </w:r>
          </w:p>
        </w:tc>
        <w:tc>
          <w:tcPr>
            <w:tcW w:w="626" w:type="pct"/>
            <w:vMerge w:val="restart"/>
          </w:tcPr>
          <w:p w14:paraId="175D33E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Hadfield 2019</w:t>
            </w:r>
          </w:p>
          <w:p w14:paraId="6D9DB11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 2015</w:t>
            </w:r>
          </w:p>
          <w:p w14:paraId="559F765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Nakku</w:t>
            </w:r>
          </w:p>
          <w:p w14:paraId="618C411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p w14:paraId="5CAB27B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Dennis &amp; Chung-Lee, 2006; Evans et al., 2020; Hadfield &amp; Wittkowski, 2017; Jones et al., 2014; Megnin-Viggars et al., 2015; Morrell et al., 2016; Schmied et al., 2017; Scope et al., 2017; Slade et al., 2020; Tobin et al., 2018; Watson et al., 2019</w:t>
            </w:r>
          </w:p>
        </w:tc>
        <w:tc>
          <w:tcPr>
            <w:tcW w:w="963" w:type="pct"/>
          </w:tcPr>
          <w:p w14:paraId="2D1F6F1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some quotes</w:t>
            </w:r>
          </w:p>
          <w:p w14:paraId="29F4EC5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3</w:t>
            </w:r>
          </w:p>
        </w:tc>
        <w:tc>
          <w:tcPr>
            <w:tcW w:w="1156" w:type="pct"/>
          </w:tcPr>
          <w:p w14:paraId="341BA78A"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plenty of data </w:t>
            </w:r>
          </w:p>
        </w:tc>
      </w:tr>
      <w:tr w:rsidR="0021519F" w:rsidRPr="0021519F" w14:paraId="7EFFC316" w14:textId="77777777" w:rsidTr="006A54BC">
        <w:tc>
          <w:tcPr>
            <w:tcW w:w="246" w:type="pct"/>
          </w:tcPr>
          <w:p w14:paraId="59FE939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16703EB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Group/peer support</w:t>
            </w:r>
          </w:p>
        </w:tc>
        <w:tc>
          <w:tcPr>
            <w:tcW w:w="693" w:type="pct"/>
          </w:tcPr>
          <w:p w14:paraId="6B23349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Some women wanted to opportunity to talk within a peer setting</w:t>
            </w:r>
          </w:p>
        </w:tc>
        <w:tc>
          <w:tcPr>
            <w:tcW w:w="626" w:type="pct"/>
            <w:vMerge/>
          </w:tcPr>
          <w:p w14:paraId="40A68371"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tcPr>
          <w:p w14:paraId="4F0D4B3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Richness: most of the d</w:t>
            </w:r>
            <w:r w:rsidRPr="0021519F">
              <w:rPr>
                <w:rFonts w:ascii="Times New Roman" w:hAnsi="Times New Roman" w:cs="Times New Roman"/>
                <w:sz w:val="16"/>
                <w:szCs w:val="16"/>
              </w:rPr>
              <w:t>ata is rich</w:t>
            </w:r>
          </w:p>
          <w:p w14:paraId="4C0B233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14</w:t>
            </w:r>
          </w:p>
        </w:tc>
        <w:tc>
          <w:tcPr>
            <w:tcW w:w="1156" w:type="pct"/>
          </w:tcPr>
          <w:p w14:paraId="6252011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5456FE4" w14:textId="77777777" w:rsidTr="006A54BC">
        <w:tc>
          <w:tcPr>
            <w:tcW w:w="246" w:type="pct"/>
          </w:tcPr>
          <w:p w14:paraId="34EC21F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61E108F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Validation</w:t>
            </w:r>
          </w:p>
        </w:tc>
        <w:tc>
          <w:tcPr>
            <w:tcW w:w="693" w:type="pct"/>
          </w:tcPr>
          <w:p w14:paraId="11225AC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And this provided them with validation for their feelings</w:t>
            </w:r>
          </w:p>
        </w:tc>
        <w:tc>
          <w:tcPr>
            <w:tcW w:w="626" w:type="pct"/>
          </w:tcPr>
          <w:p w14:paraId="6E006238"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Jones et al., 2014; Morrell et al., 2016; Schmied et al., 2017; Slade et al., 2020</w:t>
            </w:r>
          </w:p>
        </w:tc>
        <w:tc>
          <w:tcPr>
            <w:tcW w:w="963" w:type="pct"/>
          </w:tcPr>
          <w:p w14:paraId="1FC502D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The data is rich, but doesn’t tell a clear story</w:t>
            </w:r>
          </w:p>
          <w:p w14:paraId="6409EB2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5</w:t>
            </w:r>
          </w:p>
        </w:tc>
        <w:tc>
          <w:tcPr>
            <w:tcW w:w="1156" w:type="pct"/>
          </w:tcPr>
          <w:p w14:paraId="6B8F589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no clear story, little data, it is important to some women, but more research is needed </w:t>
            </w:r>
          </w:p>
        </w:tc>
      </w:tr>
      <w:tr w:rsidR="0021519F" w:rsidRPr="0021519F" w14:paraId="75437D7B" w14:textId="77777777" w:rsidTr="006A54BC">
        <w:tc>
          <w:tcPr>
            <w:tcW w:w="246" w:type="pct"/>
          </w:tcPr>
          <w:p w14:paraId="03E2671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1F9A323B"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Content</w:t>
            </w:r>
          </w:p>
          <w:p w14:paraId="7985B67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Manualised therapy (n = 2)</w:t>
            </w:r>
          </w:p>
        </w:tc>
        <w:tc>
          <w:tcPr>
            <w:tcW w:w="693" w:type="pct"/>
          </w:tcPr>
          <w:p w14:paraId="19B67D9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Interventions performed according to specific guidelines sometimes helped with implementation but could feel too rigid.</w:t>
            </w:r>
          </w:p>
        </w:tc>
        <w:tc>
          <w:tcPr>
            <w:tcW w:w="626" w:type="pct"/>
          </w:tcPr>
          <w:p w14:paraId="08FD4C99"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sz w:val="16"/>
                <w:szCs w:val="16"/>
              </w:rPr>
              <w:t>Atif 2020</w:t>
            </w:r>
          </w:p>
        </w:tc>
        <w:tc>
          <w:tcPr>
            <w:tcW w:w="963" w:type="pct"/>
          </w:tcPr>
          <w:p w14:paraId="7870404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Not detailed</w:t>
            </w:r>
          </w:p>
          <w:p w14:paraId="055ED490"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w:t>
            </w:r>
          </w:p>
        </w:tc>
        <w:tc>
          <w:tcPr>
            <w:tcW w:w="1156" w:type="pct"/>
          </w:tcPr>
          <w:p w14:paraId="220D5A0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 more research is needed </w:t>
            </w:r>
          </w:p>
        </w:tc>
      </w:tr>
      <w:tr w:rsidR="0021519F" w:rsidRPr="0021519F" w14:paraId="6BA02026" w14:textId="77777777" w:rsidTr="006A54BC">
        <w:tc>
          <w:tcPr>
            <w:tcW w:w="246" w:type="pct"/>
          </w:tcPr>
          <w:p w14:paraId="3931C7B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5C70D2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Techniques women found useful (n = 4)</w:t>
            </w:r>
          </w:p>
        </w:tc>
        <w:tc>
          <w:tcPr>
            <w:tcW w:w="693" w:type="pct"/>
          </w:tcPr>
          <w:p w14:paraId="00502C9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Most women found personalised therapy that challenged their thoughts and beliefs (e.g. CBT </w:t>
            </w:r>
            <w:r w:rsidRPr="0021519F">
              <w:rPr>
                <w:rFonts w:ascii="Times New Roman" w:hAnsi="Times New Roman" w:cs="Times New Roman"/>
                <w:sz w:val="16"/>
                <w:szCs w:val="16"/>
              </w:rPr>
              <w:lastRenderedPageBreak/>
              <w:t>approaches) useful therefore aiding implementation</w:t>
            </w:r>
          </w:p>
        </w:tc>
        <w:tc>
          <w:tcPr>
            <w:tcW w:w="626" w:type="pct"/>
          </w:tcPr>
          <w:p w14:paraId="1ECB892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Omahen</w:t>
            </w:r>
          </w:p>
          <w:p w14:paraId="01587C8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w:t>
            </w:r>
          </w:p>
          <w:p w14:paraId="3AADF81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Pugh</w:t>
            </w:r>
          </w:p>
          <w:p w14:paraId="3F14962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Hadfield</w:t>
            </w:r>
          </w:p>
        </w:tc>
        <w:tc>
          <w:tcPr>
            <w:tcW w:w="963" w:type="pct"/>
          </w:tcPr>
          <w:p w14:paraId="13D03F4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Data quality is quite rich, with quotes </w:t>
            </w:r>
          </w:p>
          <w:p w14:paraId="3717CDEC"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4</w:t>
            </w:r>
          </w:p>
        </w:tc>
        <w:tc>
          <w:tcPr>
            <w:tcW w:w="1156" w:type="pct"/>
          </w:tcPr>
          <w:p w14:paraId="2743B5BF"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 each study says something different, not generalisable, need more research </w:t>
            </w:r>
          </w:p>
        </w:tc>
      </w:tr>
      <w:tr w:rsidR="0021519F" w:rsidRPr="0021519F" w14:paraId="3361CB7A" w14:textId="77777777" w:rsidTr="006A54BC">
        <w:tc>
          <w:tcPr>
            <w:tcW w:w="246" w:type="pct"/>
          </w:tcPr>
          <w:p w14:paraId="78FE41B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4D2D249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Opportunity to talk</w:t>
            </w:r>
          </w:p>
        </w:tc>
        <w:tc>
          <w:tcPr>
            <w:tcW w:w="693" w:type="pct"/>
          </w:tcPr>
          <w:p w14:paraId="57E267F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Having someone to talk to about their difficulties was a facilitator to access</w:t>
            </w:r>
          </w:p>
        </w:tc>
        <w:tc>
          <w:tcPr>
            <w:tcW w:w="626" w:type="pct"/>
          </w:tcPr>
          <w:p w14:paraId="23BC1D4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Dennis &amp; Chung-Lee, 2006; Evans et al., 2020; Hadfield &amp; Wittkowski, 2017; Jones, 2019; Kassam, 2019; Morrell et al., 2016; Praetorius et al., 2020; Staneva et al., 2015; Megnin </w:t>
            </w:r>
          </w:p>
        </w:tc>
        <w:tc>
          <w:tcPr>
            <w:tcW w:w="963" w:type="pct"/>
          </w:tcPr>
          <w:p w14:paraId="02BC8B8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Jones provides little detail </w:t>
            </w:r>
          </w:p>
          <w:p w14:paraId="1642A11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9 </w:t>
            </w:r>
          </w:p>
        </w:tc>
        <w:tc>
          <w:tcPr>
            <w:tcW w:w="1156" w:type="pct"/>
          </w:tcPr>
          <w:p w14:paraId="152B261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the studies are generally detailed, but there are only 9 contributing to the theme, more research please </w:t>
            </w:r>
          </w:p>
        </w:tc>
      </w:tr>
      <w:tr w:rsidR="0021519F" w:rsidRPr="0021519F" w14:paraId="3D279BE9" w14:textId="77777777" w:rsidTr="006A54BC">
        <w:tc>
          <w:tcPr>
            <w:tcW w:w="246" w:type="pct"/>
          </w:tcPr>
          <w:p w14:paraId="49C7CFD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117DB17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Information provision</w:t>
            </w:r>
          </w:p>
        </w:tc>
        <w:tc>
          <w:tcPr>
            <w:tcW w:w="693" w:type="pct"/>
          </w:tcPr>
          <w:p w14:paraId="1E0D0E5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valued care that provided information about PNMH and options available for help and support, thus aiding access</w:t>
            </w:r>
          </w:p>
        </w:tc>
        <w:tc>
          <w:tcPr>
            <w:tcW w:w="626" w:type="pct"/>
          </w:tcPr>
          <w:p w14:paraId="75EB4A8F"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Forde et al., 2020; Hadfield &amp; Wittkowski, 2017; A. Jones, 2019; Megnin-Viggars et al., 2015; Morrell et al., 2016; Schmied et al., 2017; Scope et al., 2017; Slade et al., 2020; Sorsa et al., 2021</w:t>
            </w:r>
          </w:p>
          <w:p w14:paraId="5E9849E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Tobin</w:t>
            </w:r>
          </w:p>
        </w:tc>
        <w:tc>
          <w:tcPr>
            <w:tcW w:w="963" w:type="pct"/>
          </w:tcPr>
          <w:p w14:paraId="1359249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Some of the studies provide detailed descriptions, others are lacking </w:t>
            </w:r>
          </w:p>
          <w:p w14:paraId="5DDCF19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10 </w:t>
            </w:r>
          </w:p>
        </w:tc>
        <w:tc>
          <w:tcPr>
            <w:tcW w:w="1156" w:type="pct"/>
          </w:tcPr>
          <w:p w14:paraId="002C438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there are some studies that could provide more detail about </w:t>
            </w:r>
            <w:r w:rsidRPr="0021519F">
              <w:rPr>
                <w:rFonts w:ascii="Times New Roman" w:hAnsi="Times New Roman" w:cs="Times New Roman"/>
                <w:i/>
                <w:iCs/>
                <w:sz w:val="16"/>
                <w:szCs w:val="16"/>
              </w:rPr>
              <w:t>what</w:t>
            </w:r>
            <w:r w:rsidRPr="0021519F">
              <w:rPr>
                <w:rFonts w:ascii="Times New Roman" w:hAnsi="Times New Roman" w:cs="Times New Roman"/>
                <w:sz w:val="16"/>
                <w:szCs w:val="16"/>
              </w:rPr>
              <w:t xml:space="preserve"> information would be useful </w:t>
            </w:r>
          </w:p>
        </w:tc>
      </w:tr>
      <w:tr w:rsidR="0021519F" w:rsidRPr="0021519F" w14:paraId="700321B4" w14:textId="77777777" w:rsidTr="006A54BC">
        <w:tc>
          <w:tcPr>
            <w:tcW w:w="246" w:type="pct"/>
          </w:tcPr>
          <w:p w14:paraId="33951BE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7A5B4D9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Technology (n = 11)</w:t>
            </w:r>
          </w:p>
        </w:tc>
        <w:tc>
          <w:tcPr>
            <w:tcW w:w="693" w:type="pct"/>
          </w:tcPr>
          <w:p w14:paraId="1BBDA02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The use of technology to provide care and treatment such as reminders on screens, completing assessment questionnaires on tablets, communicating via Whatsapp, or completing therapy online aided implementation </w:t>
            </w:r>
            <w:r w:rsidRPr="0021519F">
              <w:rPr>
                <w:rFonts w:ascii="Times New Roman" w:hAnsi="Times New Roman" w:cs="Times New Roman"/>
                <w:b/>
                <w:bCs/>
                <w:sz w:val="16"/>
                <w:szCs w:val="16"/>
              </w:rPr>
              <w:t xml:space="preserve">when it was working. </w:t>
            </w:r>
          </w:p>
        </w:tc>
        <w:tc>
          <w:tcPr>
            <w:tcW w:w="626" w:type="pct"/>
          </w:tcPr>
          <w:p w14:paraId="54B5FED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64FD5B0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Fernandez</w:t>
            </w:r>
          </w:p>
          <w:p w14:paraId="669B450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Jallo</w:t>
            </w:r>
          </w:p>
          <w:p w14:paraId="6DB53EE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5D3AA6F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Lind</w:t>
            </w:r>
          </w:p>
          <w:p w14:paraId="2E2522F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61BBE6A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Pinero-leano</w:t>
            </w:r>
          </w:p>
          <w:p w14:paraId="008D5F7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4A94A2F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Willey</w:t>
            </w:r>
          </w:p>
          <w:p w14:paraId="433D8B5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p w14:paraId="2B168BB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1AFA33BD" w14:textId="77777777" w:rsidR="0021519F" w:rsidRPr="0021519F" w:rsidRDefault="0021519F" w:rsidP="0021519F">
            <w:pPr>
              <w:spacing w:line="240" w:lineRule="auto"/>
              <w:ind w:firstLine="0"/>
              <w:rPr>
                <w:rFonts w:ascii="Times New Roman" w:hAnsi="Times New Roman" w:cs="Times New Roman"/>
                <w:sz w:val="16"/>
                <w:szCs w:val="16"/>
              </w:rPr>
            </w:pPr>
          </w:p>
          <w:p w14:paraId="0B9F87BF" w14:textId="77777777" w:rsidR="0021519F" w:rsidRPr="0021519F" w:rsidRDefault="0021519F" w:rsidP="0021519F">
            <w:pPr>
              <w:spacing w:line="240" w:lineRule="auto"/>
              <w:ind w:firstLine="0"/>
              <w:rPr>
                <w:rFonts w:ascii="Times New Roman" w:hAnsi="Times New Roman" w:cs="Times New Roman"/>
                <w:sz w:val="16"/>
                <w:szCs w:val="16"/>
              </w:rPr>
            </w:pPr>
            <w:r w:rsidRPr="00554D17">
              <w:rPr>
                <w:rFonts w:ascii="Times New Roman" w:hAnsi="Times New Roman" w:cs="Times New Roman"/>
                <w:sz w:val="16"/>
                <w:szCs w:val="16"/>
              </w:rPr>
              <w:t>+SH</w:t>
            </w:r>
          </w:p>
        </w:tc>
        <w:tc>
          <w:tcPr>
            <w:tcW w:w="963" w:type="pct"/>
          </w:tcPr>
          <w:p w14:paraId="022752B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Pineros provides extremely detailed information about this theme </w:t>
            </w:r>
          </w:p>
          <w:p w14:paraId="399C6C3A"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11 + SH Meeting</w:t>
            </w:r>
          </w:p>
        </w:tc>
        <w:tc>
          <w:tcPr>
            <w:tcW w:w="1156" w:type="pct"/>
          </w:tcPr>
          <w:p w14:paraId="40F0C6B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w:t>
            </w:r>
            <w:r w:rsidRPr="0021519F">
              <w:rPr>
                <w:rFonts w:ascii="Times New Roman" w:hAnsi="Times New Roman" w:cs="Times New Roman"/>
                <w:sz w:val="16"/>
                <w:szCs w:val="16"/>
              </w:rPr>
              <w:t xml:space="preserve"> 11 studies, some with ample detail, + real world examples from stakeholder group </w:t>
            </w:r>
          </w:p>
        </w:tc>
      </w:tr>
      <w:tr w:rsidR="0021519F" w:rsidRPr="0021519F" w14:paraId="6D85B9E3" w14:textId="77777777" w:rsidTr="006A54BC">
        <w:tc>
          <w:tcPr>
            <w:tcW w:w="246" w:type="pct"/>
          </w:tcPr>
          <w:p w14:paraId="4330F97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8DE320D"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Organisational aspects</w:t>
            </w:r>
          </w:p>
          <w:p w14:paraId="0F32F9F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Open inclusion criteria (n = 2)</w:t>
            </w:r>
          </w:p>
        </w:tc>
        <w:tc>
          <w:tcPr>
            <w:tcW w:w="693" w:type="pct"/>
          </w:tcPr>
          <w:p w14:paraId="31AB1E2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Open inclusion criteria was useful for implementation .</w:t>
            </w:r>
          </w:p>
        </w:tc>
        <w:tc>
          <w:tcPr>
            <w:tcW w:w="626" w:type="pct"/>
          </w:tcPr>
          <w:p w14:paraId="0CB1110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Judd</w:t>
            </w:r>
          </w:p>
          <w:p w14:paraId="7FE6A58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Young</w:t>
            </w:r>
          </w:p>
        </w:tc>
        <w:tc>
          <w:tcPr>
            <w:tcW w:w="963" w:type="pct"/>
          </w:tcPr>
          <w:p w14:paraId="4E6965D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Richness:</w:t>
            </w:r>
            <w:r w:rsidRPr="0021519F">
              <w:rPr>
                <w:rFonts w:ascii="Times New Roman" w:hAnsi="Times New Roman" w:cs="Times New Roman"/>
                <w:sz w:val="16"/>
                <w:szCs w:val="16"/>
              </w:rPr>
              <w:t xml:space="preserve"> Quite rich data</w:t>
            </w:r>
          </w:p>
          <w:p w14:paraId="3C75BB1C"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2</w:t>
            </w:r>
          </w:p>
        </w:tc>
        <w:tc>
          <w:tcPr>
            <w:tcW w:w="1156" w:type="pct"/>
          </w:tcPr>
          <w:p w14:paraId="0B97E343" w14:textId="77777777" w:rsidR="0021519F" w:rsidRPr="0021519F" w:rsidRDefault="0021519F" w:rsidP="0021519F">
            <w:pPr>
              <w:widowControl w:val="0"/>
              <w:autoSpaceDE w:val="0"/>
              <w:autoSpaceDN w:val="0"/>
              <w:adjustRightInd w:val="0"/>
              <w:spacing w:line="240" w:lineRule="auto"/>
              <w:ind w:firstLine="0"/>
              <w:rPr>
                <w:rFonts w:ascii="Times New Roman" w:hAnsi="Times New Roman" w:cs="Times New Roman"/>
                <w:sz w:val="16"/>
                <w:szCs w:val="16"/>
              </w:rPr>
            </w:pPr>
            <w:r w:rsidRPr="0021519F">
              <w:rPr>
                <w:rFonts w:ascii="Times New Roman" w:hAnsi="Times New Roman" w:cs="Times New Roman"/>
                <w:b/>
                <w:bCs/>
                <w:sz w:val="16"/>
                <w:szCs w:val="16"/>
              </w:rPr>
              <w:t xml:space="preserve">Severe: </w:t>
            </w:r>
            <w:r w:rsidRPr="0021519F">
              <w:rPr>
                <w:rFonts w:ascii="Times New Roman" w:hAnsi="Times New Roman" w:cs="Times New Roman"/>
                <w:sz w:val="16"/>
                <w:szCs w:val="16"/>
              </w:rPr>
              <w:t xml:space="preserve"> only 2 studies, more research needed </w:t>
            </w:r>
          </w:p>
          <w:p w14:paraId="5CF63CC2"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r>
      <w:tr w:rsidR="0021519F" w:rsidRPr="0021519F" w14:paraId="16879151" w14:textId="77777777" w:rsidTr="006A54BC">
        <w:tc>
          <w:tcPr>
            <w:tcW w:w="246" w:type="pct"/>
          </w:tcPr>
          <w:p w14:paraId="3E392A6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321BC14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Practical support (n = 10)</w:t>
            </w:r>
          </w:p>
        </w:tc>
        <w:tc>
          <w:tcPr>
            <w:tcW w:w="693" w:type="pct"/>
          </w:tcPr>
          <w:p w14:paraId="6DD1914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The provision of support that allowed women to access care, such as providing a creche or paying for travel aided implementation </w:t>
            </w:r>
          </w:p>
        </w:tc>
        <w:tc>
          <w:tcPr>
            <w:tcW w:w="626" w:type="pct"/>
          </w:tcPr>
          <w:p w14:paraId="1BC0747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4140E14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711052A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Munodawafa</w:t>
            </w:r>
          </w:p>
          <w:p w14:paraId="1A3F273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w:t>
            </w:r>
          </w:p>
          <w:p w14:paraId="03D0F18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Hadfield</w:t>
            </w:r>
          </w:p>
          <w:p w14:paraId="01CF966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w:t>
            </w:r>
          </w:p>
          <w:p w14:paraId="13C8A6C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Nakku</w:t>
            </w:r>
          </w:p>
          <w:p w14:paraId="13B3328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5CA751A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Ormsby</w:t>
            </w:r>
          </w:p>
        </w:tc>
        <w:tc>
          <w:tcPr>
            <w:tcW w:w="963" w:type="pct"/>
          </w:tcPr>
          <w:p w14:paraId="19F3FB8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Data is quite rich and there is the provision of quotes </w:t>
            </w:r>
          </w:p>
          <w:p w14:paraId="40059362"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9</w:t>
            </w:r>
          </w:p>
        </w:tc>
        <w:tc>
          <w:tcPr>
            <w:tcW w:w="1156" w:type="pct"/>
          </w:tcPr>
          <w:p w14:paraId="30F3DD8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certainly appears important but not enough data to draw conclusions </w:t>
            </w:r>
          </w:p>
        </w:tc>
      </w:tr>
      <w:tr w:rsidR="0021519F" w:rsidRPr="0021519F" w14:paraId="1648A44D" w14:textId="77777777" w:rsidTr="006A54BC">
        <w:tc>
          <w:tcPr>
            <w:tcW w:w="246" w:type="pct"/>
          </w:tcPr>
          <w:p w14:paraId="69DE862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lastRenderedPageBreak/>
              <w:t>1</w:t>
            </w:r>
          </w:p>
        </w:tc>
        <w:tc>
          <w:tcPr>
            <w:tcW w:w="1316" w:type="pct"/>
          </w:tcPr>
          <w:p w14:paraId="18CD42B6"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Perception of care</w:t>
            </w:r>
          </w:p>
          <w:p w14:paraId="158510F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Healthcare professional’s perception (n = 19)</w:t>
            </w:r>
          </w:p>
        </w:tc>
        <w:tc>
          <w:tcPr>
            <w:tcW w:w="693" w:type="pct"/>
          </w:tcPr>
          <w:p w14:paraId="2CE8AD3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Positive views of care by HCPs aided implementation</w:t>
            </w:r>
          </w:p>
        </w:tc>
        <w:tc>
          <w:tcPr>
            <w:tcW w:w="626" w:type="pct"/>
          </w:tcPr>
          <w:p w14:paraId="75492C5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Ammerman</w:t>
            </w:r>
          </w:p>
          <w:p w14:paraId="13378D0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Atifd 2016</w:t>
            </w:r>
          </w:p>
          <w:p w14:paraId="552B1E7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p w14:paraId="723B8C0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71788EA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3904DAC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0A4AF7B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Dierubg</w:t>
            </w:r>
          </w:p>
          <w:p w14:paraId="790DEA0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Drozd</w:t>
            </w:r>
          </w:p>
          <w:p w14:paraId="25D780A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57707C5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115EC30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Leger</w:t>
            </w:r>
          </w:p>
          <w:p w14:paraId="7B6C26C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McKenzieMc</w:t>
            </w:r>
          </w:p>
          <w:p w14:paraId="7F186E3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Munodowafa</w:t>
            </w:r>
          </w:p>
          <w:p w14:paraId="6749309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Nakku</w:t>
            </w:r>
          </w:p>
          <w:p w14:paraId="7DD9C70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w:t>
            </w:r>
          </w:p>
          <w:p w14:paraId="26B53DE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Ormsby</w:t>
            </w:r>
          </w:p>
          <w:p w14:paraId="121458D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Reed</w:t>
            </w:r>
          </w:p>
          <w:p w14:paraId="31A0804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Segre</w:t>
            </w:r>
          </w:p>
          <w:p w14:paraId="7566E82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Shorey</w:t>
            </w:r>
          </w:p>
          <w:p w14:paraId="07E52CB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7DF1F8D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Willey</w:t>
            </w:r>
          </w:p>
        </w:tc>
        <w:tc>
          <w:tcPr>
            <w:tcW w:w="963" w:type="pct"/>
          </w:tcPr>
          <w:p w14:paraId="46E45A6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Extremely detailed </w:t>
            </w:r>
          </w:p>
          <w:p w14:paraId="416DC71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21</w:t>
            </w:r>
          </w:p>
        </w:tc>
        <w:tc>
          <w:tcPr>
            <w:tcW w:w="1156" w:type="pct"/>
          </w:tcPr>
          <w:p w14:paraId="2B7A84E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None/very minor - </w:t>
            </w:r>
            <w:r w:rsidRPr="0021519F">
              <w:rPr>
                <w:rFonts w:ascii="Times New Roman" w:hAnsi="Times New Roman" w:cs="Times New Roman"/>
                <w:sz w:val="16"/>
                <w:szCs w:val="16"/>
              </w:rPr>
              <w:t xml:space="preserve"> lots of detailed data </w:t>
            </w:r>
          </w:p>
        </w:tc>
      </w:tr>
      <w:tr w:rsidR="0021519F" w:rsidRPr="0021519F" w14:paraId="678793AC" w14:textId="77777777" w:rsidTr="006A54BC">
        <w:tc>
          <w:tcPr>
            <w:tcW w:w="246" w:type="pct"/>
          </w:tcPr>
          <w:p w14:paraId="7BD3DB6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0995494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Women’s perception of the care (n = 7)</w:t>
            </w:r>
          </w:p>
        </w:tc>
        <w:tc>
          <w:tcPr>
            <w:tcW w:w="693" w:type="pct"/>
          </w:tcPr>
          <w:p w14:paraId="3F27EAB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Positive views of women about care aided implementation</w:t>
            </w:r>
          </w:p>
        </w:tc>
        <w:tc>
          <w:tcPr>
            <w:tcW w:w="626" w:type="pct"/>
          </w:tcPr>
          <w:p w14:paraId="7963B5A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Ammerman</w:t>
            </w:r>
          </w:p>
          <w:p w14:paraId="013DE08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2016</w:t>
            </w:r>
          </w:p>
          <w:p w14:paraId="3DDC634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p w14:paraId="4ADA784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w:t>
            </w:r>
          </w:p>
          <w:p w14:paraId="3A4467E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Ormsby</w:t>
            </w:r>
          </w:p>
          <w:p w14:paraId="6D51C56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963" w:type="pct"/>
          </w:tcPr>
          <w:p w14:paraId="750FEA9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Shakespeare provides particularly detailed data </w:t>
            </w:r>
          </w:p>
          <w:p w14:paraId="7EA8B1B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5</w:t>
            </w:r>
          </w:p>
        </w:tc>
        <w:tc>
          <w:tcPr>
            <w:tcW w:w="1156" w:type="pct"/>
          </w:tcPr>
          <w:p w14:paraId="28B5F51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more research needed </w:t>
            </w:r>
          </w:p>
        </w:tc>
      </w:tr>
      <w:tr w:rsidR="0021519F" w:rsidRPr="0021519F" w14:paraId="78E01405" w14:textId="77777777" w:rsidTr="006A54BC">
        <w:tc>
          <w:tcPr>
            <w:tcW w:w="246" w:type="pct"/>
          </w:tcPr>
          <w:p w14:paraId="5739090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21CE9DA"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Screening and assessment</w:t>
            </w:r>
          </w:p>
          <w:p w14:paraId="6A44178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Wording of assessment tools (n = 3)</w:t>
            </w:r>
          </w:p>
        </w:tc>
        <w:tc>
          <w:tcPr>
            <w:tcW w:w="693" w:type="pct"/>
            <w:vMerge w:val="restart"/>
          </w:tcPr>
          <w:p w14:paraId="51476CE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The clarity of the wording of the assessment tools affects implementation and access</w:t>
            </w:r>
          </w:p>
        </w:tc>
        <w:tc>
          <w:tcPr>
            <w:tcW w:w="626" w:type="pct"/>
          </w:tcPr>
          <w:p w14:paraId="3C2907F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p w14:paraId="0D22B3B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075472E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Segre</w:t>
            </w:r>
          </w:p>
        </w:tc>
        <w:tc>
          <w:tcPr>
            <w:tcW w:w="963" w:type="pct"/>
            <w:vMerge w:val="restart"/>
          </w:tcPr>
          <w:p w14:paraId="4DC8ED7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Richness:</w:t>
            </w:r>
            <w:r w:rsidRPr="0021519F">
              <w:rPr>
                <w:rFonts w:ascii="Times New Roman" w:hAnsi="Times New Roman" w:cs="Times New Roman"/>
                <w:sz w:val="16"/>
                <w:szCs w:val="16"/>
              </w:rPr>
              <w:t xml:space="preserve"> The data is very detailed with quotes</w:t>
            </w:r>
          </w:p>
          <w:p w14:paraId="304A0CF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5</w:t>
            </w:r>
          </w:p>
        </w:tc>
        <w:tc>
          <w:tcPr>
            <w:tcW w:w="1156" w:type="pct"/>
            <w:vMerge w:val="restart"/>
          </w:tcPr>
          <w:p w14:paraId="23E08F2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more research needed</w:t>
            </w:r>
          </w:p>
        </w:tc>
      </w:tr>
      <w:tr w:rsidR="0021519F" w:rsidRPr="0021519F" w14:paraId="57338945" w14:textId="77777777" w:rsidTr="006A54BC">
        <w:tc>
          <w:tcPr>
            <w:tcW w:w="246" w:type="pct"/>
          </w:tcPr>
          <w:p w14:paraId="476CE9A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384C331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Wording of screening tools</w:t>
            </w:r>
          </w:p>
        </w:tc>
        <w:tc>
          <w:tcPr>
            <w:tcW w:w="693" w:type="pct"/>
            <w:vMerge/>
          </w:tcPr>
          <w:p w14:paraId="5E50AC2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57E95A3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Brealey et al., 2010; Hewitt et al., 2009</w:t>
            </w:r>
          </w:p>
        </w:tc>
        <w:tc>
          <w:tcPr>
            <w:tcW w:w="963" w:type="pct"/>
            <w:vMerge/>
          </w:tcPr>
          <w:p w14:paraId="2E36C81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06A731F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082324D6" w14:textId="77777777" w:rsidTr="006A54BC">
        <w:trPr>
          <w:trHeight w:val="378"/>
        </w:trPr>
        <w:tc>
          <w:tcPr>
            <w:tcW w:w="246" w:type="pct"/>
          </w:tcPr>
          <w:p w14:paraId="6F26080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vMerge w:val="restart"/>
          </w:tcPr>
          <w:p w14:paraId="210F37A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Delivery of screening</w:t>
            </w:r>
          </w:p>
        </w:tc>
        <w:tc>
          <w:tcPr>
            <w:tcW w:w="693" w:type="pct"/>
            <w:vMerge w:val="restart"/>
          </w:tcPr>
          <w:p w14:paraId="5FD7019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did not like it when delivery was done in a tick box way with no time for discussion and no explanation beforehand</w:t>
            </w:r>
          </w:p>
          <w:p w14:paraId="56641A3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Explaining the purpose of assessment to women.</w:t>
            </w:r>
          </w:p>
        </w:tc>
        <w:tc>
          <w:tcPr>
            <w:tcW w:w="626" w:type="pct"/>
            <w:vMerge w:val="restart"/>
          </w:tcPr>
          <w:p w14:paraId="594E0066"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Brealey et al., 2010; Button et al., 2017; Evans et al., 2020; Hewitt et al., 2009; Smith et al., 2019</w:t>
            </w:r>
          </w:p>
          <w:p w14:paraId="20723C26"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p w14:paraId="597A3147"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Nithianden</w:t>
            </w:r>
          </w:p>
          <w:p w14:paraId="3FC168D4"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Shakespeare</w:t>
            </w:r>
          </w:p>
          <w:p w14:paraId="79DF6667"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Segre</w:t>
            </w:r>
          </w:p>
          <w:p w14:paraId="0A687203"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Vik</w:t>
            </w:r>
          </w:p>
          <w:p w14:paraId="63EA827A"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Williams</w:t>
            </w:r>
          </w:p>
          <w:p w14:paraId="369C74A9"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 xml:space="preserve">Doering </w:t>
            </w:r>
          </w:p>
        </w:tc>
        <w:tc>
          <w:tcPr>
            <w:tcW w:w="963" w:type="pct"/>
            <w:vMerge w:val="restart"/>
          </w:tcPr>
          <w:p w14:paraId="2B34584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Quite detailed, especially around opening dialogue</w:t>
            </w:r>
          </w:p>
          <w:p w14:paraId="122B705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11</w:t>
            </w:r>
          </w:p>
        </w:tc>
        <w:tc>
          <w:tcPr>
            <w:tcW w:w="1156" w:type="pct"/>
            <w:vMerge w:val="restart"/>
          </w:tcPr>
          <w:p w14:paraId="278082B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could be more research done, but the general consensus fits across studies, quotes are provided and data is rich </w:t>
            </w:r>
          </w:p>
        </w:tc>
      </w:tr>
      <w:tr w:rsidR="0021519F" w:rsidRPr="0021519F" w14:paraId="42AF3F06" w14:textId="77777777" w:rsidTr="006A54BC">
        <w:tc>
          <w:tcPr>
            <w:tcW w:w="246" w:type="pct"/>
          </w:tcPr>
          <w:p w14:paraId="4748D95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vMerge/>
          </w:tcPr>
          <w:p w14:paraId="50C7CAC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93" w:type="pct"/>
            <w:vMerge/>
          </w:tcPr>
          <w:p w14:paraId="1BBA45A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vMerge/>
          </w:tcPr>
          <w:p w14:paraId="540DDA19"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tc>
        <w:tc>
          <w:tcPr>
            <w:tcW w:w="963" w:type="pct"/>
            <w:vMerge/>
          </w:tcPr>
          <w:p w14:paraId="3274DC28"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c>
          <w:tcPr>
            <w:tcW w:w="1156" w:type="pct"/>
            <w:vMerge/>
          </w:tcPr>
          <w:p w14:paraId="482EB3A9"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p>
        </w:tc>
      </w:tr>
      <w:tr w:rsidR="0021519F" w:rsidRPr="0021519F" w14:paraId="26C3D1B6" w14:textId="77777777" w:rsidTr="006A54BC">
        <w:tc>
          <w:tcPr>
            <w:tcW w:w="246" w:type="pct"/>
          </w:tcPr>
          <w:p w14:paraId="5811A0D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37546C3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Screening acceptability</w:t>
            </w:r>
          </w:p>
        </w:tc>
        <w:tc>
          <w:tcPr>
            <w:tcW w:w="693" w:type="pct"/>
          </w:tcPr>
          <w:p w14:paraId="3CC93DF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EPDS was generally found to be acceptable to Native/Indigenous women of Canada, South </w:t>
            </w:r>
            <w:r w:rsidRPr="0021519F">
              <w:rPr>
                <w:rFonts w:ascii="Times New Roman" w:hAnsi="Times New Roman" w:cs="Times New Roman"/>
                <w:sz w:val="16"/>
                <w:szCs w:val="16"/>
              </w:rPr>
              <w:lastRenderedPageBreak/>
              <w:t xml:space="preserve">Asian women living in the UK, and Black Caribbean women living in the UK However, certain questions may not elicit true feelings from Vietnamese women living in the UK because of the shame of admitting to these Q10 on the EPDS (‘the thought of harming myself has occurred to me’) was seen as problematic to Arabic, Vietnamese and Black Caribbean mothers living in the UK or USA, </w:t>
            </w:r>
          </w:p>
        </w:tc>
        <w:tc>
          <w:tcPr>
            <w:tcW w:w="626" w:type="pct"/>
          </w:tcPr>
          <w:p w14:paraId="0F5B3CD2"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lastRenderedPageBreak/>
              <w:t xml:space="preserve">Brealey et al., 2010; Button et al., 2017; Evans et al., 2020; Hewitt et al., 2009; </w:t>
            </w:r>
            <w:r w:rsidRPr="0021519F">
              <w:rPr>
                <w:rFonts w:ascii="Times New Roman" w:hAnsi="Times New Roman" w:cs="Times New Roman"/>
                <w:noProof/>
                <w:color w:val="000000"/>
                <w:sz w:val="16"/>
                <w:szCs w:val="16"/>
              </w:rPr>
              <w:lastRenderedPageBreak/>
              <w:t>Megnin-Viggars et al., 2015; Mollard et al., 2016; Smith et al., 2019</w:t>
            </w:r>
          </w:p>
          <w:p w14:paraId="3A390314"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p w14:paraId="3837F859"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Doering</w:t>
            </w:r>
          </w:p>
          <w:p w14:paraId="563F3F41"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 xml:space="preserve">Shakespeare </w:t>
            </w:r>
          </w:p>
        </w:tc>
        <w:tc>
          <w:tcPr>
            <w:tcW w:w="963" w:type="pct"/>
          </w:tcPr>
          <w:p w14:paraId="536A810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 xml:space="preserve">Data is detailed, quotes are provided </w:t>
            </w:r>
          </w:p>
          <w:p w14:paraId="37E57A6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9</w:t>
            </w:r>
          </w:p>
        </w:tc>
        <w:tc>
          <w:tcPr>
            <w:tcW w:w="1156" w:type="pct"/>
          </w:tcPr>
          <w:p w14:paraId="7996BC5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more research to understand why some do, and some don’t find it acceptable </w:t>
            </w:r>
          </w:p>
        </w:tc>
      </w:tr>
      <w:tr w:rsidR="0021519F" w:rsidRPr="0021519F" w14:paraId="401238F5" w14:textId="77777777" w:rsidTr="00554D17">
        <w:tc>
          <w:tcPr>
            <w:tcW w:w="246" w:type="pct"/>
            <w:shd w:val="clear" w:color="auto" w:fill="A6A6A6" w:themeFill="background1" w:themeFillShade="A6"/>
          </w:tcPr>
          <w:p w14:paraId="4150FBD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316" w:type="pct"/>
            <w:shd w:val="clear" w:color="auto" w:fill="A6A6A6" w:themeFill="background1" w:themeFillShade="A6"/>
          </w:tcPr>
          <w:p w14:paraId="5ADB822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Organisational</w:t>
            </w:r>
          </w:p>
        </w:tc>
        <w:tc>
          <w:tcPr>
            <w:tcW w:w="693" w:type="pct"/>
            <w:shd w:val="clear" w:color="auto" w:fill="A6A6A6" w:themeFill="background1" w:themeFillShade="A6"/>
          </w:tcPr>
          <w:p w14:paraId="321D4B2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shd w:val="clear" w:color="auto" w:fill="A6A6A6" w:themeFill="background1" w:themeFillShade="A6"/>
          </w:tcPr>
          <w:p w14:paraId="28D97628"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shd w:val="clear" w:color="auto" w:fill="A6A6A6" w:themeFill="background1" w:themeFillShade="A6"/>
          </w:tcPr>
          <w:p w14:paraId="3996A59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shd w:val="clear" w:color="auto" w:fill="A6A6A6" w:themeFill="background1" w:themeFillShade="A6"/>
          </w:tcPr>
          <w:p w14:paraId="635B492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330204B" w14:textId="77777777" w:rsidTr="006A54BC">
        <w:tc>
          <w:tcPr>
            <w:tcW w:w="246" w:type="pct"/>
          </w:tcPr>
          <w:p w14:paraId="161FD60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5E62F89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Continuity of carer (n = 8)</w:t>
            </w:r>
          </w:p>
        </w:tc>
        <w:tc>
          <w:tcPr>
            <w:tcW w:w="693" w:type="pct"/>
            <w:vMerge w:val="restart"/>
          </w:tcPr>
          <w:p w14:paraId="15E803E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being able to see the same person across the care pathway was helpful in terms of implementation and access to PNMH care.</w:t>
            </w:r>
          </w:p>
        </w:tc>
        <w:tc>
          <w:tcPr>
            <w:tcW w:w="626" w:type="pct"/>
          </w:tcPr>
          <w:p w14:paraId="00EAE4E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Byatt</w:t>
            </w:r>
          </w:p>
          <w:p w14:paraId="4E5D256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66718B7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2CFFEA0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70C22FA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64AA6E4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OMahen</w:t>
            </w:r>
          </w:p>
          <w:p w14:paraId="7955B9E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Willey</w:t>
            </w:r>
          </w:p>
          <w:p w14:paraId="68CA263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tc>
        <w:tc>
          <w:tcPr>
            <w:tcW w:w="963" w:type="pct"/>
            <w:vMerge w:val="restart"/>
          </w:tcPr>
          <w:p w14:paraId="2E28EE8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Moderately detailed, systematic review data is more detailed </w:t>
            </w:r>
          </w:p>
          <w:p w14:paraId="7352EBF5"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17</w:t>
            </w:r>
          </w:p>
        </w:tc>
        <w:tc>
          <w:tcPr>
            <w:tcW w:w="1156" w:type="pct"/>
            <w:vMerge w:val="restart"/>
          </w:tcPr>
          <w:p w14:paraId="4F33041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None/minor - </w:t>
            </w:r>
            <w:r w:rsidRPr="0021519F">
              <w:rPr>
                <w:rFonts w:ascii="Times New Roman" w:hAnsi="Times New Roman" w:cs="Times New Roman"/>
                <w:sz w:val="16"/>
                <w:szCs w:val="16"/>
              </w:rPr>
              <w:t xml:space="preserve"> 17 studies providing detailed clear data, plus supported by stakeholder meeting discussions so real life examples </w:t>
            </w:r>
          </w:p>
        </w:tc>
      </w:tr>
      <w:tr w:rsidR="0021519F" w:rsidRPr="0021519F" w14:paraId="051635F0" w14:textId="77777777" w:rsidTr="006A54BC">
        <w:tc>
          <w:tcPr>
            <w:tcW w:w="246" w:type="pct"/>
          </w:tcPr>
          <w:p w14:paraId="1853E3D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6557AB7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Continuity of carer</w:t>
            </w:r>
          </w:p>
        </w:tc>
        <w:tc>
          <w:tcPr>
            <w:tcW w:w="693" w:type="pct"/>
            <w:vMerge/>
          </w:tcPr>
          <w:p w14:paraId="6F597BD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56F20815"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Brealey et al., 2010; Button et al., 2017; Hadfield &amp; Wittkowski, 2017; Megnin-Viggars et al., 2015; Slade et al., 2020; Smith et al., 2019; Tobin et al., 2018; Viveiros &amp; Darling, 2018; Watson et al., 2019</w:t>
            </w:r>
          </w:p>
          <w:p w14:paraId="1E2CE107"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p w14:paraId="3AC1836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SH</w:t>
            </w:r>
          </w:p>
        </w:tc>
        <w:tc>
          <w:tcPr>
            <w:tcW w:w="963" w:type="pct"/>
            <w:vMerge/>
          </w:tcPr>
          <w:p w14:paraId="2CDA4F7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4E288F8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7D22B3D" w14:textId="77777777" w:rsidTr="006A54BC">
        <w:tc>
          <w:tcPr>
            <w:tcW w:w="246" w:type="pct"/>
          </w:tcPr>
          <w:p w14:paraId="401FE52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22A695A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Organisational structure (n = 5)</w:t>
            </w:r>
          </w:p>
        </w:tc>
        <w:tc>
          <w:tcPr>
            <w:tcW w:w="693" w:type="pct"/>
          </w:tcPr>
          <w:p w14:paraId="6BC91AD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A structure in which the purpose of each part of the organisation is clear and meets all of women’s needs, ensuring women don’t fall through gaps for implementation</w:t>
            </w:r>
          </w:p>
        </w:tc>
        <w:tc>
          <w:tcPr>
            <w:tcW w:w="626" w:type="pct"/>
          </w:tcPr>
          <w:p w14:paraId="1D18644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4BCBE97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68C81C6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Judd</w:t>
            </w:r>
          </w:p>
          <w:p w14:paraId="5FF6484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0640843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Pugh</w:t>
            </w:r>
          </w:p>
        </w:tc>
        <w:tc>
          <w:tcPr>
            <w:tcW w:w="963" w:type="pct"/>
          </w:tcPr>
          <w:p w14:paraId="741E294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Data is rich from Rowan, but the rest is lacking </w:t>
            </w:r>
          </w:p>
          <w:p w14:paraId="44231C3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5</w:t>
            </w:r>
          </w:p>
        </w:tc>
        <w:tc>
          <w:tcPr>
            <w:tcW w:w="1156" w:type="pct"/>
          </w:tcPr>
          <w:p w14:paraId="11FED23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more research needed </w:t>
            </w:r>
          </w:p>
        </w:tc>
      </w:tr>
      <w:tr w:rsidR="0021519F" w:rsidRPr="0021519F" w14:paraId="62298C69" w14:textId="77777777" w:rsidTr="006A54BC">
        <w:tc>
          <w:tcPr>
            <w:tcW w:w="246" w:type="pct"/>
          </w:tcPr>
          <w:p w14:paraId="54D1BF0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0D99E00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Referral pathways (n = 12)</w:t>
            </w:r>
          </w:p>
        </w:tc>
        <w:tc>
          <w:tcPr>
            <w:tcW w:w="693" w:type="pct"/>
          </w:tcPr>
          <w:p w14:paraId="63347C1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Having a clear and easy process to allow for </w:t>
            </w:r>
            <w:r w:rsidRPr="0021519F">
              <w:rPr>
                <w:rFonts w:ascii="Times New Roman" w:hAnsi="Times New Roman" w:cs="Times New Roman"/>
                <w:sz w:val="16"/>
                <w:szCs w:val="16"/>
              </w:rPr>
              <w:lastRenderedPageBreak/>
              <w:t xml:space="preserve">women to be referred to other services helps implement a new service. </w:t>
            </w:r>
          </w:p>
        </w:tc>
        <w:tc>
          <w:tcPr>
            <w:tcW w:w="626" w:type="pct"/>
          </w:tcPr>
          <w:p w14:paraId="6F89F28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Ammerman</w:t>
            </w:r>
          </w:p>
          <w:p w14:paraId="1A2ABD6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74B1CD0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Judd</w:t>
            </w:r>
          </w:p>
          <w:p w14:paraId="6414260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74034D9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3DC416B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26A805F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16FA3B1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18B8963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7C67F87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Willey</w:t>
            </w:r>
          </w:p>
          <w:p w14:paraId="3BB520A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2EB1FAD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Nakku</w:t>
            </w:r>
          </w:p>
        </w:tc>
        <w:tc>
          <w:tcPr>
            <w:tcW w:w="963" w:type="pct"/>
          </w:tcPr>
          <w:p w14:paraId="7CF0B39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 xml:space="preserve">Data is quite rich with some representative quotes </w:t>
            </w:r>
          </w:p>
          <w:p w14:paraId="39278000"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lastRenderedPageBreak/>
              <w:t>Quantity: 11</w:t>
            </w:r>
          </w:p>
        </w:tc>
        <w:tc>
          <w:tcPr>
            <w:tcW w:w="1156" w:type="pct"/>
          </w:tcPr>
          <w:p w14:paraId="3B66647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Minor: </w:t>
            </w:r>
            <w:r w:rsidRPr="0021519F">
              <w:rPr>
                <w:rFonts w:ascii="Times New Roman" w:hAnsi="Times New Roman" w:cs="Times New Roman"/>
                <w:sz w:val="16"/>
                <w:szCs w:val="16"/>
              </w:rPr>
              <w:t xml:space="preserve"> some more studies would be beneficial but no major gaps</w:t>
            </w:r>
          </w:p>
        </w:tc>
      </w:tr>
      <w:tr w:rsidR="0021519F" w:rsidRPr="0021519F" w14:paraId="3AE8F6A4" w14:textId="77777777" w:rsidTr="006A54BC">
        <w:tc>
          <w:tcPr>
            <w:tcW w:w="246" w:type="pct"/>
          </w:tcPr>
          <w:p w14:paraId="6EFC8E2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69E6719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Workflow procedures (n = 13)</w:t>
            </w:r>
          </w:p>
        </w:tc>
        <w:tc>
          <w:tcPr>
            <w:tcW w:w="693" w:type="pct"/>
          </w:tcPr>
          <w:p w14:paraId="48A09EC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Knowledge of job roles and processes within the organisation. The understanding of which tasks need to be done by whom, and how to achieve these tasks helps with implementation</w:t>
            </w:r>
          </w:p>
        </w:tc>
        <w:tc>
          <w:tcPr>
            <w:tcW w:w="626" w:type="pct"/>
          </w:tcPr>
          <w:p w14:paraId="54F7E18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4492E7F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Fernandez</w:t>
            </w:r>
          </w:p>
          <w:p w14:paraId="52D9708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7ABED2A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Lind</w:t>
            </w:r>
          </w:p>
          <w:p w14:paraId="05A4CBF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w:t>
            </w:r>
          </w:p>
          <w:p w14:paraId="1E32185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Segre</w:t>
            </w:r>
          </w:p>
          <w:p w14:paraId="02DD091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Munodawafa</w:t>
            </w:r>
          </w:p>
          <w:p w14:paraId="74B198E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Nithaianden</w:t>
            </w:r>
          </w:p>
          <w:p w14:paraId="5C42E96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0E01C48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74DE39C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0C5B57F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Pugh</w:t>
            </w:r>
          </w:p>
        </w:tc>
        <w:tc>
          <w:tcPr>
            <w:tcW w:w="963" w:type="pct"/>
          </w:tcPr>
          <w:p w14:paraId="274B76E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studies provide detailed data apart from McKenzie</w:t>
            </w:r>
          </w:p>
          <w:p w14:paraId="151C53C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12</w:t>
            </w:r>
          </w:p>
        </w:tc>
        <w:tc>
          <w:tcPr>
            <w:tcW w:w="1156" w:type="pct"/>
          </w:tcPr>
          <w:p w14:paraId="7AC6E26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 xml:space="preserve"> detailed data from 12 studies </w:t>
            </w:r>
          </w:p>
        </w:tc>
      </w:tr>
      <w:tr w:rsidR="0021519F" w:rsidRPr="0021519F" w14:paraId="1D1BCD8F" w14:textId="77777777" w:rsidTr="006A54BC">
        <w:tc>
          <w:tcPr>
            <w:tcW w:w="246" w:type="pct"/>
          </w:tcPr>
          <w:p w14:paraId="164ACE6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EDD945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Lack of appropriate or timely services (n = 9)</w:t>
            </w:r>
          </w:p>
        </w:tc>
        <w:tc>
          <w:tcPr>
            <w:tcW w:w="693" w:type="pct"/>
            <w:vMerge w:val="restart"/>
          </w:tcPr>
          <w:p w14:paraId="2591CE8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Not having anywhere to refer women on to due to lack of services or being able to refer women on to other services but the waiting time being long. </w:t>
            </w:r>
          </w:p>
          <w:p w14:paraId="65AC54C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This prevented women accessing care because no service would take them, long waiting times, structural barriers, needed to be in a crisis</w:t>
            </w:r>
          </w:p>
        </w:tc>
        <w:tc>
          <w:tcPr>
            <w:tcW w:w="626" w:type="pct"/>
          </w:tcPr>
          <w:p w14:paraId="1F3E14D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2BB14F5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4C3CDBD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55CBE71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0A6DE2A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Kerker</w:t>
            </w:r>
          </w:p>
          <w:p w14:paraId="349C22F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Leger</w:t>
            </w:r>
          </w:p>
          <w:p w14:paraId="64F532F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Lomanohaycroft</w:t>
            </w:r>
          </w:p>
          <w:p w14:paraId="2DB12F8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017858C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Rowan</w:t>
            </w:r>
          </w:p>
          <w:p w14:paraId="00F2C03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Williams</w:t>
            </w:r>
          </w:p>
        </w:tc>
        <w:tc>
          <w:tcPr>
            <w:tcW w:w="963" w:type="pct"/>
            <w:vMerge w:val="restart"/>
          </w:tcPr>
          <w:p w14:paraId="7BC56D8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Most studies provide detailed data </w:t>
            </w:r>
          </w:p>
          <w:p w14:paraId="6007AE1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17</w:t>
            </w:r>
          </w:p>
        </w:tc>
        <w:tc>
          <w:tcPr>
            <w:tcW w:w="1156" w:type="pct"/>
            <w:vMerge w:val="restart"/>
          </w:tcPr>
          <w:p w14:paraId="21ADA19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w:t>
            </w:r>
            <w:r w:rsidRPr="0021519F">
              <w:rPr>
                <w:rFonts w:ascii="Times New Roman" w:hAnsi="Times New Roman" w:cs="Times New Roman"/>
                <w:sz w:val="16"/>
                <w:szCs w:val="16"/>
              </w:rPr>
              <w:t xml:space="preserve">Clear rich data with many supporting studies </w:t>
            </w:r>
          </w:p>
        </w:tc>
      </w:tr>
      <w:tr w:rsidR="0021519F" w:rsidRPr="0021519F" w14:paraId="5C1BAFFA" w14:textId="77777777" w:rsidTr="006A54BC">
        <w:tc>
          <w:tcPr>
            <w:tcW w:w="246" w:type="pct"/>
          </w:tcPr>
          <w:p w14:paraId="4EA99BE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5BCF96A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Lack of services/overstretched</w:t>
            </w:r>
          </w:p>
        </w:tc>
        <w:tc>
          <w:tcPr>
            <w:tcW w:w="693" w:type="pct"/>
            <w:vMerge/>
          </w:tcPr>
          <w:p w14:paraId="45D48B4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05EFABC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Button et al., 2017; Forde et al., 2020; Megnin-Viggars et al., 2015; Smith et al., 2019; Tobin et al., 2018; Viveiros &amp; Darling, 2018</w:t>
            </w:r>
          </w:p>
        </w:tc>
        <w:tc>
          <w:tcPr>
            <w:tcW w:w="963" w:type="pct"/>
            <w:vMerge/>
          </w:tcPr>
          <w:p w14:paraId="569E101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08DB320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3C3C6D4C" w14:textId="77777777" w:rsidTr="006A54BC">
        <w:tc>
          <w:tcPr>
            <w:tcW w:w="246" w:type="pct"/>
          </w:tcPr>
          <w:p w14:paraId="2D3AFDD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B27CEE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Resources (n = 5)</w:t>
            </w:r>
          </w:p>
        </w:tc>
        <w:tc>
          <w:tcPr>
            <w:tcW w:w="693" w:type="pct"/>
          </w:tcPr>
          <w:p w14:paraId="513A6D6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Not having enough resources within organisations e.g. medication or support staff means cant implement a service properly</w:t>
            </w:r>
          </w:p>
        </w:tc>
        <w:tc>
          <w:tcPr>
            <w:tcW w:w="626" w:type="pct"/>
          </w:tcPr>
          <w:p w14:paraId="49840CA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69E6C67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Keker</w:t>
            </w:r>
          </w:p>
          <w:p w14:paraId="55580ACF"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Nakku</w:t>
            </w:r>
          </w:p>
          <w:p w14:paraId="2DA389A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963" w:type="pct"/>
          </w:tcPr>
          <w:p w14:paraId="75E4BF6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Data is moderately rich</w:t>
            </w:r>
          </w:p>
          <w:p w14:paraId="6390D126"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3</w:t>
            </w:r>
          </w:p>
        </w:tc>
        <w:tc>
          <w:tcPr>
            <w:tcW w:w="1156" w:type="pct"/>
          </w:tcPr>
          <w:p w14:paraId="45B4981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more research is needed </w:t>
            </w:r>
          </w:p>
        </w:tc>
      </w:tr>
      <w:tr w:rsidR="0021519F" w:rsidRPr="0021519F" w14:paraId="312A592A" w14:textId="77777777" w:rsidTr="006A54BC">
        <w:tc>
          <w:tcPr>
            <w:tcW w:w="246" w:type="pct"/>
          </w:tcPr>
          <w:p w14:paraId="7539D18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462713F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Service integration (n = 6)</w:t>
            </w:r>
          </w:p>
        </w:tc>
        <w:tc>
          <w:tcPr>
            <w:tcW w:w="693" w:type="pct"/>
            <w:vMerge w:val="restart"/>
          </w:tcPr>
          <w:p w14:paraId="6436876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The linking up of different services who </w:t>
            </w:r>
            <w:r w:rsidRPr="0021519F">
              <w:rPr>
                <w:rFonts w:ascii="Times New Roman" w:hAnsi="Times New Roman" w:cs="Times New Roman"/>
                <w:sz w:val="16"/>
                <w:szCs w:val="16"/>
              </w:rPr>
              <w:lastRenderedPageBreak/>
              <w:t xml:space="preserve">deal with different needs, or at different time points across the perinatal period benefitted women, stopped them falling through the net – implementation + access </w:t>
            </w:r>
          </w:p>
        </w:tc>
        <w:tc>
          <w:tcPr>
            <w:tcW w:w="626" w:type="pct"/>
          </w:tcPr>
          <w:p w14:paraId="1AF4967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Ammerman</w:t>
            </w:r>
          </w:p>
          <w:p w14:paraId="343D213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w:t>
            </w:r>
          </w:p>
          <w:p w14:paraId="2830B1A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lastRenderedPageBreak/>
              <w:t>Atif 2020</w:t>
            </w:r>
          </w:p>
          <w:p w14:paraId="6F1BDF4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Judd</w:t>
            </w:r>
          </w:p>
          <w:p w14:paraId="1B51ACEB"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27636C3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Young</w:t>
            </w:r>
          </w:p>
          <w:p w14:paraId="2C3C5B3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Rowan</w:t>
            </w:r>
          </w:p>
        </w:tc>
        <w:tc>
          <w:tcPr>
            <w:tcW w:w="963" w:type="pct"/>
            <w:vMerge w:val="restart"/>
          </w:tcPr>
          <w:p w14:paraId="22834A6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 xml:space="preserve">Data is rich, detailed </w:t>
            </w:r>
          </w:p>
          <w:p w14:paraId="21C9547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13</w:t>
            </w:r>
          </w:p>
        </w:tc>
        <w:tc>
          <w:tcPr>
            <w:tcW w:w="1156" w:type="pct"/>
            <w:vMerge w:val="restart"/>
          </w:tcPr>
          <w:p w14:paraId="43B9276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No/minor: </w:t>
            </w:r>
            <w:r w:rsidRPr="0021519F">
              <w:rPr>
                <w:rFonts w:ascii="Times New Roman" w:hAnsi="Times New Roman" w:cs="Times New Roman"/>
                <w:sz w:val="16"/>
                <w:szCs w:val="16"/>
              </w:rPr>
              <w:t xml:space="preserve">rich data, saying the same thing from multiple sources + SH agreement so real life aspects </w:t>
            </w:r>
          </w:p>
        </w:tc>
      </w:tr>
      <w:tr w:rsidR="0021519F" w:rsidRPr="0021519F" w14:paraId="62079951" w14:textId="77777777" w:rsidTr="006A54BC">
        <w:tc>
          <w:tcPr>
            <w:tcW w:w="246" w:type="pct"/>
          </w:tcPr>
          <w:p w14:paraId="40AB6E8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0BBD36AC" w14:textId="77777777" w:rsidR="0021519F" w:rsidRPr="0021519F" w:rsidRDefault="0021519F" w:rsidP="0021519F">
            <w:pPr>
              <w:pStyle w:val="ListParagraph"/>
              <w:tabs>
                <w:tab w:val="left" w:pos="1029"/>
              </w:tabs>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Collaboration within and across services</w:t>
            </w:r>
          </w:p>
        </w:tc>
        <w:tc>
          <w:tcPr>
            <w:tcW w:w="693" w:type="pct"/>
            <w:vMerge/>
          </w:tcPr>
          <w:p w14:paraId="74E72C5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639CE6DC"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Bina, 2020; Megnin-Viggars et al., 2015; Newman et al., 2019; Smith et al., 2019; Watson et al., 2019</w:t>
            </w:r>
          </w:p>
          <w:p w14:paraId="15517D6F"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Forde</w:t>
            </w:r>
          </w:p>
          <w:p w14:paraId="7245DA4C"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p w14:paraId="7CD480A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SH</w:t>
            </w:r>
          </w:p>
        </w:tc>
        <w:tc>
          <w:tcPr>
            <w:tcW w:w="963" w:type="pct"/>
            <w:vMerge/>
          </w:tcPr>
          <w:p w14:paraId="7F5982C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27FAF7F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4444EEC8" w14:textId="77777777" w:rsidTr="006A54BC">
        <w:tc>
          <w:tcPr>
            <w:tcW w:w="246" w:type="pct"/>
          </w:tcPr>
          <w:p w14:paraId="5891A96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671D446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Timely follow up (n = 3)</w:t>
            </w:r>
          </w:p>
        </w:tc>
        <w:tc>
          <w:tcPr>
            <w:tcW w:w="693" w:type="pct"/>
          </w:tcPr>
          <w:p w14:paraId="68D6687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Women being followed up by healthcare professionals or other services in short time frame means you can keep women on care pathway aiding implementation</w:t>
            </w:r>
          </w:p>
        </w:tc>
        <w:tc>
          <w:tcPr>
            <w:tcW w:w="626" w:type="pct"/>
          </w:tcPr>
          <w:p w14:paraId="0473059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4BAA093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Myors</w:t>
            </w:r>
          </w:p>
          <w:p w14:paraId="5531100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Nithianden</w:t>
            </w:r>
          </w:p>
        </w:tc>
        <w:tc>
          <w:tcPr>
            <w:tcW w:w="963" w:type="pct"/>
          </w:tcPr>
          <w:p w14:paraId="5641809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Data is not particularly rich</w:t>
            </w:r>
          </w:p>
          <w:p w14:paraId="29EFE23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3</w:t>
            </w:r>
          </w:p>
        </w:tc>
        <w:tc>
          <w:tcPr>
            <w:tcW w:w="1156" w:type="pct"/>
          </w:tcPr>
          <w:p w14:paraId="72C680B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 </w:t>
            </w:r>
            <w:r w:rsidRPr="0021519F">
              <w:rPr>
                <w:rFonts w:ascii="Times New Roman" w:hAnsi="Times New Roman" w:cs="Times New Roman"/>
                <w:sz w:val="16"/>
                <w:szCs w:val="16"/>
              </w:rPr>
              <w:t xml:space="preserve"> more research is needed </w:t>
            </w:r>
          </w:p>
        </w:tc>
      </w:tr>
      <w:tr w:rsidR="0021519F" w:rsidRPr="0021519F" w14:paraId="63F70A15" w14:textId="77777777" w:rsidTr="00554D17">
        <w:tc>
          <w:tcPr>
            <w:tcW w:w="5000" w:type="pct"/>
            <w:gridSpan w:val="6"/>
            <w:shd w:val="clear" w:color="auto" w:fill="A6A6A6" w:themeFill="background1" w:themeFillShade="A6"/>
          </w:tcPr>
          <w:p w14:paraId="238943B4" w14:textId="77777777" w:rsidR="0021519F" w:rsidRPr="0021519F" w:rsidRDefault="0021519F" w:rsidP="0021519F">
            <w:pPr>
              <w:spacing w:line="240" w:lineRule="auto"/>
              <w:ind w:firstLine="0"/>
              <w:rPr>
                <w:rFonts w:ascii="Times New Roman" w:hAnsi="Times New Roman" w:cs="Times New Roman"/>
                <w:b/>
                <w:bCs/>
                <w:sz w:val="16"/>
                <w:szCs w:val="16"/>
              </w:rPr>
            </w:pPr>
            <w:r w:rsidRPr="0021519F">
              <w:rPr>
                <w:rFonts w:ascii="Times New Roman" w:hAnsi="Times New Roman" w:cs="Times New Roman"/>
                <w:b/>
                <w:bCs/>
                <w:sz w:val="16"/>
                <w:szCs w:val="16"/>
              </w:rPr>
              <w:t xml:space="preserve">Political factors </w:t>
            </w:r>
          </w:p>
        </w:tc>
      </w:tr>
      <w:tr w:rsidR="0021519F" w:rsidRPr="0021519F" w14:paraId="5B56F481" w14:textId="77777777" w:rsidTr="006A54BC">
        <w:tc>
          <w:tcPr>
            <w:tcW w:w="246" w:type="pct"/>
          </w:tcPr>
          <w:p w14:paraId="3CB10B5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6F0D9EE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Funding (n = 10)</w:t>
            </w:r>
          </w:p>
        </w:tc>
        <w:tc>
          <w:tcPr>
            <w:tcW w:w="693" w:type="pct"/>
          </w:tcPr>
          <w:p w14:paraId="78955BD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Financial resources needed to provide and implement perinatal mental healthcare.</w:t>
            </w:r>
          </w:p>
        </w:tc>
        <w:tc>
          <w:tcPr>
            <w:tcW w:w="626" w:type="pct"/>
          </w:tcPr>
          <w:p w14:paraId="14F0CD7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Ammerman</w:t>
            </w:r>
          </w:p>
          <w:p w14:paraId="750785B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3CA22A8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Doering</w:t>
            </w:r>
          </w:p>
          <w:p w14:paraId="3447585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3014B16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Friendman</w:t>
            </w:r>
          </w:p>
          <w:p w14:paraId="24E6DEA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Gannan</w:t>
            </w:r>
          </w:p>
          <w:p w14:paraId="47F7F6B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Lomanon</w:t>
            </w:r>
          </w:p>
          <w:p w14:paraId="0EC0D31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Kim</w:t>
            </w:r>
          </w:p>
          <w:p w14:paraId="166E5EC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Ormsby</w:t>
            </w:r>
          </w:p>
          <w:p w14:paraId="2336370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Rowan</w:t>
            </w:r>
          </w:p>
        </w:tc>
        <w:tc>
          <w:tcPr>
            <w:tcW w:w="963" w:type="pct"/>
          </w:tcPr>
          <w:p w14:paraId="71E9FFB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good detail</w:t>
            </w:r>
          </w:p>
          <w:p w14:paraId="390469E6" w14:textId="77777777" w:rsidR="0021519F" w:rsidRPr="0021519F" w:rsidRDefault="0021519F" w:rsidP="0021519F">
            <w:pPr>
              <w:pStyle w:val="ListParagraph"/>
              <w:spacing w:after="0" w:line="240" w:lineRule="auto"/>
              <w:ind w:left="0"/>
              <w:rPr>
                <w:rFonts w:ascii="Times New Roman" w:hAnsi="Times New Roman" w:cs="Times New Roman"/>
                <w:b/>
                <w:bCs/>
                <w:sz w:val="16"/>
                <w:szCs w:val="16"/>
              </w:rPr>
            </w:pPr>
            <w:r w:rsidRPr="0021519F">
              <w:rPr>
                <w:rFonts w:ascii="Times New Roman" w:hAnsi="Times New Roman" w:cs="Times New Roman"/>
                <w:b/>
                <w:bCs/>
                <w:sz w:val="16"/>
                <w:szCs w:val="16"/>
              </w:rPr>
              <w:t>Quantity: 10</w:t>
            </w:r>
          </w:p>
        </w:tc>
        <w:tc>
          <w:tcPr>
            <w:tcW w:w="1156" w:type="pct"/>
          </w:tcPr>
          <w:p w14:paraId="795F629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Minor: </w:t>
            </w:r>
            <w:r w:rsidRPr="0021519F">
              <w:rPr>
                <w:rFonts w:ascii="Times New Roman" w:hAnsi="Times New Roman" w:cs="Times New Roman"/>
                <w:sz w:val="16"/>
                <w:szCs w:val="16"/>
              </w:rPr>
              <w:t>there is plenty of data, could be more studies as only 10</w:t>
            </w:r>
          </w:p>
        </w:tc>
      </w:tr>
      <w:tr w:rsidR="0021519F" w:rsidRPr="0021519F" w14:paraId="3C1DDC24" w14:textId="77777777" w:rsidTr="006A54BC">
        <w:tc>
          <w:tcPr>
            <w:tcW w:w="246" w:type="pct"/>
          </w:tcPr>
          <w:p w14:paraId="31EEE03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341B7DC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Immigration status</w:t>
            </w:r>
          </w:p>
        </w:tc>
        <w:tc>
          <w:tcPr>
            <w:tcW w:w="693" w:type="pct"/>
          </w:tcPr>
          <w:p w14:paraId="1DB55486" w14:textId="77777777" w:rsidR="0021519F" w:rsidRPr="0021519F" w:rsidRDefault="0021519F" w:rsidP="0021519F">
            <w:pPr>
              <w:widowControl w:val="0"/>
              <w:autoSpaceDE w:val="0"/>
              <w:autoSpaceDN w:val="0"/>
              <w:adjustRightInd w:val="0"/>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 xml:space="preserve">Immigration status influenced women’s </w:t>
            </w:r>
            <w:r w:rsidRPr="0021519F">
              <w:rPr>
                <w:rFonts w:ascii="Times New Roman" w:hAnsi="Times New Roman" w:cs="Times New Roman"/>
                <w:i/>
                <w:iCs/>
                <w:sz w:val="16"/>
                <w:szCs w:val="16"/>
              </w:rPr>
              <w:t>decision to consult</w:t>
            </w:r>
            <w:r w:rsidRPr="0021519F">
              <w:rPr>
                <w:rFonts w:ascii="Times New Roman" w:hAnsi="Times New Roman" w:cs="Times New Roman"/>
                <w:sz w:val="16"/>
                <w:szCs w:val="16"/>
              </w:rPr>
              <w:t xml:space="preserve"> and access to care due to fears of being deported</w:t>
            </w:r>
          </w:p>
        </w:tc>
        <w:tc>
          <w:tcPr>
            <w:tcW w:w="626" w:type="pct"/>
          </w:tcPr>
          <w:p w14:paraId="50785D9D"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t>Bina, 2020; Giscombe et al., 2020; Hansotte et al., 2017; Kassam, 2019; Schmied et al., 2017</w:t>
            </w:r>
          </w:p>
          <w:p w14:paraId="34AC2E12"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p>
          <w:p w14:paraId="4C7040C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Ganann</w:t>
            </w:r>
          </w:p>
        </w:tc>
        <w:tc>
          <w:tcPr>
            <w:tcW w:w="963" w:type="pct"/>
          </w:tcPr>
          <w:p w14:paraId="0972F7A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Data is very rich</w:t>
            </w:r>
          </w:p>
          <w:p w14:paraId="1A92985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b/>
                <w:bCs/>
                <w:sz w:val="16"/>
                <w:szCs w:val="16"/>
              </w:rPr>
              <w:t>Quantity: 6</w:t>
            </w:r>
          </w:p>
        </w:tc>
        <w:tc>
          <w:tcPr>
            <w:tcW w:w="1156" w:type="pct"/>
          </w:tcPr>
          <w:p w14:paraId="04EABB3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more research is needed into this </w:t>
            </w:r>
          </w:p>
        </w:tc>
      </w:tr>
      <w:tr w:rsidR="0021519F" w:rsidRPr="0021519F" w14:paraId="092B4893" w14:textId="77777777" w:rsidTr="006A54BC">
        <w:tc>
          <w:tcPr>
            <w:tcW w:w="246" w:type="pct"/>
          </w:tcPr>
          <w:p w14:paraId="609327C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0869907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Economic status</w:t>
            </w:r>
          </w:p>
        </w:tc>
        <w:tc>
          <w:tcPr>
            <w:tcW w:w="693" w:type="pct"/>
            <w:vMerge w:val="restart"/>
          </w:tcPr>
          <w:p w14:paraId="54D85EF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This influenced womens decision to consult, access to care (because can’t afford it) but also their experience of care because cant find wellbeing when you cant fulfil basic needs</w:t>
            </w:r>
          </w:p>
          <w:p w14:paraId="0BC081A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lastRenderedPageBreak/>
              <w:t>Costs of healthcare related to the above point. If you cant afford it, you don’t consult</w:t>
            </w:r>
          </w:p>
        </w:tc>
        <w:tc>
          <w:tcPr>
            <w:tcW w:w="626" w:type="pct"/>
            <w:vMerge w:val="restart"/>
          </w:tcPr>
          <w:p w14:paraId="733B900D" w14:textId="77777777" w:rsidR="0021519F" w:rsidRPr="0021519F" w:rsidRDefault="0021519F" w:rsidP="0021519F">
            <w:pPr>
              <w:spacing w:line="240" w:lineRule="auto"/>
              <w:ind w:firstLine="0"/>
              <w:rPr>
                <w:rFonts w:ascii="Times New Roman" w:hAnsi="Times New Roman" w:cs="Times New Roman"/>
                <w:noProof/>
                <w:color w:val="000000"/>
                <w:sz w:val="16"/>
                <w:szCs w:val="16"/>
              </w:rPr>
            </w:pPr>
            <w:r w:rsidRPr="0021519F">
              <w:rPr>
                <w:rFonts w:ascii="Times New Roman" w:hAnsi="Times New Roman" w:cs="Times New Roman"/>
                <w:noProof/>
                <w:color w:val="000000"/>
                <w:sz w:val="16"/>
                <w:szCs w:val="16"/>
              </w:rPr>
              <w:lastRenderedPageBreak/>
              <w:t>Schmied</w:t>
            </w:r>
          </w:p>
          <w:p w14:paraId="4F124A7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Tobin</w:t>
            </w:r>
          </w:p>
          <w:p w14:paraId="0BC0A2B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Lucas</w:t>
            </w:r>
          </w:p>
          <w:p w14:paraId="782ED8E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Kassam</w:t>
            </w:r>
          </w:p>
          <w:p w14:paraId="384456B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30BF458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Hansotte</w:t>
            </w:r>
          </w:p>
          <w:p w14:paraId="34DB3BD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Viveiros</w:t>
            </w:r>
          </w:p>
          <w:p w14:paraId="59935AE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 xml:space="preserve">Jones </w:t>
            </w:r>
          </w:p>
        </w:tc>
        <w:tc>
          <w:tcPr>
            <w:tcW w:w="963" w:type="pct"/>
            <w:vMerge w:val="restart"/>
          </w:tcPr>
          <w:p w14:paraId="0512574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The data is rich, there are quotes, some quite harrowing </w:t>
            </w:r>
          </w:p>
          <w:p w14:paraId="2BAB546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Quantity: 8 </w:t>
            </w:r>
          </w:p>
          <w:p w14:paraId="66D2A95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val="restart"/>
          </w:tcPr>
          <w:p w14:paraId="3AB692D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Moderate: </w:t>
            </w:r>
            <w:r w:rsidRPr="0021519F">
              <w:rPr>
                <w:rFonts w:ascii="Times New Roman" w:hAnsi="Times New Roman" w:cs="Times New Roman"/>
                <w:sz w:val="16"/>
                <w:szCs w:val="16"/>
              </w:rPr>
              <w:t xml:space="preserve"> more research is needed into this</w:t>
            </w:r>
          </w:p>
        </w:tc>
      </w:tr>
      <w:tr w:rsidR="0021519F" w:rsidRPr="0021519F" w14:paraId="5533468D" w14:textId="77777777" w:rsidTr="006A54BC">
        <w:tc>
          <w:tcPr>
            <w:tcW w:w="246" w:type="pct"/>
          </w:tcPr>
          <w:p w14:paraId="5C8BF16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7FB94A5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Healthcare costs</w:t>
            </w:r>
          </w:p>
        </w:tc>
        <w:tc>
          <w:tcPr>
            <w:tcW w:w="693" w:type="pct"/>
            <w:vMerge/>
          </w:tcPr>
          <w:p w14:paraId="02650B5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vMerge/>
          </w:tcPr>
          <w:p w14:paraId="79703967"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vMerge/>
          </w:tcPr>
          <w:p w14:paraId="615724D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672D701F"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2322CDC0" w14:textId="77777777" w:rsidTr="00554D17">
        <w:tc>
          <w:tcPr>
            <w:tcW w:w="246" w:type="pct"/>
            <w:shd w:val="clear" w:color="auto" w:fill="A6A6A6" w:themeFill="background1" w:themeFillShade="A6"/>
          </w:tcPr>
          <w:p w14:paraId="2B2681A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316" w:type="pct"/>
            <w:shd w:val="clear" w:color="auto" w:fill="A6A6A6" w:themeFill="background1" w:themeFillShade="A6"/>
          </w:tcPr>
          <w:p w14:paraId="7F48321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Societal factors </w:t>
            </w:r>
          </w:p>
        </w:tc>
        <w:tc>
          <w:tcPr>
            <w:tcW w:w="693" w:type="pct"/>
            <w:shd w:val="clear" w:color="auto" w:fill="A6A6A6" w:themeFill="background1" w:themeFillShade="A6"/>
          </w:tcPr>
          <w:p w14:paraId="0FB5869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shd w:val="clear" w:color="auto" w:fill="A6A6A6" w:themeFill="background1" w:themeFillShade="A6"/>
          </w:tcPr>
          <w:p w14:paraId="41F88B7F" w14:textId="77777777" w:rsidR="0021519F" w:rsidRPr="0021519F" w:rsidRDefault="0021519F" w:rsidP="0021519F">
            <w:pPr>
              <w:spacing w:line="240" w:lineRule="auto"/>
              <w:ind w:firstLine="0"/>
              <w:rPr>
                <w:rFonts w:ascii="Times New Roman" w:hAnsi="Times New Roman" w:cs="Times New Roman"/>
                <w:sz w:val="16"/>
                <w:szCs w:val="16"/>
              </w:rPr>
            </w:pPr>
          </w:p>
        </w:tc>
        <w:tc>
          <w:tcPr>
            <w:tcW w:w="963" w:type="pct"/>
            <w:shd w:val="clear" w:color="auto" w:fill="A6A6A6" w:themeFill="background1" w:themeFillShade="A6"/>
          </w:tcPr>
          <w:p w14:paraId="770C55A9"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shd w:val="clear" w:color="auto" w:fill="A6A6A6" w:themeFill="background1" w:themeFillShade="A6"/>
          </w:tcPr>
          <w:p w14:paraId="2F3F1C06"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673B70C7" w14:textId="77777777" w:rsidTr="006A54BC">
        <w:tc>
          <w:tcPr>
            <w:tcW w:w="246" w:type="pct"/>
          </w:tcPr>
          <w:p w14:paraId="093C01B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5E1B71F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Stigma</w:t>
            </w:r>
          </w:p>
        </w:tc>
        <w:tc>
          <w:tcPr>
            <w:tcW w:w="693" w:type="pct"/>
            <w:vMerge w:val="restart"/>
          </w:tcPr>
          <w:p w14:paraId="5DF02DC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Stigma prevented implementation and access to care. it was pervasive. </w:t>
            </w:r>
          </w:p>
        </w:tc>
        <w:tc>
          <w:tcPr>
            <w:tcW w:w="626" w:type="pct"/>
          </w:tcPr>
          <w:p w14:paraId="621920B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2016</w:t>
            </w:r>
          </w:p>
          <w:p w14:paraId="79088B6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2020</w:t>
            </w:r>
          </w:p>
          <w:p w14:paraId="57D9E65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Beeber</w:t>
            </w:r>
          </w:p>
          <w:p w14:paraId="5D662FF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344AA51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2EAD44F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Chartier</w:t>
            </w:r>
          </w:p>
          <w:p w14:paraId="483AB19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Cox</w:t>
            </w:r>
          </w:p>
          <w:p w14:paraId="0EBC8245"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Feinberg</w:t>
            </w:r>
          </w:p>
          <w:p w14:paraId="70DE475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1A62B56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Keker</w:t>
            </w:r>
          </w:p>
          <w:p w14:paraId="57D54B0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MCcAULEY</w:t>
            </w:r>
          </w:p>
          <w:p w14:paraId="2CACA1B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McKenzie</w:t>
            </w:r>
          </w:p>
          <w:p w14:paraId="75C3BBB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Munodawafa</w:t>
            </w:r>
          </w:p>
          <w:p w14:paraId="7105796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Myors</w:t>
            </w:r>
          </w:p>
          <w:p w14:paraId="7A1046E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Nakku</w:t>
            </w:r>
          </w:p>
          <w:p w14:paraId="5D7CF2F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Nithianden</w:t>
            </w:r>
          </w:p>
          <w:p w14:paraId="1D80FE7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78AED8D2"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Shakesperare</w:t>
            </w:r>
          </w:p>
          <w:p w14:paraId="66C0D5F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Vik</w:t>
            </w:r>
          </w:p>
          <w:p w14:paraId="0EDD514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Williams</w:t>
            </w:r>
          </w:p>
          <w:p w14:paraId="5B84D86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Young</w:t>
            </w:r>
          </w:p>
        </w:tc>
        <w:tc>
          <w:tcPr>
            <w:tcW w:w="963" w:type="pct"/>
            <w:vMerge w:val="restart"/>
          </w:tcPr>
          <w:p w14:paraId="126DE02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All very detailed</w:t>
            </w:r>
          </w:p>
          <w:p w14:paraId="1C3DD72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43</w:t>
            </w:r>
          </w:p>
        </w:tc>
        <w:tc>
          <w:tcPr>
            <w:tcW w:w="1156" w:type="pct"/>
          </w:tcPr>
          <w:p w14:paraId="0B73742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 - </w:t>
            </w:r>
            <w:r w:rsidRPr="0021519F">
              <w:rPr>
                <w:rFonts w:ascii="Times New Roman" w:hAnsi="Times New Roman" w:cs="Times New Roman"/>
                <w:sz w:val="16"/>
                <w:szCs w:val="16"/>
              </w:rPr>
              <w:t xml:space="preserve"> a lot of data</w:t>
            </w:r>
          </w:p>
        </w:tc>
      </w:tr>
      <w:tr w:rsidR="0021519F" w:rsidRPr="0021519F" w14:paraId="096E5512" w14:textId="77777777" w:rsidTr="006A54BC">
        <w:tc>
          <w:tcPr>
            <w:tcW w:w="246" w:type="pct"/>
          </w:tcPr>
          <w:p w14:paraId="6E626B1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50B43C2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Stigma</w:t>
            </w:r>
          </w:p>
        </w:tc>
        <w:tc>
          <w:tcPr>
            <w:tcW w:w="693" w:type="pct"/>
            <w:vMerge/>
          </w:tcPr>
          <w:p w14:paraId="2D74B7D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71BE008E"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Bina, 2020; Button et al., 2017; Dennis &amp; Chung-Lee, 2006; Forde et al., 2020; Giscombe et al., 2020; Hadfield &amp; Wittkowski, 2017; Hansotte et al., 2017; Hewitt et al., 2009; Holopainen &amp; Hakulinen, 2019; Jones, 2019; Kassam, 2019; Lucas et al., 2019; Megnin-Viggars et al., 2015; Morrell et al., 2016; Nilaweera et al., 2014; Mollard 17; Smith et al., 2019; Sorsa et al., 2021; Staneva et al., 2015; Tobin et al., 2018; Viveiros &amp; Darling, </w:t>
            </w:r>
            <w:r w:rsidRPr="0021519F">
              <w:rPr>
                <w:rFonts w:ascii="Times New Roman" w:hAnsi="Times New Roman" w:cs="Times New Roman"/>
                <w:noProof/>
                <w:color w:val="000000"/>
                <w:sz w:val="16"/>
                <w:szCs w:val="16"/>
              </w:rPr>
              <w:lastRenderedPageBreak/>
              <w:t>2018; Watson et al., 2019</w:t>
            </w:r>
          </w:p>
        </w:tc>
        <w:tc>
          <w:tcPr>
            <w:tcW w:w="963" w:type="pct"/>
            <w:vMerge/>
          </w:tcPr>
          <w:p w14:paraId="21284A0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tcPr>
          <w:p w14:paraId="21AD1E4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2597F61" w14:textId="77777777" w:rsidTr="006A54BC">
        <w:tc>
          <w:tcPr>
            <w:tcW w:w="246" w:type="pct"/>
          </w:tcPr>
          <w:p w14:paraId="68C24284"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1</w:t>
            </w:r>
          </w:p>
        </w:tc>
        <w:tc>
          <w:tcPr>
            <w:tcW w:w="1316" w:type="pct"/>
          </w:tcPr>
          <w:p w14:paraId="7F7EBDE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Culture (n = 13)</w:t>
            </w:r>
          </w:p>
        </w:tc>
        <w:tc>
          <w:tcPr>
            <w:tcW w:w="693" w:type="pct"/>
            <w:vMerge w:val="restart"/>
          </w:tcPr>
          <w:p w14:paraId="3C47719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The beliefs and behaviours of a particular group of people or a society.</w:t>
            </w:r>
          </w:p>
          <w:p w14:paraId="1BDCF29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Certain cultural beliefs about mental illness (i.e. it isn’t real, or its caused by spirits) means people are less likely to consult. Culture and stigma interlink. You have to be strong, have to fulfil gender roles, punishment for being black (more likely to be labelled)</w:t>
            </w:r>
          </w:p>
        </w:tc>
        <w:tc>
          <w:tcPr>
            <w:tcW w:w="626" w:type="pct"/>
          </w:tcPr>
          <w:p w14:paraId="06534AB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Atif 2016</w:t>
            </w:r>
          </w:p>
          <w:p w14:paraId="44655F36"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Bina</w:t>
            </w:r>
          </w:p>
          <w:p w14:paraId="00027E9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Boyd</w:t>
            </w:r>
          </w:p>
          <w:p w14:paraId="7ABE8CB7"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Friedman</w:t>
            </w:r>
          </w:p>
          <w:p w14:paraId="7B2934FA"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Ganann</w:t>
            </w:r>
          </w:p>
          <w:p w14:paraId="76E24331"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Higgins</w:t>
            </w:r>
          </w:p>
          <w:p w14:paraId="6138B00D"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Masood</w:t>
            </w:r>
          </w:p>
          <w:p w14:paraId="56C6C94C"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McCauley</w:t>
            </w:r>
          </w:p>
          <w:p w14:paraId="23255C00"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Naku</w:t>
            </w:r>
          </w:p>
          <w:p w14:paraId="6B473B59"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Nithanden</w:t>
            </w:r>
          </w:p>
          <w:p w14:paraId="26BCACE3"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Noonan</w:t>
            </w:r>
          </w:p>
          <w:p w14:paraId="2F413524"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sz w:val="16"/>
                <w:szCs w:val="16"/>
              </w:rPr>
              <w:t>Segre</w:t>
            </w:r>
          </w:p>
          <w:p w14:paraId="73A07427"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Shorey</w:t>
            </w:r>
          </w:p>
        </w:tc>
        <w:tc>
          <w:tcPr>
            <w:tcW w:w="963" w:type="pct"/>
            <w:vMerge w:val="restart"/>
          </w:tcPr>
          <w:p w14:paraId="6D94E05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Richness: </w:t>
            </w:r>
            <w:r w:rsidRPr="0021519F">
              <w:rPr>
                <w:rFonts w:ascii="Times New Roman" w:hAnsi="Times New Roman" w:cs="Times New Roman"/>
                <w:sz w:val="16"/>
                <w:szCs w:val="16"/>
              </w:rPr>
              <w:t xml:space="preserve">The data is very rich, there is a lot of detail related to this </w:t>
            </w:r>
          </w:p>
          <w:p w14:paraId="036F8AA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32</w:t>
            </w:r>
          </w:p>
        </w:tc>
        <w:tc>
          <w:tcPr>
            <w:tcW w:w="1156" w:type="pct"/>
            <w:vMerge w:val="restart"/>
          </w:tcPr>
          <w:p w14:paraId="6926034D"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 - </w:t>
            </w:r>
            <w:r w:rsidRPr="0021519F">
              <w:rPr>
                <w:rFonts w:ascii="Times New Roman" w:hAnsi="Times New Roman" w:cs="Times New Roman"/>
                <w:sz w:val="16"/>
                <w:szCs w:val="16"/>
              </w:rPr>
              <w:t xml:space="preserve"> a lot of data</w:t>
            </w:r>
          </w:p>
        </w:tc>
      </w:tr>
      <w:tr w:rsidR="0021519F" w:rsidRPr="0021519F" w14:paraId="41F0BF0E" w14:textId="77777777" w:rsidTr="006A54BC">
        <w:tc>
          <w:tcPr>
            <w:tcW w:w="246" w:type="pct"/>
          </w:tcPr>
          <w:p w14:paraId="6E78A75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25B8C598"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Culture</w:t>
            </w:r>
          </w:p>
        </w:tc>
        <w:tc>
          <w:tcPr>
            <w:tcW w:w="693" w:type="pct"/>
            <w:vMerge/>
          </w:tcPr>
          <w:p w14:paraId="3C811DF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626" w:type="pct"/>
          </w:tcPr>
          <w:p w14:paraId="4067DDC8" w14:textId="77777777" w:rsidR="0021519F" w:rsidRPr="0021519F" w:rsidRDefault="0021519F" w:rsidP="0021519F">
            <w:pPr>
              <w:spacing w:line="240" w:lineRule="auto"/>
              <w:ind w:firstLine="0"/>
              <w:rPr>
                <w:rFonts w:ascii="Times New Roman" w:hAnsi="Times New Roman" w:cs="Times New Roman"/>
                <w:sz w:val="16"/>
                <w:szCs w:val="16"/>
              </w:rPr>
            </w:pPr>
            <w:r w:rsidRPr="0021519F">
              <w:rPr>
                <w:rFonts w:ascii="Times New Roman" w:hAnsi="Times New Roman" w:cs="Times New Roman"/>
                <w:noProof/>
                <w:color w:val="000000"/>
                <w:sz w:val="16"/>
                <w:szCs w:val="16"/>
              </w:rPr>
              <w:t>Bina, 2020; Brealey et al., 2010; Button et al., 2017; Dennis &amp; Chung-Lee, 2006; Giscombe et al., 2020; Hansotte et al., 2017; Hewitt et al., 2009; Jones, 2019; Kassam, 2019; Megnin-Viggars et al., 2015; Nilaweera et al., 2014; Praetorius et al., 2020; Schmied et al., 2017; Smith et al., 2019; Sorsa et al., 2021; Staneva et al., 2015; Tobin et al., 2018; Viveiros &amp; Darling, 2018; Watson et al., 2019; Wittkowski et al., 2014</w:t>
            </w:r>
          </w:p>
        </w:tc>
        <w:tc>
          <w:tcPr>
            <w:tcW w:w="963" w:type="pct"/>
            <w:vMerge/>
          </w:tcPr>
          <w:p w14:paraId="6BB412F3"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c>
          <w:tcPr>
            <w:tcW w:w="1156" w:type="pct"/>
            <w:vMerge/>
          </w:tcPr>
          <w:p w14:paraId="7647F78C"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p>
        </w:tc>
      </w:tr>
      <w:tr w:rsidR="0021519F" w:rsidRPr="0021519F" w14:paraId="723BE8E4" w14:textId="77777777" w:rsidTr="006A54BC">
        <w:tc>
          <w:tcPr>
            <w:tcW w:w="246" w:type="pct"/>
          </w:tcPr>
          <w:p w14:paraId="4BDE460A"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2</w:t>
            </w:r>
          </w:p>
        </w:tc>
        <w:tc>
          <w:tcPr>
            <w:tcW w:w="1316" w:type="pct"/>
          </w:tcPr>
          <w:p w14:paraId="2931D230"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Maternal norms</w:t>
            </w:r>
          </w:p>
        </w:tc>
        <w:tc>
          <w:tcPr>
            <w:tcW w:w="693" w:type="pct"/>
          </w:tcPr>
          <w:p w14:paraId="77594C22"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sz w:val="16"/>
                <w:szCs w:val="16"/>
              </w:rPr>
              <w:t xml:space="preserve">The </w:t>
            </w:r>
            <w:r w:rsidRPr="0021519F">
              <w:rPr>
                <w:rFonts w:ascii="Times New Roman" w:hAnsi="Times New Roman" w:cs="Times New Roman"/>
                <w:b/>
                <w:bCs/>
                <w:sz w:val="16"/>
                <w:szCs w:val="16"/>
              </w:rPr>
              <w:t>maternal norm</w:t>
            </w:r>
            <w:r w:rsidRPr="0021519F">
              <w:rPr>
                <w:rFonts w:ascii="Times New Roman" w:hAnsi="Times New Roman" w:cs="Times New Roman"/>
                <w:sz w:val="16"/>
                <w:szCs w:val="16"/>
              </w:rPr>
              <w:t xml:space="preserve"> for women to show they are strong, that they can cope and be a good mother (n = 19), prevented women from </w:t>
            </w:r>
            <w:r w:rsidRPr="0021519F">
              <w:rPr>
                <w:rFonts w:ascii="Times New Roman" w:hAnsi="Times New Roman" w:cs="Times New Roman"/>
                <w:i/>
                <w:iCs/>
                <w:sz w:val="16"/>
                <w:szCs w:val="16"/>
              </w:rPr>
              <w:t xml:space="preserve">deciding to consult, disclosing, accessing care </w:t>
            </w:r>
            <w:r w:rsidRPr="0021519F">
              <w:rPr>
                <w:rFonts w:ascii="Times New Roman" w:hAnsi="Times New Roman" w:cs="Times New Roman"/>
                <w:sz w:val="16"/>
                <w:szCs w:val="16"/>
              </w:rPr>
              <w:t xml:space="preserve">and </w:t>
            </w:r>
            <w:r w:rsidRPr="0021519F">
              <w:rPr>
                <w:rFonts w:ascii="Times New Roman" w:hAnsi="Times New Roman" w:cs="Times New Roman"/>
                <w:i/>
                <w:iCs/>
                <w:sz w:val="16"/>
                <w:szCs w:val="16"/>
              </w:rPr>
              <w:t>women’s experience of care</w:t>
            </w:r>
          </w:p>
        </w:tc>
        <w:tc>
          <w:tcPr>
            <w:tcW w:w="626" w:type="pct"/>
          </w:tcPr>
          <w:p w14:paraId="37CAA63E"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noProof/>
                <w:color w:val="000000"/>
                <w:sz w:val="16"/>
                <w:szCs w:val="16"/>
              </w:rPr>
              <w:t xml:space="preserve">Bina, 2020; Brealey et al., 2010; Button et al., 2017; Dennis &amp; Chung-Lee, 2006; Forde et al., 2020; Hadfield &amp; Wittkowski, 2017; Hansotte et al., 2017; Hewitt et al., 2009; Holopainen &amp; Hakulinen, 2019; Jones et al., 2014; </w:t>
            </w:r>
            <w:r w:rsidRPr="0021519F">
              <w:rPr>
                <w:rFonts w:ascii="Times New Roman" w:hAnsi="Times New Roman" w:cs="Times New Roman"/>
                <w:noProof/>
                <w:color w:val="000000"/>
                <w:sz w:val="16"/>
                <w:szCs w:val="16"/>
              </w:rPr>
              <w:lastRenderedPageBreak/>
              <w:t>Lucas et al., 2019; Mollard et al., 2016; Morrell et al., 2016; Newman et al., 2019; Schmied et al., 2017; Slade et al., 2020; Smith et al., 2019; Sorsa et al., 2021; Staneva et al., 2015; Viveiros &amp; Darling, 2018</w:t>
            </w:r>
          </w:p>
        </w:tc>
        <w:tc>
          <w:tcPr>
            <w:tcW w:w="963" w:type="pct"/>
          </w:tcPr>
          <w:p w14:paraId="745875F5"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lastRenderedPageBreak/>
              <w:t xml:space="preserve">Richness: </w:t>
            </w:r>
            <w:r w:rsidRPr="0021519F">
              <w:rPr>
                <w:rFonts w:ascii="Times New Roman" w:hAnsi="Times New Roman" w:cs="Times New Roman"/>
                <w:sz w:val="16"/>
                <w:szCs w:val="16"/>
              </w:rPr>
              <w:t xml:space="preserve">The data was rich, with lots of quotes </w:t>
            </w:r>
          </w:p>
          <w:p w14:paraId="00B22541"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Quantity: 22</w:t>
            </w:r>
          </w:p>
        </w:tc>
        <w:tc>
          <w:tcPr>
            <w:tcW w:w="1156" w:type="pct"/>
          </w:tcPr>
          <w:p w14:paraId="4D4BDBCB" w14:textId="77777777" w:rsidR="0021519F" w:rsidRPr="0021519F" w:rsidRDefault="0021519F" w:rsidP="0021519F">
            <w:pPr>
              <w:pStyle w:val="ListParagraph"/>
              <w:spacing w:after="0" w:line="240" w:lineRule="auto"/>
              <w:ind w:left="0"/>
              <w:rPr>
                <w:rFonts w:ascii="Times New Roman" w:hAnsi="Times New Roman" w:cs="Times New Roman"/>
                <w:sz w:val="16"/>
                <w:szCs w:val="16"/>
              </w:rPr>
            </w:pPr>
            <w:r w:rsidRPr="0021519F">
              <w:rPr>
                <w:rFonts w:ascii="Times New Roman" w:hAnsi="Times New Roman" w:cs="Times New Roman"/>
                <w:b/>
                <w:bCs/>
                <w:sz w:val="16"/>
                <w:szCs w:val="16"/>
              </w:rPr>
              <w:t xml:space="preserve">None/v minor: </w:t>
            </w:r>
            <w:r w:rsidRPr="0021519F">
              <w:rPr>
                <w:rFonts w:ascii="Times New Roman" w:hAnsi="Times New Roman" w:cs="Times New Roman"/>
                <w:sz w:val="16"/>
                <w:szCs w:val="16"/>
              </w:rPr>
              <w:t xml:space="preserve">a lot of consistent data </w:t>
            </w:r>
          </w:p>
        </w:tc>
      </w:tr>
    </w:tbl>
    <w:p w14:paraId="2CFFF4FE" w14:textId="77777777" w:rsidR="00554D17" w:rsidRDefault="006E4D24" w:rsidP="00BE7DC4">
      <w:pPr>
        <w:spacing w:line="240" w:lineRule="auto"/>
        <w:ind w:firstLine="0"/>
        <w:rPr>
          <w:rFonts w:ascii="Times New Roman" w:hAnsi="Times New Roman" w:cs="Times New Roman"/>
        </w:rPr>
        <w:sectPr w:rsidR="00554D17" w:rsidSect="0022744A">
          <w:pgSz w:w="16838" w:h="11906" w:orient="landscape"/>
          <w:pgMar w:top="1440" w:right="1440" w:bottom="1440" w:left="1440" w:header="708" w:footer="708" w:gutter="0"/>
          <w:cols w:space="708"/>
          <w:docGrid w:linePitch="360"/>
        </w:sectPr>
      </w:pPr>
      <w:r w:rsidRPr="00265687">
        <w:rPr>
          <w:rFonts w:ascii="Times New Roman" w:hAnsi="Times New Roman" w:cs="Times New Roman"/>
        </w:rPr>
        <w:br w:type="page"/>
      </w:r>
    </w:p>
    <w:p w14:paraId="49AAE5E0" w14:textId="41ABE826" w:rsidR="009755DF" w:rsidRPr="00265687" w:rsidRDefault="00367A93" w:rsidP="00AA1602">
      <w:pPr>
        <w:pStyle w:val="Heading1"/>
        <w:rPr>
          <w:rFonts w:ascii="Times New Roman" w:hAnsi="Times New Roman" w:cs="Times New Roman"/>
          <w:color w:val="auto"/>
          <w:sz w:val="24"/>
          <w:szCs w:val="24"/>
        </w:rPr>
      </w:pPr>
      <w:bookmarkStart w:id="9" w:name="_Toc108781726"/>
      <w:r>
        <w:rPr>
          <w:rFonts w:ascii="Times New Roman" w:hAnsi="Times New Roman" w:cs="Times New Roman"/>
          <w:i/>
          <w:iCs/>
          <w:color w:val="auto"/>
          <w:sz w:val="24"/>
          <w:szCs w:val="24"/>
        </w:rPr>
        <w:lastRenderedPageBreak/>
        <w:t xml:space="preserve">Supplementary Materials </w:t>
      </w:r>
      <w:bookmarkStart w:id="10" w:name="_Toc89100345"/>
      <w:bookmarkStart w:id="11" w:name="_Hlk88035315"/>
      <w:r w:rsidR="00554D17">
        <w:rPr>
          <w:rFonts w:ascii="Times New Roman" w:hAnsi="Times New Roman" w:cs="Times New Roman"/>
          <w:i/>
          <w:iCs/>
          <w:color w:val="auto"/>
          <w:sz w:val="24"/>
          <w:szCs w:val="24"/>
        </w:rPr>
        <w:t>7</w:t>
      </w:r>
      <w:r>
        <w:rPr>
          <w:rFonts w:ascii="Times New Roman" w:hAnsi="Times New Roman" w:cs="Times New Roman"/>
          <w:i/>
          <w:iCs/>
          <w:color w:val="auto"/>
          <w:sz w:val="24"/>
          <w:szCs w:val="24"/>
        </w:rPr>
        <w:t>:</w:t>
      </w:r>
      <w:r w:rsidR="002A7A48" w:rsidRPr="00265687">
        <w:rPr>
          <w:rFonts w:ascii="Times New Roman" w:hAnsi="Times New Roman" w:cs="Times New Roman"/>
          <w:color w:val="auto"/>
          <w:sz w:val="24"/>
          <w:szCs w:val="24"/>
        </w:rPr>
        <w:t xml:space="preserve"> </w:t>
      </w:r>
      <w:r w:rsidR="009755DF" w:rsidRPr="00265687">
        <w:rPr>
          <w:rFonts w:ascii="Times New Roman" w:hAnsi="Times New Roman" w:cs="Times New Roman"/>
          <w:color w:val="auto"/>
          <w:sz w:val="24"/>
          <w:szCs w:val="24"/>
        </w:rPr>
        <w:t>Geographical distribution of research</w:t>
      </w:r>
      <w:bookmarkEnd w:id="10"/>
      <w:bookmarkEnd w:id="9"/>
    </w:p>
    <w:tbl>
      <w:tblPr>
        <w:tblStyle w:val="TableGrid"/>
        <w:tblW w:w="9016" w:type="dxa"/>
        <w:tblLook w:val="04A0" w:firstRow="1" w:lastRow="0" w:firstColumn="1" w:lastColumn="0" w:noHBand="0" w:noVBand="1"/>
      </w:tblPr>
      <w:tblGrid>
        <w:gridCol w:w="963"/>
        <w:gridCol w:w="2105"/>
        <w:gridCol w:w="3049"/>
        <w:gridCol w:w="1856"/>
        <w:gridCol w:w="1043"/>
      </w:tblGrid>
      <w:tr w:rsidR="00AA1602" w:rsidRPr="00265687" w14:paraId="0FF08BFB" w14:textId="77777777" w:rsidTr="00554D17">
        <w:tc>
          <w:tcPr>
            <w:tcW w:w="768" w:type="dxa"/>
            <w:shd w:val="clear" w:color="auto" w:fill="A6A6A6" w:themeFill="background1" w:themeFillShade="A6"/>
          </w:tcPr>
          <w:p w14:paraId="3C41A4FB" w14:textId="77777777" w:rsidR="009755DF" w:rsidRPr="00265687" w:rsidRDefault="009755DF" w:rsidP="00BE7DC4">
            <w:pPr>
              <w:spacing w:line="240" w:lineRule="auto"/>
              <w:ind w:firstLine="0"/>
              <w:rPr>
                <w:rFonts w:ascii="Times New Roman" w:hAnsi="Times New Roman" w:cs="Times New Roman"/>
                <w:b/>
                <w:bCs/>
              </w:rPr>
            </w:pPr>
            <w:r w:rsidRPr="00265687">
              <w:rPr>
                <w:rFonts w:ascii="Times New Roman" w:hAnsi="Times New Roman" w:cs="Times New Roman"/>
                <w:b/>
                <w:bCs/>
              </w:rPr>
              <w:t>Review</w:t>
            </w:r>
          </w:p>
        </w:tc>
        <w:tc>
          <w:tcPr>
            <w:tcW w:w="2204" w:type="dxa"/>
            <w:shd w:val="clear" w:color="auto" w:fill="A6A6A6" w:themeFill="background1" w:themeFillShade="A6"/>
          </w:tcPr>
          <w:p w14:paraId="3D630C86" w14:textId="77777777" w:rsidR="009755DF" w:rsidRPr="00265687" w:rsidRDefault="009755DF" w:rsidP="00BE7DC4">
            <w:pPr>
              <w:spacing w:line="240" w:lineRule="auto"/>
              <w:ind w:firstLine="0"/>
              <w:rPr>
                <w:rFonts w:ascii="Times New Roman" w:hAnsi="Times New Roman" w:cs="Times New Roman"/>
                <w:b/>
                <w:bCs/>
              </w:rPr>
            </w:pPr>
            <w:r w:rsidRPr="00265687">
              <w:rPr>
                <w:rFonts w:ascii="Times New Roman" w:hAnsi="Times New Roman" w:cs="Times New Roman"/>
                <w:b/>
                <w:bCs/>
              </w:rPr>
              <w:t>UK</w:t>
            </w:r>
          </w:p>
        </w:tc>
        <w:tc>
          <w:tcPr>
            <w:tcW w:w="3260" w:type="dxa"/>
            <w:shd w:val="clear" w:color="auto" w:fill="A6A6A6" w:themeFill="background1" w:themeFillShade="A6"/>
          </w:tcPr>
          <w:p w14:paraId="1BE43444" w14:textId="77777777" w:rsidR="009755DF" w:rsidRPr="00265687" w:rsidRDefault="009755DF" w:rsidP="00BE7DC4">
            <w:pPr>
              <w:spacing w:line="240" w:lineRule="auto"/>
              <w:ind w:firstLine="0"/>
              <w:rPr>
                <w:rFonts w:ascii="Times New Roman" w:hAnsi="Times New Roman" w:cs="Times New Roman"/>
                <w:b/>
                <w:bCs/>
              </w:rPr>
            </w:pPr>
            <w:r w:rsidRPr="00265687">
              <w:rPr>
                <w:rFonts w:ascii="Times New Roman" w:hAnsi="Times New Roman" w:cs="Times New Roman"/>
                <w:b/>
                <w:bCs/>
              </w:rPr>
              <w:t>HIC/Western</w:t>
            </w:r>
          </w:p>
        </w:tc>
        <w:tc>
          <w:tcPr>
            <w:tcW w:w="1873" w:type="dxa"/>
            <w:shd w:val="clear" w:color="auto" w:fill="A6A6A6" w:themeFill="background1" w:themeFillShade="A6"/>
          </w:tcPr>
          <w:p w14:paraId="1CB5E867" w14:textId="77777777" w:rsidR="009755DF" w:rsidRPr="00265687" w:rsidRDefault="009755DF" w:rsidP="00BE7DC4">
            <w:pPr>
              <w:spacing w:line="240" w:lineRule="auto"/>
              <w:ind w:firstLine="0"/>
              <w:rPr>
                <w:rFonts w:ascii="Times New Roman" w:hAnsi="Times New Roman" w:cs="Times New Roman"/>
                <w:b/>
                <w:bCs/>
              </w:rPr>
            </w:pPr>
            <w:r w:rsidRPr="00265687">
              <w:rPr>
                <w:rFonts w:ascii="Times New Roman" w:hAnsi="Times New Roman" w:cs="Times New Roman"/>
                <w:b/>
                <w:bCs/>
              </w:rPr>
              <w:t>LMIC/Eastern</w:t>
            </w:r>
          </w:p>
        </w:tc>
        <w:tc>
          <w:tcPr>
            <w:tcW w:w="911" w:type="dxa"/>
            <w:shd w:val="clear" w:color="auto" w:fill="A6A6A6" w:themeFill="background1" w:themeFillShade="A6"/>
          </w:tcPr>
          <w:p w14:paraId="09A166C7" w14:textId="77777777" w:rsidR="009755DF" w:rsidRPr="00265687" w:rsidRDefault="009755DF" w:rsidP="00BE7DC4">
            <w:pPr>
              <w:spacing w:line="240" w:lineRule="auto"/>
              <w:ind w:firstLine="0"/>
              <w:rPr>
                <w:rFonts w:ascii="Times New Roman" w:hAnsi="Times New Roman" w:cs="Times New Roman"/>
                <w:b/>
                <w:bCs/>
              </w:rPr>
            </w:pPr>
            <w:r w:rsidRPr="00265687">
              <w:rPr>
                <w:rFonts w:ascii="Times New Roman" w:hAnsi="Times New Roman" w:cs="Times New Roman"/>
                <w:b/>
                <w:bCs/>
              </w:rPr>
              <w:t>Don’t know</w:t>
            </w:r>
          </w:p>
        </w:tc>
      </w:tr>
      <w:tr w:rsidR="00AA1602" w:rsidRPr="00265687" w14:paraId="72F98281" w14:textId="77777777" w:rsidTr="00CC56AD">
        <w:tc>
          <w:tcPr>
            <w:tcW w:w="768" w:type="dxa"/>
          </w:tcPr>
          <w:p w14:paraId="1A36CBB1"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rPr>
              <w:t>1</w:t>
            </w:r>
          </w:p>
        </w:tc>
        <w:tc>
          <w:tcPr>
            <w:tcW w:w="2204" w:type="dxa"/>
          </w:tcPr>
          <w:p w14:paraId="4330FEEC" w14:textId="77777777" w:rsidR="009755DF" w:rsidRPr="00265687" w:rsidRDefault="009755DF" w:rsidP="00BE7DC4">
            <w:pPr>
              <w:spacing w:line="240" w:lineRule="auto"/>
              <w:ind w:firstLine="0"/>
              <w:rPr>
                <w:rFonts w:ascii="Times New Roman" w:hAnsi="Times New Roman" w:cs="Times New Roman"/>
                <w:i/>
                <w:iCs/>
              </w:rPr>
            </w:pPr>
            <w:r w:rsidRPr="00265687">
              <w:rPr>
                <w:rFonts w:ascii="Times New Roman" w:hAnsi="Times New Roman" w:cs="Times New Roman"/>
                <w:i/>
                <w:iCs/>
                <w:noProof/>
              </w:rPr>
              <w:t>Hadfield et al., 2019; Masood et al., 2015; McKenzie-McHarg et al., 2014; O’Mahen &amp; Flynn, 2008; Rowan et al., 2010; Shakespeare et al., 2003; Williams et al., 2016</w:t>
            </w:r>
          </w:p>
        </w:tc>
        <w:tc>
          <w:tcPr>
            <w:tcW w:w="3260" w:type="dxa"/>
          </w:tcPr>
          <w:p w14:paraId="49B0715C"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Australia:</w:t>
            </w:r>
            <w:r w:rsidRPr="00265687">
              <w:rPr>
                <w:rFonts w:ascii="Times New Roman" w:hAnsi="Times New Roman" w:cs="Times New Roman"/>
              </w:rPr>
              <w:t xml:space="preserve"> </w:t>
            </w:r>
            <w:r w:rsidRPr="00265687">
              <w:rPr>
                <w:rFonts w:ascii="Times New Roman" w:hAnsi="Times New Roman" w:cs="Times New Roman"/>
                <w:i/>
                <w:iCs/>
                <w:noProof/>
              </w:rPr>
              <w:t>Judd et al., 2011; Myors et al., 2015; Nithianandan et al., 2016; Ormsby et al., 2018; Reed et al., 2014; Willey et al., 2018</w:t>
            </w:r>
          </w:p>
          <w:p w14:paraId="10F9B728"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Canada:</w:t>
            </w:r>
            <w:r w:rsidRPr="00265687">
              <w:rPr>
                <w:rFonts w:ascii="Times New Roman" w:hAnsi="Times New Roman" w:cs="Times New Roman"/>
              </w:rPr>
              <w:t xml:space="preserve"> </w:t>
            </w:r>
            <w:r w:rsidRPr="00265687">
              <w:rPr>
                <w:rFonts w:ascii="Times New Roman" w:hAnsi="Times New Roman" w:cs="Times New Roman"/>
                <w:i/>
                <w:iCs/>
                <w:noProof/>
              </w:rPr>
              <w:t>Chartier et al., 2015; Leger et al., 2015; Pugh et al., 2015</w:t>
            </w:r>
          </w:p>
          <w:p w14:paraId="56F4401D"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Ireland:</w:t>
            </w:r>
            <w:r w:rsidRPr="00265687">
              <w:rPr>
                <w:rFonts w:ascii="Times New Roman" w:hAnsi="Times New Roman" w:cs="Times New Roman"/>
              </w:rPr>
              <w:t xml:space="preserve"> </w:t>
            </w:r>
            <w:r w:rsidRPr="00265687">
              <w:rPr>
                <w:rFonts w:ascii="Times New Roman" w:hAnsi="Times New Roman" w:cs="Times New Roman"/>
                <w:i/>
                <w:iCs/>
                <w:noProof/>
              </w:rPr>
              <w:t>Higgins et al., 2018; Noonan et al., 2018</w:t>
            </w:r>
          </w:p>
          <w:p w14:paraId="734C766B"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b/>
                <w:lang w:val="es-ES"/>
              </w:rPr>
              <w:t>Norway:</w:t>
            </w:r>
            <w:r w:rsidRPr="00265687">
              <w:rPr>
                <w:rFonts w:ascii="Times New Roman" w:hAnsi="Times New Roman" w:cs="Times New Roman"/>
                <w:lang w:val="es-ES"/>
              </w:rPr>
              <w:t xml:space="preserve"> </w:t>
            </w:r>
            <w:r w:rsidRPr="00265687">
              <w:rPr>
                <w:rFonts w:ascii="Times New Roman" w:hAnsi="Times New Roman" w:cs="Times New Roman"/>
                <w:i/>
                <w:lang w:val="es-ES"/>
              </w:rPr>
              <w:t>Drozd et al., 2018; Vik et al., 2009</w:t>
            </w:r>
          </w:p>
          <w:p w14:paraId="5767D790"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b/>
                <w:lang w:val="es-ES"/>
              </w:rPr>
              <w:t>USA:</w:t>
            </w:r>
            <w:r w:rsidRPr="00265687">
              <w:rPr>
                <w:rFonts w:ascii="Times New Roman" w:hAnsi="Times New Roman" w:cs="Times New Roman"/>
                <w:lang w:val="es-ES"/>
              </w:rPr>
              <w:t xml:space="preserve"> </w:t>
            </w:r>
            <w:r w:rsidRPr="00265687">
              <w:rPr>
                <w:rFonts w:ascii="Times New Roman" w:hAnsi="Times New Roman" w:cs="Times New Roman"/>
                <w:i/>
                <w:lang w:val="es-ES"/>
              </w:rPr>
              <w:t>Ammerman et al., 2014; Beeber et al., 2009; Boyd et al., 2011; Byatt et al., 2013; Cox et al., 2017; Doering et al., 2017; Feinberg et al., 2006; Fernandez y Garcia et al., 2011; Friedman et al., 2010; Ganann et al., 2019; Jallo et al., 2015; Kerker et al., 2018; Kim et al., 2009; Lind et al., 2017; Lomonaco-Haycraft et al., 2018; Pineros-Leano et al., 2015; Segre et al., 2014; Young et al., 2019</w:t>
            </w:r>
          </w:p>
        </w:tc>
        <w:tc>
          <w:tcPr>
            <w:tcW w:w="1873" w:type="dxa"/>
          </w:tcPr>
          <w:p w14:paraId="45C59058"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b/>
                <w:lang w:val="es-ES"/>
              </w:rPr>
              <w:t xml:space="preserve">Ghana: </w:t>
            </w:r>
            <w:r w:rsidRPr="00265687">
              <w:rPr>
                <w:rFonts w:ascii="Times New Roman" w:hAnsi="Times New Roman" w:cs="Times New Roman"/>
                <w:i/>
                <w:lang w:val="es-ES"/>
              </w:rPr>
              <w:t>Munodawafa et al., 2017</w:t>
            </w:r>
          </w:p>
          <w:p w14:paraId="473F626D"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b/>
                <w:lang w:val="es-ES"/>
              </w:rPr>
              <w:t>Israel:</w:t>
            </w:r>
            <w:r w:rsidRPr="00265687">
              <w:rPr>
                <w:rFonts w:ascii="Times New Roman" w:hAnsi="Times New Roman" w:cs="Times New Roman"/>
                <w:lang w:val="es-ES"/>
              </w:rPr>
              <w:t xml:space="preserve"> </w:t>
            </w:r>
            <w:r w:rsidRPr="00265687">
              <w:rPr>
                <w:rFonts w:ascii="Times New Roman" w:hAnsi="Times New Roman" w:cs="Times New Roman"/>
                <w:i/>
                <w:lang w:val="es-ES"/>
              </w:rPr>
              <w:t>Bina et al., 2018</w:t>
            </w:r>
          </w:p>
          <w:p w14:paraId="65AFBCFF"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Pakistan:</w:t>
            </w:r>
            <w:r w:rsidRPr="00265687">
              <w:rPr>
                <w:rFonts w:ascii="Times New Roman" w:hAnsi="Times New Roman" w:cs="Times New Roman"/>
              </w:rPr>
              <w:t xml:space="preserve"> </w:t>
            </w:r>
            <w:r w:rsidRPr="00265687">
              <w:rPr>
                <w:rFonts w:ascii="Times New Roman" w:hAnsi="Times New Roman" w:cs="Times New Roman"/>
                <w:i/>
                <w:iCs/>
                <w:noProof/>
              </w:rPr>
              <w:t>Atif et al., 2016, 2019</w:t>
            </w:r>
          </w:p>
          <w:p w14:paraId="21F274D4"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Peru:</w:t>
            </w:r>
            <w:r w:rsidRPr="00265687">
              <w:rPr>
                <w:rFonts w:ascii="Times New Roman" w:hAnsi="Times New Roman" w:cs="Times New Roman"/>
              </w:rPr>
              <w:t xml:space="preserve"> </w:t>
            </w:r>
            <w:r w:rsidRPr="00265687">
              <w:rPr>
                <w:rFonts w:ascii="Times New Roman" w:hAnsi="Times New Roman" w:cs="Times New Roman"/>
                <w:i/>
                <w:iCs/>
                <w:noProof/>
              </w:rPr>
              <w:t>Eappen et al., 2018</w:t>
            </w:r>
          </w:p>
          <w:p w14:paraId="6D78BBF5"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Singapore:</w:t>
            </w:r>
            <w:r w:rsidRPr="00265687">
              <w:rPr>
                <w:rFonts w:ascii="Times New Roman" w:hAnsi="Times New Roman" w:cs="Times New Roman"/>
              </w:rPr>
              <w:t xml:space="preserve"> </w:t>
            </w:r>
            <w:r w:rsidRPr="00265687">
              <w:rPr>
                <w:rFonts w:ascii="Times New Roman" w:hAnsi="Times New Roman" w:cs="Times New Roman"/>
                <w:i/>
                <w:iCs/>
                <w:noProof/>
              </w:rPr>
              <w:t>Shorey &amp; Ng, 2019</w:t>
            </w:r>
          </w:p>
          <w:p w14:paraId="4BCFA921"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 xml:space="preserve">South Africa: </w:t>
            </w:r>
            <w:r w:rsidRPr="00265687">
              <w:rPr>
                <w:rFonts w:ascii="Times New Roman" w:hAnsi="Times New Roman" w:cs="Times New Roman"/>
                <w:i/>
                <w:iCs/>
                <w:noProof/>
              </w:rPr>
              <w:t>McCauley et al., 2019</w:t>
            </w:r>
          </w:p>
          <w:p w14:paraId="78982C07"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b/>
                <w:bCs/>
              </w:rPr>
              <w:t>Uganda:</w:t>
            </w:r>
            <w:r w:rsidRPr="00265687">
              <w:rPr>
                <w:rFonts w:ascii="Times New Roman" w:hAnsi="Times New Roman" w:cs="Times New Roman"/>
              </w:rPr>
              <w:t xml:space="preserve"> </w:t>
            </w:r>
            <w:r w:rsidRPr="00265687">
              <w:rPr>
                <w:rFonts w:ascii="Times New Roman" w:hAnsi="Times New Roman" w:cs="Times New Roman"/>
                <w:i/>
                <w:iCs/>
                <w:noProof/>
              </w:rPr>
              <w:t>Nakku et al., 2016</w:t>
            </w:r>
          </w:p>
          <w:p w14:paraId="00DE0EF8" w14:textId="77777777" w:rsidR="009755DF" w:rsidRPr="00265687" w:rsidRDefault="009755DF" w:rsidP="00BE7DC4">
            <w:pPr>
              <w:spacing w:line="240" w:lineRule="auto"/>
              <w:ind w:firstLine="0"/>
              <w:rPr>
                <w:rFonts w:ascii="Times New Roman" w:hAnsi="Times New Roman" w:cs="Times New Roman"/>
              </w:rPr>
            </w:pPr>
          </w:p>
        </w:tc>
        <w:tc>
          <w:tcPr>
            <w:tcW w:w="911" w:type="dxa"/>
          </w:tcPr>
          <w:p w14:paraId="61F0EE79" w14:textId="77777777" w:rsidR="009755DF" w:rsidRPr="00265687" w:rsidRDefault="009755DF" w:rsidP="00BE7DC4">
            <w:pPr>
              <w:spacing w:line="240" w:lineRule="auto"/>
              <w:ind w:firstLine="0"/>
              <w:rPr>
                <w:rFonts w:ascii="Times New Roman" w:hAnsi="Times New Roman" w:cs="Times New Roman"/>
              </w:rPr>
            </w:pPr>
          </w:p>
        </w:tc>
      </w:tr>
      <w:tr w:rsidR="009F351D" w:rsidRPr="00265687" w14:paraId="37F8B135" w14:textId="77777777" w:rsidTr="00CC56AD">
        <w:tc>
          <w:tcPr>
            <w:tcW w:w="768" w:type="dxa"/>
          </w:tcPr>
          <w:p w14:paraId="69107F67"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rPr>
              <w:t>2</w:t>
            </w:r>
          </w:p>
        </w:tc>
        <w:tc>
          <w:tcPr>
            <w:tcW w:w="2204" w:type="dxa"/>
          </w:tcPr>
          <w:p w14:paraId="38F48C07"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Brealey et al., 2010</w:t>
            </w:r>
            <w:r w:rsidRPr="00265687">
              <w:rPr>
                <w:rFonts w:ascii="Times New Roman" w:hAnsi="Times New Roman" w:cs="Times New Roman"/>
              </w:rPr>
              <w:t xml:space="preserve"> – 53%</w:t>
            </w:r>
          </w:p>
          <w:p w14:paraId="18ACBAD1"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Button et al., 2017</w:t>
            </w:r>
            <w:r w:rsidRPr="00265687">
              <w:rPr>
                <w:rFonts w:ascii="Times New Roman" w:hAnsi="Times New Roman" w:cs="Times New Roman"/>
              </w:rPr>
              <w:t xml:space="preserve"> – 100%</w:t>
            </w:r>
          </w:p>
          <w:p w14:paraId="3587A856"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Forde et al., 2020</w:t>
            </w:r>
            <w:r w:rsidRPr="00265687">
              <w:rPr>
                <w:rFonts w:ascii="Times New Roman" w:hAnsi="Times New Roman" w:cs="Times New Roman"/>
              </w:rPr>
              <w:t xml:space="preserve"> – 66%</w:t>
            </w:r>
          </w:p>
          <w:p w14:paraId="3051BEDD"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Hadfield &amp; Wittkowski, 2017</w:t>
            </w:r>
            <w:r w:rsidRPr="00265687">
              <w:rPr>
                <w:rFonts w:ascii="Times New Roman" w:hAnsi="Times New Roman" w:cs="Times New Roman"/>
              </w:rPr>
              <w:t xml:space="preserve"> – 53%</w:t>
            </w:r>
          </w:p>
          <w:p w14:paraId="4B13F309"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Hewitt et al., 2009</w:t>
            </w:r>
            <w:r w:rsidRPr="00265687">
              <w:rPr>
                <w:rFonts w:ascii="Times New Roman" w:hAnsi="Times New Roman" w:cs="Times New Roman"/>
              </w:rPr>
              <w:t xml:space="preserve">– 53% </w:t>
            </w:r>
          </w:p>
          <w:p w14:paraId="575F7670"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Sambrook Smith et al., 2019</w:t>
            </w:r>
            <w:r w:rsidRPr="00265687">
              <w:rPr>
                <w:rFonts w:ascii="Times New Roman" w:hAnsi="Times New Roman" w:cs="Times New Roman"/>
              </w:rPr>
              <w:t>– 100%</w:t>
            </w:r>
          </w:p>
          <w:p w14:paraId="044F7C2F"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Slade et al., 2020</w:t>
            </w:r>
            <w:r w:rsidRPr="00265687">
              <w:rPr>
                <w:rFonts w:ascii="Times New Roman" w:hAnsi="Times New Roman" w:cs="Times New Roman"/>
              </w:rPr>
              <w:t>– 53%</w:t>
            </w:r>
          </w:p>
          <w:p w14:paraId="785BD436"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Viveiros &amp; Darling, 2018</w:t>
            </w:r>
            <w:r w:rsidRPr="00265687">
              <w:rPr>
                <w:rFonts w:ascii="Times New Roman" w:hAnsi="Times New Roman" w:cs="Times New Roman"/>
              </w:rPr>
              <w:t xml:space="preserve"> – 71%</w:t>
            </w:r>
          </w:p>
          <w:p w14:paraId="75E92435"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lastRenderedPageBreak/>
              <w:t>Watson et al., 2019</w:t>
            </w:r>
            <w:r w:rsidRPr="00265687">
              <w:rPr>
                <w:rFonts w:ascii="Times New Roman" w:hAnsi="Times New Roman" w:cs="Times New Roman"/>
              </w:rPr>
              <w:t xml:space="preserve"> – 100%</w:t>
            </w:r>
          </w:p>
          <w:p w14:paraId="0C1F0A8E" w14:textId="77777777" w:rsidR="009755DF" w:rsidRPr="00265687" w:rsidRDefault="009755DF" w:rsidP="00BE7DC4">
            <w:pPr>
              <w:spacing w:line="240" w:lineRule="auto"/>
              <w:ind w:firstLine="0"/>
              <w:rPr>
                <w:rFonts w:ascii="Times New Roman" w:hAnsi="Times New Roman" w:cs="Times New Roman"/>
              </w:rPr>
            </w:pPr>
          </w:p>
        </w:tc>
        <w:tc>
          <w:tcPr>
            <w:tcW w:w="3260" w:type="dxa"/>
          </w:tcPr>
          <w:p w14:paraId="1DE4A275"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lastRenderedPageBreak/>
              <w:t>Bina, 2020 – 83%</w:t>
            </w:r>
          </w:p>
          <w:p w14:paraId="6739372C"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 xml:space="preserve">Evans et al., 2020 – 100% </w:t>
            </w:r>
          </w:p>
          <w:p w14:paraId="19067691"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Giscombe et al., 2020– 88%</w:t>
            </w:r>
          </w:p>
          <w:p w14:paraId="27FF5B83"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Hansotte et al., 2017 – 100%</w:t>
            </w:r>
          </w:p>
          <w:p w14:paraId="0A668B55"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Holopainen &amp; Hakulinen, 2019 – 77%</w:t>
            </w:r>
          </w:p>
          <w:p w14:paraId="1AFBEE15"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Jones et al., 2014 – 100%</w:t>
            </w:r>
          </w:p>
          <w:p w14:paraId="4DE969EE"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Kassam, 2019– 88%</w:t>
            </w:r>
          </w:p>
          <w:p w14:paraId="0E91A22F"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Lucas et al., 2019 – 100%</w:t>
            </w:r>
          </w:p>
          <w:p w14:paraId="0407ACEF"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 xml:space="preserve">Mollard et al., 2016 – 100% </w:t>
            </w:r>
          </w:p>
          <w:p w14:paraId="358207B8"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Morrell et al., 2016– 92%</w:t>
            </w:r>
          </w:p>
          <w:p w14:paraId="586EEED7"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Newman et al., 2019– 100%</w:t>
            </w:r>
          </w:p>
          <w:p w14:paraId="32CD9582"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Nilaweera et al., 2014 – 100%</w:t>
            </w:r>
          </w:p>
          <w:p w14:paraId="13ED692E"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Praetorius et al., 2020</w:t>
            </w:r>
            <w:r w:rsidRPr="00265687">
              <w:rPr>
                <w:rFonts w:ascii="Times New Roman" w:hAnsi="Times New Roman" w:cs="Times New Roman"/>
              </w:rPr>
              <w:t>– 75%</w:t>
            </w:r>
          </w:p>
          <w:p w14:paraId="15E8D218"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Randall &amp; Briscoe, 2018</w:t>
            </w:r>
            <w:r w:rsidRPr="00265687">
              <w:rPr>
                <w:rFonts w:ascii="Times New Roman" w:hAnsi="Times New Roman" w:cs="Times New Roman"/>
              </w:rPr>
              <w:t>– 100%</w:t>
            </w:r>
          </w:p>
          <w:p w14:paraId="1FD0A808"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Schmied et al., 2017 – 100%</w:t>
            </w:r>
          </w:p>
          <w:p w14:paraId="22CAEF0F"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lastRenderedPageBreak/>
              <w:t>Scope et al., 2017 – 95%</w:t>
            </w:r>
          </w:p>
          <w:p w14:paraId="5E41D61C"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Sorsa et al., 2021 – 100%</w:t>
            </w:r>
          </w:p>
          <w:p w14:paraId="1EBFCAD6"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Staneva et al., 2015– 88%</w:t>
            </w:r>
          </w:p>
          <w:p w14:paraId="3ED54557"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t>Tobin et al., 2018– 100%</w:t>
            </w:r>
          </w:p>
        </w:tc>
        <w:tc>
          <w:tcPr>
            <w:tcW w:w="1873" w:type="dxa"/>
          </w:tcPr>
          <w:p w14:paraId="16D1ED08" w14:textId="77777777" w:rsidR="009755DF" w:rsidRPr="00265687" w:rsidRDefault="009755DF" w:rsidP="00BE7DC4">
            <w:pPr>
              <w:spacing w:line="240" w:lineRule="auto"/>
              <w:ind w:firstLine="0"/>
              <w:rPr>
                <w:rFonts w:ascii="Times New Roman" w:hAnsi="Times New Roman" w:cs="Times New Roman"/>
                <w:lang w:val="es-ES"/>
              </w:rPr>
            </w:pPr>
            <w:r w:rsidRPr="00265687">
              <w:rPr>
                <w:rFonts w:ascii="Times New Roman" w:hAnsi="Times New Roman" w:cs="Times New Roman"/>
                <w:lang w:val="es-ES"/>
              </w:rPr>
              <w:lastRenderedPageBreak/>
              <w:t>Wittkowski et al., 2014 – 100% (sub-Saharan Africa)</w:t>
            </w:r>
          </w:p>
        </w:tc>
        <w:tc>
          <w:tcPr>
            <w:tcW w:w="911" w:type="dxa"/>
          </w:tcPr>
          <w:p w14:paraId="0E7EF7E4" w14:textId="77777777" w:rsidR="009755DF" w:rsidRPr="00265687" w:rsidRDefault="009755DF" w:rsidP="00BE7DC4">
            <w:pPr>
              <w:spacing w:line="240" w:lineRule="auto"/>
              <w:ind w:firstLine="0"/>
              <w:rPr>
                <w:rFonts w:ascii="Times New Roman" w:hAnsi="Times New Roman" w:cs="Times New Roman"/>
              </w:rPr>
            </w:pPr>
            <w:r w:rsidRPr="00265687">
              <w:rPr>
                <w:rFonts w:ascii="Times New Roman" w:hAnsi="Times New Roman" w:cs="Times New Roman"/>
                <w:noProof/>
              </w:rPr>
              <w:t>Dennis &amp; Chung-Lee, 2006; A. Jones, 2019; Megnin-Viggars et al., 2015</w:t>
            </w:r>
          </w:p>
        </w:tc>
      </w:tr>
      <w:bookmarkEnd w:id="11"/>
    </w:tbl>
    <w:p w14:paraId="6B5E814F" w14:textId="77777777" w:rsidR="00554D17" w:rsidRDefault="00554D17" w:rsidP="00BE7DC4">
      <w:pPr>
        <w:spacing w:line="240" w:lineRule="auto"/>
        <w:ind w:firstLine="0"/>
        <w:rPr>
          <w:rFonts w:ascii="Times New Roman" w:hAnsi="Times New Roman" w:cs="Times New Roman"/>
        </w:rPr>
        <w:sectPr w:rsidR="00554D17" w:rsidSect="00554D17">
          <w:pgSz w:w="11906" w:h="16838"/>
          <w:pgMar w:top="1440" w:right="1440" w:bottom="1440" w:left="1440" w:header="708" w:footer="708" w:gutter="0"/>
          <w:cols w:space="708"/>
          <w:docGrid w:linePitch="360"/>
        </w:sectPr>
      </w:pPr>
    </w:p>
    <w:p w14:paraId="0D1E3740" w14:textId="1ABB5275" w:rsidR="00FE2BFE" w:rsidRPr="00265687" w:rsidRDefault="00367A93" w:rsidP="00AA1602">
      <w:pPr>
        <w:pStyle w:val="Heading1"/>
        <w:rPr>
          <w:rFonts w:ascii="Times New Roman" w:hAnsi="Times New Roman" w:cs="Times New Roman"/>
          <w:color w:val="auto"/>
          <w:sz w:val="24"/>
          <w:szCs w:val="24"/>
        </w:rPr>
      </w:pPr>
      <w:bookmarkStart w:id="12" w:name="_Toc108781727"/>
      <w:r>
        <w:rPr>
          <w:rFonts w:ascii="Times New Roman" w:hAnsi="Times New Roman" w:cs="Times New Roman"/>
          <w:i/>
          <w:iCs/>
          <w:color w:val="auto"/>
          <w:sz w:val="24"/>
          <w:szCs w:val="24"/>
        </w:rPr>
        <w:lastRenderedPageBreak/>
        <w:t>Supplementary Materials</w:t>
      </w:r>
      <w:r w:rsidR="002A7A48" w:rsidRPr="00265687">
        <w:rPr>
          <w:rFonts w:ascii="Times New Roman" w:hAnsi="Times New Roman" w:cs="Times New Roman"/>
          <w:i/>
          <w:iCs/>
          <w:color w:val="auto"/>
          <w:sz w:val="24"/>
          <w:szCs w:val="24"/>
        </w:rPr>
        <w:t xml:space="preserve"> </w:t>
      </w:r>
      <w:r w:rsidR="00554D17">
        <w:rPr>
          <w:rFonts w:ascii="Times New Roman" w:hAnsi="Times New Roman" w:cs="Times New Roman"/>
          <w:i/>
          <w:iCs/>
          <w:color w:val="auto"/>
          <w:sz w:val="24"/>
          <w:szCs w:val="24"/>
        </w:rPr>
        <w:t>8</w:t>
      </w:r>
      <w:r w:rsidR="00AA1602" w:rsidRPr="00265687">
        <w:rPr>
          <w:rFonts w:ascii="Times New Roman" w:hAnsi="Times New Roman" w:cs="Times New Roman"/>
          <w:i/>
          <w:iCs/>
          <w:color w:val="auto"/>
          <w:sz w:val="24"/>
          <w:szCs w:val="24"/>
        </w:rPr>
        <w:t>.</w:t>
      </w:r>
      <w:r w:rsidR="002A7A48" w:rsidRPr="00265687">
        <w:rPr>
          <w:rFonts w:ascii="Times New Roman" w:hAnsi="Times New Roman" w:cs="Times New Roman"/>
          <w:color w:val="auto"/>
          <w:sz w:val="24"/>
          <w:szCs w:val="24"/>
        </w:rPr>
        <w:t xml:space="preserve"> </w:t>
      </w:r>
      <w:r w:rsidR="008836AA" w:rsidRPr="00265687">
        <w:rPr>
          <w:rFonts w:ascii="Times New Roman" w:hAnsi="Times New Roman" w:cs="Times New Roman"/>
          <w:color w:val="auto"/>
          <w:sz w:val="24"/>
          <w:szCs w:val="24"/>
        </w:rPr>
        <w:t xml:space="preserve">GRADE-CERQual </w:t>
      </w:r>
      <w:r w:rsidR="00FE2BFE" w:rsidRPr="00265687">
        <w:rPr>
          <w:rFonts w:ascii="Times New Roman" w:hAnsi="Times New Roman" w:cs="Times New Roman"/>
          <w:color w:val="auto"/>
          <w:sz w:val="24"/>
          <w:szCs w:val="24"/>
        </w:rPr>
        <w:t>Relevance</w:t>
      </w:r>
      <w:r w:rsidR="008836AA" w:rsidRPr="00265687">
        <w:rPr>
          <w:rFonts w:ascii="Times New Roman" w:hAnsi="Times New Roman" w:cs="Times New Roman"/>
          <w:color w:val="auto"/>
          <w:sz w:val="24"/>
          <w:szCs w:val="24"/>
        </w:rPr>
        <w:t xml:space="preserve"> rating</w:t>
      </w:r>
      <w:r w:rsidR="00FE2BFE" w:rsidRPr="00265687">
        <w:rPr>
          <w:rFonts w:ascii="Times New Roman" w:hAnsi="Times New Roman" w:cs="Times New Roman"/>
          <w:color w:val="auto"/>
          <w:sz w:val="24"/>
          <w:szCs w:val="24"/>
        </w:rPr>
        <w:t xml:space="preserve"> table</w:t>
      </w:r>
      <w:bookmarkEnd w:id="12"/>
    </w:p>
    <w:tbl>
      <w:tblPr>
        <w:tblStyle w:val="TableGridLight"/>
        <w:tblW w:w="5000" w:type="pct"/>
        <w:tblLook w:val="04A0" w:firstRow="1" w:lastRow="0" w:firstColumn="1" w:lastColumn="0" w:noHBand="0" w:noVBand="1"/>
      </w:tblPr>
      <w:tblGrid>
        <w:gridCol w:w="2081"/>
        <w:gridCol w:w="1939"/>
        <w:gridCol w:w="1925"/>
        <w:gridCol w:w="1618"/>
        <w:gridCol w:w="1693"/>
        <w:gridCol w:w="1693"/>
        <w:gridCol w:w="1568"/>
        <w:gridCol w:w="1431"/>
      </w:tblGrid>
      <w:tr w:rsidR="007934B1" w:rsidRPr="007934B1" w14:paraId="3341DD50" w14:textId="77777777" w:rsidTr="007934B1">
        <w:tc>
          <w:tcPr>
            <w:tcW w:w="746" w:type="pct"/>
            <w:vMerge w:val="restart"/>
            <w:shd w:val="clear" w:color="auto" w:fill="A5A5A5" w:themeFill="accent3"/>
          </w:tcPr>
          <w:p w14:paraId="029493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bookmarkStart w:id="13" w:name="_Hlk83732616"/>
            <w:r w:rsidRPr="007934B1">
              <w:rPr>
                <w:rFonts w:ascii="Times New Roman" w:hAnsi="Times New Roman" w:cs="Times New Roman"/>
                <w:sz w:val="16"/>
                <w:szCs w:val="16"/>
              </w:rPr>
              <w:t>Theme</w:t>
            </w:r>
          </w:p>
        </w:tc>
        <w:tc>
          <w:tcPr>
            <w:tcW w:w="695" w:type="pct"/>
            <w:vMerge w:val="restart"/>
            <w:shd w:val="clear" w:color="auto" w:fill="A5A5A5" w:themeFill="accent3"/>
          </w:tcPr>
          <w:p w14:paraId="18F18B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Summary of review finding</w:t>
            </w:r>
          </w:p>
        </w:tc>
        <w:tc>
          <w:tcPr>
            <w:tcW w:w="690" w:type="pct"/>
            <w:vMerge w:val="restart"/>
            <w:shd w:val="clear" w:color="auto" w:fill="A5A5A5" w:themeFill="accent3"/>
          </w:tcPr>
          <w:p w14:paraId="058322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Studies contributing to finding</w:t>
            </w:r>
          </w:p>
        </w:tc>
        <w:tc>
          <w:tcPr>
            <w:tcW w:w="2356" w:type="pct"/>
            <w:gridSpan w:val="4"/>
            <w:shd w:val="clear" w:color="auto" w:fill="A5A5A5" w:themeFill="accent3"/>
          </w:tcPr>
          <w:p w14:paraId="12CE57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Assessment of relevance based on country of study</w:t>
            </w:r>
          </w:p>
        </w:tc>
        <w:tc>
          <w:tcPr>
            <w:tcW w:w="513" w:type="pct"/>
            <w:vMerge w:val="restart"/>
            <w:shd w:val="clear" w:color="auto" w:fill="A5A5A5" w:themeFill="accent3"/>
          </w:tcPr>
          <w:p w14:paraId="110621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Overall rating</w:t>
            </w:r>
          </w:p>
        </w:tc>
      </w:tr>
      <w:tr w:rsidR="007934B1" w:rsidRPr="007934B1" w14:paraId="4C15769A" w14:textId="77777777" w:rsidTr="007934B1">
        <w:tc>
          <w:tcPr>
            <w:tcW w:w="746" w:type="pct"/>
            <w:vMerge/>
            <w:shd w:val="clear" w:color="auto" w:fill="A5A5A5" w:themeFill="accent3"/>
          </w:tcPr>
          <w:p w14:paraId="00D41D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shd w:val="clear" w:color="auto" w:fill="A5A5A5" w:themeFill="accent3"/>
          </w:tcPr>
          <w:p w14:paraId="648276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shd w:val="clear" w:color="auto" w:fill="A5A5A5" w:themeFill="accent3"/>
          </w:tcPr>
          <w:p w14:paraId="7C07BB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5A5A5" w:themeFill="accent3"/>
          </w:tcPr>
          <w:p w14:paraId="4FB1F8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relevanceUK </w:t>
            </w:r>
          </w:p>
        </w:tc>
        <w:tc>
          <w:tcPr>
            <w:tcW w:w="607" w:type="pct"/>
            <w:shd w:val="clear" w:color="auto" w:fill="A5A5A5" w:themeFill="accent3"/>
          </w:tcPr>
          <w:p w14:paraId="7996DA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2B4973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relevanceLMIC Eastern</w:t>
            </w:r>
          </w:p>
        </w:tc>
        <w:tc>
          <w:tcPr>
            <w:tcW w:w="561" w:type="pct"/>
            <w:shd w:val="clear" w:color="auto" w:fill="A5A5A5" w:themeFill="accent3"/>
          </w:tcPr>
          <w:p w14:paraId="3BECAA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shd w:val="clear" w:color="auto" w:fill="A5A5A5" w:themeFill="accent3"/>
          </w:tcPr>
          <w:p w14:paraId="014B98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2D156C7" w14:textId="77777777" w:rsidTr="007934B1">
        <w:tc>
          <w:tcPr>
            <w:tcW w:w="746" w:type="pct"/>
            <w:vMerge w:val="restart"/>
          </w:tcPr>
          <w:p w14:paraId="6E73D5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Additional personal difficulties</w:t>
            </w:r>
          </w:p>
        </w:tc>
        <w:tc>
          <w:tcPr>
            <w:tcW w:w="695" w:type="pct"/>
            <w:vMerge w:val="restart"/>
          </w:tcPr>
          <w:p w14:paraId="6CC50A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Difficulties that women may have that are not related to perinatal mental illness, such as poverty can prevent successful service implementation</w:t>
            </w:r>
          </w:p>
        </w:tc>
        <w:tc>
          <w:tcPr>
            <w:tcW w:w="690" w:type="pct"/>
            <w:vMerge w:val="restart"/>
          </w:tcPr>
          <w:p w14:paraId="5E43733C" w14:textId="77777777" w:rsidR="000B75EB" w:rsidRPr="007934B1" w:rsidRDefault="000B75EB" w:rsidP="007934B1">
            <w:pPr>
              <w:pStyle w:val="ListParagraph"/>
              <w:spacing w:after="0" w:line="240" w:lineRule="auto"/>
              <w:ind w:left="0"/>
              <w:jc w:val="both"/>
              <w:rPr>
                <w:rFonts w:ascii="Times New Roman" w:hAnsi="Times New Roman" w:cs="Times New Roman"/>
                <w:sz w:val="16"/>
                <w:szCs w:val="16"/>
              </w:rPr>
            </w:pPr>
            <w:r w:rsidRPr="007934B1">
              <w:rPr>
                <w:rFonts w:ascii="Times New Roman" w:hAnsi="Times New Roman" w:cs="Times New Roman"/>
                <w:sz w:val="16"/>
                <w:szCs w:val="16"/>
              </w:rPr>
              <w:t>Ganann 2019 Rowan 2010 Kerker 2018 Munodawafa 2017 Williams 2016 Atif 2016 Atif 2020 Boyd 2011 Cox 2017 Nakku 2016</w:t>
            </w:r>
          </w:p>
        </w:tc>
        <w:tc>
          <w:tcPr>
            <w:tcW w:w="580" w:type="pct"/>
            <w:shd w:val="clear" w:color="auto" w:fill="auto"/>
          </w:tcPr>
          <w:p w14:paraId="5CA8B1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Rowan Williams </w:t>
            </w:r>
          </w:p>
        </w:tc>
        <w:tc>
          <w:tcPr>
            <w:tcW w:w="607" w:type="pct"/>
            <w:shd w:val="clear" w:color="auto" w:fill="auto"/>
          </w:tcPr>
          <w:p w14:paraId="4EA384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Ganann Kerker Boyd Cox</w:t>
            </w:r>
          </w:p>
        </w:tc>
        <w:tc>
          <w:tcPr>
            <w:tcW w:w="607" w:type="pct"/>
            <w:shd w:val="clear" w:color="auto" w:fill="auto"/>
          </w:tcPr>
          <w:p w14:paraId="722B06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Munodawafa Atif Atif 20 Nakku</w:t>
            </w:r>
          </w:p>
        </w:tc>
        <w:tc>
          <w:tcPr>
            <w:tcW w:w="561" w:type="pct"/>
            <w:shd w:val="clear" w:color="auto" w:fill="auto"/>
          </w:tcPr>
          <w:p w14:paraId="77AE5F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val="restart"/>
          </w:tcPr>
          <w:p w14:paraId="77820A4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7D4E8E41" w14:textId="77777777" w:rsidTr="007934B1">
        <w:tc>
          <w:tcPr>
            <w:tcW w:w="746" w:type="pct"/>
            <w:vMerge/>
          </w:tcPr>
          <w:p w14:paraId="43FAFC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EB24C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92C68E4" w14:textId="77777777" w:rsidR="000B75EB" w:rsidRPr="007934B1" w:rsidRDefault="000B75EB" w:rsidP="007934B1">
            <w:pPr>
              <w:spacing w:line="240" w:lineRule="auto"/>
              <w:ind w:firstLine="0"/>
              <w:jc w:val="both"/>
              <w:rPr>
                <w:rFonts w:ascii="Times New Roman" w:hAnsi="Times New Roman" w:cs="Times New Roman"/>
                <w:sz w:val="16"/>
                <w:szCs w:val="16"/>
              </w:rPr>
            </w:pPr>
          </w:p>
        </w:tc>
        <w:tc>
          <w:tcPr>
            <w:tcW w:w="580" w:type="pct"/>
            <w:shd w:val="clear" w:color="auto" w:fill="A5A5A5" w:themeFill="accent3"/>
          </w:tcPr>
          <w:p w14:paraId="67C0CF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6AEE68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72B73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w:t>
            </w:r>
          </w:p>
        </w:tc>
        <w:tc>
          <w:tcPr>
            <w:tcW w:w="561" w:type="pct"/>
            <w:shd w:val="clear" w:color="auto" w:fill="A5A5A5" w:themeFill="accent3"/>
          </w:tcPr>
          <w:p w14:paraId="3900AB6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9BC712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FEF13B6" w14:textId="77777777" w:rsidTr="007934B1">
        <w:tc>
          <w:tcPr>
            <w:tcW w:w="746" w:type="pct"/>
            <w:vMerge/>
          </w:tcPr>
          <w:p w14:paraId="49B45B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72E1D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F1C177E" w14:textId="77777777" w:rsidR="000B75EB" w:rsidRPr="007934B1" w:rsidRDefault="000B75EB" w:rsidP="007934B1">
            <w:pPr>
              <w:spacing w:line="240" w:lineRule="auto"/>
              <w:ind w:firstLine="0"/>
              <w:jc w:val="both"/>
              <w:rPr>
                <w:rFonts w:ascii="Times New Roman" w:hAnsi="Times New Roman" w:cs="Times New Roman"/>
                <w:sz w:val="16"/>
                <w:szCs w:val="16"/>
              </w:rPr>
            </w:pPr>
          </w:p>
        </w:tc>
        <w:tc>
          <w:tcPr>
            <w:tcW w:w="580" w:type="pct"/>
            <w:shd w:val="clear" w:color="auto" w:fill="auto"/>
          </w:tcPr>
          <w:p w14:paraId="63BE0B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Williams</w:t>
            </w:r>
          </w:p>
        </w:tc>
        <w:tc>
          <w:tcPr>
            <w:tcW w:w="607" w:type="pct"/>
            <w:shd w:val="clear" w:color="auto" w:fill="auto"/>
          </w:tcPr>
          <w:p w14:paraId="0CDE291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Munodawafa </w:t>
            </w:r>
          </w:p>
        </w:tc>
        <w:tc>
          <w:tcPr>
            <w:tcW w:w="607" w:type="pct"/>
            <w:shd w:val="clear" w:color="auto" w:fill="auto"/>
          </w:tcPr>
          <w:p w14:paraId="41DA7A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5A0D7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Atif 16 Atif 20 Nakku Gannan Kerker Boyd Cox </w:t>
            </w:r>
          </w:p>
        </w:tc>
        <w:tc>
          <w:tcPr>
            <w:tcW w:w="513" w:type="pct"/>
            <w:vMerge/>
          </w:tcPr>
          <w:p w14:paraId="3686797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2BD1841" w14:textId="77777777" w:rsidTr="007934B1">
        <w:tc>
          <w:tcPr>
            <w:tcW w:w="746" w:type="pct"/>
            <w:vMerge w:val="restart"/>
          </w:tcPr>
          <w:p w14:paraId="71D4178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Family Family and friends</w:t>
            </w:r>
          </w:p>
        </w:tc>
        <w:tc>
          <w:tcPr>
            <w:tcW w:w="695" w:type="pct"/>
            <w:vMerge w:val="restart"/>
          </w:tcPr>
          <w:p w14:paraId="7096FA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Negative beliefs from women’s family and friends can prevent successful implementation, help-seeking and women’s access to services</w:t>
            </w:r>
          </w:p>
        </w:tc>
        <w:tc>
          <w:tcPr>
            <w:tcW w:w="690" w:type="pct"/>
            <w:vMerge w:val="restart"/>
          </w:tcPr>
          <w:p w14:paraId="6B054E25"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Atif 2016 Atif 2020 Boyd 2011 Doering 2017 Gannan 2019 Higgins 2018 Masood 2015 Nakku 2016 Nithianden Noonan o mahen Pineros Leano Williams Vik 2009 Young 2019 </w:t>
            </w:r>
            <w:r w:rsidRPr="007934B1">
              <w:rPr>
                <w:rFonts w:ascii="Times New Roman" w:hAnsi="Times New Roman" w:cs="Times New Roman"/>
                <w:noProof/>
                <w:color w:val="000000"/>
                <w:sz w:val="16"/>
                <w:szCs w:val="16"/>
              </w:rPr>
              <w:t>Bina, 2020; Button et al., 2017; Dennis &amp; Chung-Lee, 2006; Forde et al., 2020; Hadfield &amp; Wittkowski, 2017; Hansotte et al., 2017; Holopainen &amp; Hakulinen, 2019; Jones, 2019; Lucas et al., 2019; Nilaweera et al., 2014; Schmied et al., 2017; Smith et al., 2019; Sorsa et al., 2021; Viveiros &amp; Darling, 2018; Watson et al., 2019</w:t>
            </w:r>
          </w:p>
        </w:tc>
        <w:tc>
          <w:tcPr>
            <w:tcW w:w="580" w:type="pct"/>
            <w:shd w:val="clear" w:color="auto" w:fill="A5A5A5" w:themeFill="accent3"/>
          </w:tcPr>
          <w:p w14:paraId="4593E3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57DC6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525AE1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19539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4D60CF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3F9EAF77" w14:textId="77777777" w:rsidTr="007934B1">
        <w:trPr>
          <w:trHeight w:val="290"/>
        </w:trPr>
        <w:tc>
          <w:tcPr>
            <w:tcW w:w="746" w:type="pct"/>
            <w:vMerge/>
          </w:tcPr>
          <w:p w14:paraId="3B5867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984BD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463EFF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val="restart"/>
            <w:shd w:val="clear" w:color="auto" w:fill="auto"/>
          </w:tcPr>
          <w:p w14:paraId="08F9A9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Masood O’Mahen Williams Bina Button Forde Hadfield Smith Viveiros Watson </w:t>
            </w:r>
          </w:p>
        </w:tc>
        <w:tc>
          <w:tcPr>
            <w:tcW w:w="607" w:type="pct"/>
            <w:vMerge w:val="restart"/>
            <w:shd w:val="clear" w:color="auto" w:fill="auto"/>
          </w:tcPr>
          <w:p w14:paraId="6CF20E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Doering Ganann Higgins Nithianden Noonan Pineros-Leano Vik Young Hansotte Holopainen Lucas Nilaweera Schmied Sorsa</w:t>
            </w:r>
          </w:p>
        </w:tc>
        <w:tc>
          <w:tcPr>
            <w:tcW w:w="607" w:type="pct"/>
            <w:vMerge w:val="restart"/>
            <w:shd w:val="clear" w:color="auto" w:fill="auto"/>
          </w:tcPr>
          <w:p w14:paraId="1D2255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Atif 16 Atif 20 Nakku </w:t>
            </w:r>
          </w:p>
        </w:tc>
        <w:tc>
          <w:tcPr>
            <w:tcW w:w="561" w:type="pct"/>
            <w:vMerge w:val="restart"/>
            <w:shd w:val="clear" w:color="auto" w:fill="auto"/>
          </w:tcPr>
          <w:p w14:paraId="49353C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Jones 19</w:t>
            </w:r>
          </w:p>
        </w:tc>
        <w:tc>
          <w:tcPr>
            <w:tcW w:w="513" w:type="pct"/>
            <w:vMerge/>
          </w:tcPr>
          <w:p w14:paraId="1A5165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411189D" w14:textId="77777777" w:rsidTr="007934B1">
        <w:trPr>
          <w:trHeight w:val="290"/>
        </w:trPr>
        <w:tc>
          <w:tcPr>
            <w:tcW w:w="746" w:type="pct"/>
            <w:vMerge/>
          </w:tcPr>
          <w:p w14:paraId="45BE38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D97EE1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896D67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shd w:val="clear" w:color="auto" w:fill="auto"/>
          </w:tcPr>
          <w:p w14:paraId="0DAE0D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693603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581E322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uto"/>
          </w:tcPr>
          <w:p w14:paraId="1977C9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36711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D35FC08" w14:textId="77777777" w:rsidTr="007934B1">
        <w:tc>
          <w:tcPr>
            <w:tcW w:w="746" w:type="pct"/>
            <w:vMerge/>
          </w:tcPr>
          <w:p w14:paraId="5EEA08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367B6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CCFC3EE"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599C4C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C4263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9EA14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241655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7D6242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AF85955" w14:textId="77777777" w:rsidTr="007934B1">
        <w:tc>
          <w:tcPr>
            <w:tcW w:w="746" w:type="pct"/>
            <w:vMerge/>
          </w:tcPr>
          <w:p w14:paraId="5B128F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20AB9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07F8BD6"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5824557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Masood O’Mahen Williams  Button Forde Hadfield Smith  Viveiros Watson  </w:t>
            </w:r>
          </w:p>
        </w:tc>
        <w:tc>
          <w:tcPr>
            <w:tcW w:w="607" w:type="pct"/>
            <w:shd w:val="clear" w:color="auto" w:fill="auto"/>
          </w:tcPr>
          <w:p w14:paraId="04EF0C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Higgins Nithianden Noonan Vik  Nilaweera Schmied Sorsa  </w:t>
            </w:r>
          </w:p>
        </w:tc>
        <w:tc>
          <w:tcPr>
            <w:tcW w:w="607" w:type="pct"/>
            <w:shd w:val="clear" w:color="auto" w:fill="auto"/>
          </w:tcPr>
          <w:p w14:paraId="61B697B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Bina Dennis Holopainen Jones 2019</w:t>
            </w:r>
          </w:p>
        </w:tc>
        <w:tc>
          <w:tcPr>
            <w:tcW w:w="561" w:type="pct"/>
            <w:shd w:val="clear" w:color="auto" w:fill="auto"/>
          </w:tcPr>
          <w:p w14:paraId="34E65F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Atif Boyd Doering Gannan Nakku Pineros-leano Young  Hansotte Lucas</w:t>
            </w:r>
          </w:p>
        </w:tc>
        <w:tc>
          <w:tcPr>
            <w:tcW w:w="513" w:type="pct"/>
            <w:vMerge/>
          </w:tcPr>
          <w:p w14:paraId="04E4074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483F7CC" w14:textId="77777777" w:rsidTr="007934B1">
        <w:tc>
          <w:tcPr>
            <w:tcW w:w="746" w:type="pct"/>
            <w:vMerge w:val="restart"/>
          </w:tcPr>
          <w:p w14:paraId="6487D5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Social isolation</w:t>
            </w:r>
          </w:p>
        </w:tc>
        <w:tc>
          <w:tcPr>
            <w:tcW w:w="695" w:type="pct"/>
            <w:vMerge w:val="restart"/>
          </w:tcPr>
          <w:p w14:paraId="4A0C6A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Social isolation can exacerbate women’s symptoms, but can also be exacerbated by social isolation. This can affect help seeking and women’s experiences of care</w:t>
            </w:r>
          </w:p>
        </w:tc>
        <w:tc>
          <w:tcPr>
            <w:tcW w:w="690" w:type="pct"/>
            <w:vMerge w:val="restart"/>
          </w:tcPr>
          <w:p w14:paraId="5957612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Kassam Bina Jones 14 Jones 19 Viveiros Giscombe Watson Tobin </w:t>
            </w:r>
          </w:p>
        </w:tc>
        <w:tc>
          <w:tcPr>
            <w:tcW w:w="580" w:type="pct"/>
            <w:shd w:val="clear" w:color="auto" w:fill="A5A5A5" w:themeFill="accent3"/>
          </w:tcPr>
          <w:p w14:paraId="0836995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1A6653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785E6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6E55E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875A69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w:t>
            </w:r>
            <w:r w:rsidRPr="007934B1">
              <w:rPr>
                <w:rFonts w:ascii="Times New Roman" w:hAnsi="Times New Roman" w:cs="Times New Roman"/>
                <w:sz w:val="16"/>
                <w:szCs w:val="16"/>
              </w:rPr>
              <w:lastRenderedPageBreak/>
              <w:t>directly related to women</w:t>
            </w:r>
          </w:p>
        </w:tc>
      </w:tr>
      <w:tr w:rsidR="007934B1" w:rsidRPr="007934B1" w14:paraId="35C73D45" w14:textId="77777777" w:rsidTr="007934B1">
        <w:tc>
          <w:tcPr>
            <w:tcW w:w="746" w:type="pct"/>
            <w:vMerge/>
          </w:tcPr>
          <w:p w14:paraId="55C60EE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A3653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12CC1C5"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2D1245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Viveiros Watson</w:t>
            </w:r>
          </w:p>
        </w:tc>
        <w:tc>
          <w:tcPr>
            <w:tcW w:w="607" w:type="pct"/>
            <w:shd w:val="clear" w:color="auto" w:fill="auto"/>
          </w:tcPr>
          <w:p w14:paraId="30F7D2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Kassam Bina Jones 14 Giscombe Tobin </w:t>
            </w:r>
          </w:p>
        </w:tc>
        <w:tc>
          <w:tcPr>
            <w:tcW w:w="607" w:type="pct"/>
            <w:shd w:val="clear" w:color="auto" w:fill="auto"/>
          </w:tcPr>
          <w:p w14:paraId="2E589E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8C590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19</w:t>
            </w:r>
          </w:p>
        </w:tc>
        <w:tc>
          <w:tcPr>
            <w:tcW w:w="513" w:type="pct"/>
            <w:vMerge/>
          </w:tcPr>
          <w:p w14:paraId="6E4706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C14DF29" w14:textId="77777777" w:rsidTr="007934B1">
        <w:tc>
          <w:tcPr>
            <w:tcW w:w="746" w:type="pct"/>
            <w:vMerge/>
          </w:tcPr>
          <w:p w14:paraId="37865F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919E0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0CA834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641B4D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6735AA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26879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4D025C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E9A2F4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0A91BCF" w14:textId="77777777" w:rsidTr="007934B1">
        <w:tc>
          <w:tcPr>
            <w:tcW w:w="746" w:type="pct"/>
            <w:vMerge/>
          </w:tcPr>
          <w:p w14:paraId="37C1E1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3E4135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FC75D27"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E4D8B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Viveiros Watson</w:t>
            </w:r>
          </w:p>
        </w:tc>
        <w:tc>
          <w:tcPr>
            <w:tcW w:w="607" w:type="pct"/>
            <w:shd w:val="clear" w:color="auto" w:fill="auto"/>
          </w:tcPr>
          <w:p w14:paraId="1FFB904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Kassam Jones 14 Giscombe  Tobin </w:t>
            </w:r>
          </w:p>
        </w:tc>
        <w:tc>
          <w:tcPr>
            <w:tcW w:w="607" w:type="pct"/>
            <w:shd w:val="clear" w:color="auto" w:fill="auto"/>
          </w:tcPr>
          <w:p w14:paraId="10DBAC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Jones 19</w:t>
            </w:r>
          </w:p>
        </w:tc>
        <w:tc>
          <w:tcPr>
            <w:tcW w:w="561" w:type="pct"/>
            <w:shd w:val="clear" w:color="auto" w:fill="auto"/>
          </w:tcPr>
          <w:p w14:paraId="5682B04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EB0D35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6565EA2" w14:textId="77777777" w:rsidTr="007934B1">
        <w:tc>
          <w:tcPr>
            <w:tcW w:w="746" w:type="pct"/>
            <w:vMerge w:val="restart"/>
          </w:tcPr>
          <w:p w14:paraId="429C8E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Beliefs about the causes of mental illness</w:t>
            </w:r>
          </w:p>
        </w:tc>
        <w:tc>
          <w:tcPr>
            <w:tcW w:w="695" w:type="pct"/>
            <w:vMerge w:val="restart"/>
          </w:tcPr>
          <w:p w14:paraId="0B0ABE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When women believe their symptoms are caused by a biological predisposition, or that their symptoms are caused by spiritual, physical or external factors, or are a normal response to motherhood this hinders implementation and prevents women help seeking and accessing services. </w:t>
            </w:r>
          </w:p>
        </w:tc>
        <w:tc>
          <w:tcPr>
            <w:tcW w:w="690" w:type="pct"/>
            <w:vMerge w:val="restart"/>
          </w:tcPr>
          <w:p w14:paraId="362D3316"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r w:rsidRPr="007934B1">
              <w:rPr>
                <w:rFonts w:ascii="Times New Roman" w:hAnsi="Times New Roman" w:cs="Times New Roman"/>
                <w:sz w:val="16"/>
                <w:szCs w:val="16"/>
              </w:rPr>
              <w:t>O'Mahen 2015 Feinberg 2006</w:t>
            </w:r>
          </w:p>
        </w:tc>
        <w:tc>
          <w:tcPr>
            <w:tcW w:w="580" w:type="pct"/>
            <w:shd w:val="clear" w:color="auto" w:fill="A5A5A5" w:themeFill="accent3"/>
          </w:tcPr>
          <w:p w14:paraId="7F0D9B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81FB6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3A59C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35EC5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5CF8CB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direct and partially relevant</w:t>
            </w:r>
          </w:p>
        </w:tc>
      </w:tr>
      <w:tr w:rsidR="007934B1" w:rsidRPr="007934B1" w14:paraId="05BDC16D" w14:textId="77777777" w:rsidTr="007934B1">
        <w:tc>
          <w:tcPr>
            <w:tcW w:w="746" w:type="pct"/>
            <w:vMerge/>
          </w:tcPr>
          <w:p w14:paraId="1A796D5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F6503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13A2A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4F7A8D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w:t>
            </w:r>
          </w:p>
        </w:tc>
        <w:tc>
          <w:tcPr>
            <w:tcW w:w="607" w:type="pct"/>
            <w:shd w:val="clear" w:color="auto" w:fill="auto"/>
          </w:tcPr>
          <w:p w14:paraId="2B9A56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Feinberg</w:t>
            </w:r>
          </w:p>
        </w:tc>
        <w:tc>
          <w:tcPr>
            <w:tcW w:w="607" w:type="pct"/>
            <w:shd w:val="clear" w:color="auto" w:fill="auto"/>
          </w:tcPr>
          <w:p w14:paraId="5AF93E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6E30F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FCC25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757E84C" w14:textId="77777777" w:rsidTr="007934B1">
        <w:tc>
          <w:tcPr>
            <w:tcW w:w="746" w:type="pct"/>
            <w:vMerge/>
          </w:tcPr>
          <w:p w14:paraId="5BB216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A1593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8C76F8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660EA7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B480C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612CC0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4A2B0F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7110AA0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82CA8A4" w14:textId="77777777" w:rsidTr="007934B1">
        <w:tc>
          <w:tcPr>
            <w:tcW w:w="746" w:type="pct"/>
            <w:vMerge/>
          </w:tcPr>
          <w:p w14:paraId="72777A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CB4F0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47D529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6D792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w:t>
            </w:r>
          </w:p>
        </w:tc>
        <w:tc>
          <w:tcPr>
            <w:tcW w:w="607" w:type="pct"/>
            <w:shd w:val="clear" w:color="auto" w:fill="auto"/>
          </w:tcPr>
          <w:p w14:paraId="171372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602247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E26D3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Feinberg</w:t>
            </w:r>
          </w:p>
        </w:tc>
        <w:tc>
          <w:tcPr>
            <w:tcW w:w="513" w:type="pct"/>
            <w:vMerge/>
          </w:tcPr>
          <w:p w14:paraId="5293B8F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47B6E58" w14:textId="77777777" w:rsidTr="007934B1">
        <w:tc>
          <w:tcPr>
            <w:tcW w:w="746" w:type="pct"/>
            <w:vMerge w:val="restart"/>
          </w:tcPr>
          <w:p w14:paraId="344E50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Spiritual</w:t>
            </w:r>
          </w:p>
        </w:tc>
        <w:tc>
          <w:tcPr>
            <w:tcW w:w="695" w:type="pct"/>
            <w:vMerge/>
          </w:tcPr>
          <w:p w14:paraId="3B66BB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6F40293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Schmied et al., 2017; Wittkowski et al., 2014</w:t>
            </w:r>
          </w:p>
        </w:tc>
        <w:tc>
          <w:tcPr>
            <w:tcW w:w="580" w:type="pct"/>
            <w:shd w:val="clear" w:color="auto" w:fill="A5A5A5" w:themeFill="accent3"/>
          </w:tcPr>
          <w:p w14:paraId="0B7A69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23E19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36E38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677CC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CFF2D5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 no direct relevance, different health services</w:t>
            </w:r>
          </w:p>
        </w:tc>
      </w:tr>
      <w:tr w:rsidR="007934B1" w:rsidRPr="007934B1" w14:paraId="6BC24612" w14:textId="77777777" w:rsidTr="007934B1">
        <w:tc>
          <w:tcPr>
            <w:tcW w:w="746" w:type="pct"/>
            <w:vMerge/>
          </w:tcPr>
          <w:p w14:paraId="6E451D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C7787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0938AC3"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73F21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4C0069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Schmied</w:t>
            </w:r>
          </w:p>
        </w:tc>
        <w:tc>
          <w:tcPr>
            <w:tcW w:w="607" w:type="pct"/>
            <w:shd w:val="clear" w:color="auto" w:fill="auto"/>
          </w:tcPr>
          <w:p w14:paraId="46DB23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Witkowski</w:t>
            </w:r>
          </w:p>
        </w:tc>
        <w:tc>
          <w:tcPr>
            <w:tcW w:w="561" w:type="pct"/>
            <w:shd w:val="clear" w:color="auto" w:fill="auto"/>
          </w:tcPr>
          <w:p w14:paraId="5FE1FF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7C1925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3A85061" w14:textId="77777777" w:rsidTr="007934B1">
        <w:tc>
          <w:tcPr>
            <w:tcW w:w="746" w:type="pct"/>
            <w:vMerge/>
          </w:tcPr>
          <w:p w14:paraId="170715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5BF7E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E75E0FC"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B44D99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B5B8E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274DE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6896C5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7B27DF2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F78342E" w14:textId="77777777" w:rsidTr="007934B1">
        <w:tc>
          <w:tcPr>
            <w:tcW w:w="746" w:type="pct"/>
            <w:vMerge/>
          </w:tcPr>
          <w:p w14:paraId="2B206D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605A24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12F945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95A0A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1E5C008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Schmied</w:t>
            </w:r>
          </w:p>
        </w:tc>
        <w:tc>
          <w:tcPr>
            <w:tcW w:w="607" w:type="pct"/>
            <w:shd w:val="clear" w:color="auto" w:fill="auto"/>
          </w:tcPr>
          <w:p w14:paraId="4A8C46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26678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Witkowski</w:t>
            </w:r>
          </w:p>
        </w:tc>
        <w:tc>
          <w:tcPr>
            <w:tcW w:w="513" w:type="pct"/>
            <w:vMerge/>
          </w:tcPr>
          <w:p w14:paraId="3036C03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3278889" w14:textId="77777777" w:rsidTr="007934B1">
        <w:tc>
          <w:tcPr>
            <w:tcW w:w="746" w:type="pct"/>
            <w:vMerge w:val="restart"/>
          </w:tcPr>
          <w:p w14:paraId="017696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External</w:t>
            </w:r>
          </w:p>
        </w:tc>
        <w:tc>
          <w:tcPr>
            <w:tcW w:w="695" w:type="pct"/>
            <w:vMerge/>
          </w:tcPr>
          <w:p w14:paraId="3D7521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51A0444B"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Button et al., 2017; Dennis &amp; Chung-Lee, 2006; Lucas et al., 2019; Schmied et al., 2017; Staneva et al., 2015; Tobin et al., 2018; Watson et al., 2019</w:t>
            </w:r>
          </w:p>
        </w:tc>
        <w:tc>
          <w:tcPr>
            <w:tcW w:w="580" w:type="pct"/>
            <w:shd w:val="clear" w:color="auto" w:fill="A5A5A5" w:themeFill="accent3"/>
          </w:tcPr>
          <w:p w14:paraId="0C68DA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DA5414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37C4EF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936CE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68A4FE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1282670C" w14:textId="77777777" w:rsidTr="007934B1">
        <w:tc>
          <w:tcPr>
            <w:tcW w:w="746" w:type="pct"/>
            <w:vMerge/>
          </w:tcPr>
          <w:p w14:paraId="7EADDE2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F2FD3E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8E15A6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1855E34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Watson</w:t>
            </w:r>
          </w:p>
        </w:tc>
        <w:tc>
          <w:tcPr>
            <w:tcW w:w="607" w:type="pct"/>
            <w:shd w:val="clear" w:color="auto" w:fill="auto"/>
          </w:tcPr>
          <w:p w14:paraId="31FD0E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Lucas Schmied Staneva Tobin</w:t>
            </w:r>
          </w:p>
        </w:tc>
        <w:tc>
          <w:tcPr>
            <w:tcW w:w="607" w:type="pct"/>
            <w:shd w:val="clear" w:color="auto" w:fill="auto"/>
          </w:tcPr>
          <w:p w14:paraId="541030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C2873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w:t>
            </w:r>
          </w:p>
        </w:tc>
        <w:tc>
          <w:tcPr>
            <w:tcW w:w="513" w:type="pct"/>
            <w:vMerge/>
          </w:tcPr>
          <w:p w14:paraId="06D0C7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50B9F0F" w14:textId="77777777" w:rsidTr="007934B1">
        <w:tc>
          <w:tcPr>
            <w:tcW w:w="746" w:type="pct"/>
            <w:vMerge/>
          </w:tcPr>
          <w:p w14:paraId="2FB800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0EF00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BF039A1"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5A5A5" w:themeFill="accent3"/>
          </w:tcPr>
          <w:p w14:paraId="39DF9B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267BC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0C8445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4DF383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201AB0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0623876" w14:textId="77777777" w:rsidTr="007934B1">
        <w:tc>
          <w:tcPr>
            <w:tcW w:w="746" w:type="pct"/>
            <w:vMerge/>
          </w:tcPr>
          <w:p w14:paraId="09E1E9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AB57E9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FC57663"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355B9B8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Watson</w:t>
            </w:r>
          </w:p>
        </w:tc>
        <w:tc>
          <w:tcPr>
            <w:tcW w:w="607" w:type="pct"/>
            <w:shd w:val="clear" w:color="auto" w:fill="auto"/>
          </w:tcPr>
          <w:p w14:paraId="1669F1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Schmied Staneva Tobin</w:t>
            </w:r>
          </w:p>
        </w:tc>
        <w:tc>
          <w:tcPr>
            <w:tcW w:w="607" w:type="pct"/>
            <w:shd w:val="clear" w:color="auto" w:fill="auto"/>
          </w:tcPr>
          <w:p w14:paraId="796FAB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4C1745B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Lucas</w:t>
            </w:r>
          </w:p>
        </w:tc>
        <w:tc>
          <w:tcPr>
            <w:tcW w:w="513" w:type="pct"/>
            <w:vMerge/>
          </w:tcPr>
          <w:p w14:paraId="33DAEA7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61D4857" w14:textId="77777777" w:rsidTr="007934B1">
        <w:tc>
          <w:tcPr>
            <w:tcW w:w="746" w:type="pct"/>
            <w:vMerge w:val="restart"/>
          </w:tcPr>
          <w:p w14:paraId="031D07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Physical</w:t>
            </w:r>
          </w:p>
        </w:tc>
        <w:tc>
          <w:tcPr>
            <w:tcW w:w="695" w:type="pct"/>
            <w:vMerge/>
          </w:tcPr>
          <w:p w14:paraId="0BB64E8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6BEEBF3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Button et al., 2017; Dennis &amp; Chung-Lee, 2006; Forde et al., 2020; Jones et al., 2014; Newman et al., 2019; Schmied et al., 2017; Smith et al., 2019; Staneva et al., 2015; Watson et al., 2019</w:t>
            </w:r>
          </w:p>
        </w:tc>
        <w:tc>
          <w:tcPr>
            <w:tcW w:w="580" w:type="pct"/>
            <w:shd w:val="clear" w:color="auto" w:fill="A5A5A5" w:themeFill="accent3"/>
          </w:tcPr>
          <w:p w14:paraId="412AD10E"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2A2CB3F"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A5BFC76"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5F12D23"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605D4B44" w14:textId="77777777" w:rsidR="000B75EB" w:rsidRPr="007934B1" w:rsidRDefault="000B75EB" w:rsidP="007934B1">
            <w:pPr>
              <w:pStyle w:val="ListParagraph"/>
              <w:spacing w:after="0" w:line="240" w:lineRule="auto"/>
              <w:ind w:left="0"/>
              <w:rPr>
                <w:rFonts w:ascii="Times New Roman" w:hAnsi="Times New Roman" w:cs="Times New Roman"/>
                <w:b/>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637A1653" w14:textId="77777777" w:rsidTr="007934B1">
        <w:tc>
          <w:tcPr>
            <w:tcW w:w="746" w:type="pct"/>
            <w:vMerge/>
          </w:tcPr>
          <w:p w14:paraId="5C6D2D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36D4BE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305FFC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833A40E"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bCs/>
                <w:sz w:val="16"/>
                <w:szCs w:val="16"/>
              </w:rPr>
              <w:t>Button Forde Smith Watson</w:t>
            </w:r>
          </w:p>
        </w:tc>
        <w:tc>
          <w:tcPr>
            <w:tcW w:w="607" w:type="pct"/>
            <w:shd w:val="clear" w:color="auto" w:fill="auto"/>
          </w:tcPr>
          <w:p w14:paraId="002990AB"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bCs/>
                <w:sz w:val="16"/>
                <w:szCs w:val="16"/>
              </w:rPr>
              <w:t>Bina Jones 14 Newman Schmied Staneva</w:t>
            </w:r>
          </w:p>
        </w:tc>
        <w:tc>
          <w:tcPr>
            <w:tcW w:w="607" w:type="pct"/>
            <w:shd w:val="clear" w:color="auto" w:fill="auto"/>
          </w:tcPr>
          <w:p w14:paraId="559FB2F5"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p>
        </w:tc>
        <w:tc>
          <w:tcPr>
            <w:tcW w:w="561" w:type="pct"/>
            <w:shd w:val="clear" w:color="auto" w:fill="auto"/>
          </w:tcPr>
          <w:p w14:paraId="6AA13BBE"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bCs/>
                <w:sz w:val="16"/>
                <w:szCs w:val="16"/>
              </w:rPr>
              <w:t>Dennis</w:t>
            </w:r>
          </w:p>
        </w:tc>
        <w:tc>
          <w:tcPr>
            <w:tcW w:w="513" w:type="pct"/>
            <w:vMerge/>
          </w:tcPr>
          <w:p w14:paraId="467DCEFA"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p>
        </w:tc>
      </w:tr>
      <w:tr w:rsidR="007934B1" w:rsidRPr="007934B1" w14:paraId="078E6D8F" w14:textId="77777777" w:rsidTr="007934B1">
        <w:tc>
          <w:tcPr>
            <w:tcW w:w="746" w:type="pct"/>
            <w:vMerge/>
          </w:tcPr>
          <w:p w14:paraId="5DB74F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C68806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012B8B3"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5944773A"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29EE1DC"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44B7D15"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2F0A3F09"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sz w:val="16"/>
                <w:szCs w:val="16"/>
              </w:rPr>
              <w:t>Non Universal insurance</w:t>
            </w:r>
          </w:p>
        </w:tc>
        <w:tc>
          <w:tcPr>
            <w:tcW w:w="513" w:type="pct"/>
            <w:vMerge/>
          </w:tcPr>
          <w:p w14:paraId="3720FCC9" w14:textId="77777777" w:rsidR="000B75EB" w:rsidRPr="007934B1" w:rsidRDefault="000B75EB" w:rsidP="007934B1">
            <w:pPr>
              <w:pStyle w:val="ListParagraph"/>
              <w:spacing w:after="0" w:line="240" w:lineRule="auto"/>
              <w:ind w:left="0"/>
              <w:rPr>
                <w:rFonts w:ascii="Times New Roman" w:hAnsi="Times New Roman" w:cs="Times New Roman"/>
                <w:b/>
                <w:sz w:val="16"/>
                <w:szCs w:val="16"/>
              </w:rPr>
            </w:pPr>
          </w:p>
        </w:tc>
      </w:tr>
      <w:tr w:rsidR="007934B1" w:rsidRPr="007934B1" w14:paraId="02962F8A" w14:textId="77777777" w:rsidTr="007934B1">
        <w:tc>
          <w:tcPr>
            <w:tcW w:w="746" w:type="pct"/>
            <w:vMerge/>
          </w:tcPr>
          <w:p w14:paraId="7E0DC5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16AA5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36044F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3F43665E"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bCs/>
                <w:sz w:val="16"/>
                <w:szCs w:val="16"/>
              </w:rPr>
              <w:t>Button Forde Smith Watson</w:t>
            </w:r>
          </w:p>
        </w:tc>
        <w:tc>
          <w:tcPr>
            <w:tcW w:w="607" w:type="pct"/>
            <w:shd w:val="clear" w:color="auto" w:fill="auto"/>
          </w:tcPr>
          <w:p w14:paraId="17BAF06E"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bCs/>
                <w:sz w:val="16"/>
                <w:szCs w:val="16"/>
              </w:rPr>
              <w:t>Jones 14 Newman Schmied Staneva</w:t>
            </w:r>
          </w:p>
        </w:tc>
        <w:tc>
          <w:tcPr>
            <w:tcW w:w="607" w:type="pct"/>
            <w:shd w:val="clear" w:color="auto" w:fill="auto"/>
          </w:tcPr>
          <w:p w14:paraId="79A65BFD"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r w:rsidRPr="007934B1">
              <w:rPr>
                <w:rFonts w:ascii="Times New Roman" w:hAnsi="Times New Roman" w:cs="Times New Roman"/>
                <w:bCs/>
                <w:sz w:val="16"/>
                <w:szCs w:val="16"/>
              </w:rPr>
              <w:t xml:space="preserve">Bina Dennis </w:t>
            </w:r>
          </w:p>
        </w:tc>
        <w:tc>
          <w:tcPr>
            <w:tcW w:w="561" w:type="pct"/>
            <w:shd w:val="clear" w:color="auto" w:fill="auto"/>
          </w:tcPr>
          <w:p w14:paraId="7E23E34E" w14:textId="77777777" w:rsidR="000B75EB" w:rsidRPr="007934B1" w:rsidRDefault="000B75EB" w:rsidP="007934B1">
            <w:pPr>
              <w:pStyle w:val="ListParagraph"/>
              <w:spacing w:after="0" w:line="240" w:lineRule="auto"/>
              <w:ind w:left="0"/>
              <w:rPr>
                <w:rFonts w:ascii="Times New Roman" w:hAnsi="Times New Roman" w:cs="Times New Roman"/>
                <w:bCs/>
                <w:sz w:val="16"/>
                <w:szCs w:val="16"/>
              </w:rPr>
            </w:pPr>
          </w:p>
        </w:tc>
        <w:tc>
          <w:tcPr>
            <w:tcW w:w="513" w:type="pct"/>
            <w:vMerge/>
          </w:tcPr>
          <w:p w14:paraId="41D424D7" w14:textId="77777777" w:rsidR="000B75EB" w:rsidRPr="007934B1" w:rsidRDefault="000B75EB" w:rsidP="007934B1">
            <w:pPr>
              <w:pStyle w:val="ListParagraph"/>
              <w:spacing w:after="0" w:line="240" w:lineRule="auto"/>
              <w:ind w:left="0"/>
              <w:rPr>
                <w:rFonts w:ascii="Times New Roman" w:hAnsi="Times New Roman" w:cs="Times New Roman"/>
                <w:b/>
                <w:sz w:val="16"/>
                <w:szCs w:val="16"/>
              </w:rPr>
            </w:pPr>
          </w:p>
        </w:tc>
      </w:tr>
      <w:tr w:rsidR="007934B1" w:rsidRPr="007934B1" w14:paraId="25E9C6CC" w14:textId="77777777" w:rsidTr="007934B1">
        <w:tc>
          <w:tcPr>
            <w:tcW w:w="746" w:type="pct"/>
            <w:vMerge w:val="restart"/>
          </w:tcPr>
          <w:p w14:paraId="56AA76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Normal</w:t>
            </w:r>
          </w:p>
        </w:tc>
        <w:tc>
          <w:tcPr>
            <w:tcW w:w="695" w:type="pct"/>
            <w:vMerge/>
          </w:tcPr>
          <w:p w14:paraId="647EF3E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755F3A4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Dennis &amp; Chung-Lee, 2006; Giscombe et al., 2020; Jones et al., 2014; Schmied et al., 2017; Slade et al., 2020; Smith et al., 2019; Sorsa et al., 2021</w:t>
            </w:r>
          </w:p>
        </w:tc>
        <w:tc>
          <w:tcPr>
            <w:tcW w:w="580" w:type="pct"/>
            <w:shd w:val="clear" w:color="auto" w:fill="A5A5A5" w:themeFill="accent3"/>
          </w:tcPr>
          <w:p w14:paraId="614BCE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4493E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8F55EA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83C88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54C948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1DDB2DCB" w14:textId="77777777" w:rsidTr="007934B1">
        <w:tc>
          <w:tcPr>
            <w:tcW w:w="746" w:type="pct"/>
            <w:vMerge/>
          </w:tcPr>
          <w:p w14:paraId="147C40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DD09C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708024B"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94CE19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Slade Smith</w:t>
            </w:r>
          </w:p>
        </w:tc>
        <w:tc>
          <w:tcPr>
            <w:tcW w:w="607" w:type="pct"/>
            <w:shd w:val="clear" w:color="auto" w:fill="auto"/>
          </w:tcPr>
          <w:p w14:paraId="35766E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Giscombe Jones 14 Schmied Sorsa </w:t>
            </w:r>
          </w:p>
        </w:tc>
        <w:tc>
          <w:tcPr>
            <w:tcW w:w="607" w:type="pct"/>
            <w:shd w:val="clear" w:color="auto" w:fill="auto"/>
          </w:tcPr>
          <w:p w14:paraId="1B6EF5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ABD6D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w:t>
            </w:r>
          </w:p>
        </w:tc>
        <w:tc>
          <w:tcPr>
            <w:tcW w:w="513" w:type="pct"/>
            <w:vMerge/>
          </w:tcPr>
          <w:p w14:paraId="2023F0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D8721B1" w14:textId="77777777" w:rsidTr="007934B1">
        <w:tc>
          <w:tcPr>
            <w:tcW w:w="746" w:type="pct"/>
            <w:vMerge/>
          </w:tcPr>
          <w:p w14:paraId="7C7875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43BB94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2404EC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81B35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6CD6C5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1C2EF1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2E5A63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CB0966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5946605" w14:textId="77777777" w:rsidTr="007934B1">
        <w:tc>
          <w:tcPr>
            <w:tcW w:w="746" w:type="pct"/>
            <w:vMerge/>
          </w:tcPr>
          <w:p w14:paraId="442484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7FDFB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5B1B47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3D6661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Slade Smith</w:t>
            </w:r>
          </w:p>
        </w:tc>
        <w:tc>
          <w:tcPr>
            <w:tcW w:w="607" w:type="pct"/>
            <w:shd w:val="clear" w:color="auto" w:fill="auto"/>
          </w:tcPr>
          <w:p w14:paraId="1BC4A9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Giscombe Jones Schmied Sorsa</w:t>
            </w:r>
          </w:p>
        </w:tc>
        <w:tc>
          <w:tcPr>
            <w:tcW w:w="607" w:type="pct"/>
            <w:shd w:val="clear" w:color="auto" w:fill="auto"/>
          </w:tcPr>
          <w:p w14:paraId="62A5CF5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E10DEC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8404B4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951BE03" w14:textId="77777777" w:rsidTr="007934B1">
        <w:tc>
          <w:tcPr>
            <w:tcW w:w="746" w:type="pct"/>
            <w:vMerge w:val="restart"/>
          </w:tcPr>
          <w:p w14:paraId="791A7A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Dealing with symptoms - ignore</w:t>
            </w:r>
          </w:p>
        </w:tc>
        <w:tc>
          <w:tcPr>
            <w:tcW w:w="695" w:type="pct"/>
            <w:vMerge w:val="restart"/>
          </w:tcPr>
          <w:p w14:paraId="07C818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Depending on how women view their symptoms will affect how they deal with their symptoms. When women choose to ignore their difficulties, minimise their symptoms or seek spiritual guidance this is a barrier to help-seeking and access </w:t>
            </w:r>
          </w:p>
        </w:tc>
        <w:tc>
          <w:tcPr>
            <w:tcW w:w="690" w:type="pct"/>
            <w:vMerge w:val="restart"/>
          </w:tcPr>
          <w:p w14:paraId="225F5071"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Hadfield &amp; Wittkowski, 2017; Jones, 2019; Newman et al., 2019; Schmied et al., 2017; Slade et al., 2020</w:t>
            </w:r>
          </w:p>
        </w:tc>
        <w:tc>
          <w:tcPr>
            <w:tcW w:w="580" w:type="pct"/>
            <w:shd w:val="clear" w:color="auto" w:fill="A5A5A5" w:themeFill="accent3"/>
          </w:tcPr>
          <w:p w14:paraId="3D9DD6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B31D9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25FB1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C31A11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6FE6AB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1CFBDA3B" w14:textId="77777777" w:rsidTr="007934B1">
        <w:tc>
          <w:tcPr>
            <w:tcW w:w="746" w:type="pct"/>
            <w:vMerge/>
          </w:tcPr>
          <w:p w14:paraId="6FF33B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1406E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FDB520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BE5CAB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Slade</w:t>
            </w:r>
          </w:p>
        </w:tc>
        <w:tc>
          <w:tcPr>
            <w:tcW w:w="607" w:type="pct"/>
            <w:shd w:val="clear" w:color="auto" w:fill="auto"/>
          </w:tcPr>
          <w:p w14:paraId="599F1DC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Newman Schmied</w:t>
            </w:r>
          </w:p>
        </w:tc>
        <w:tc>
          <w:tcPr>
            <w:tcW w:w="607" w:type="pct"/>
            <w:shd w:val="clear" w:color="auto" w:fill="auto"/>
          </w:tcPr>
          <w:p w14:paraId="484758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421D3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19</w:t>
            </w:r>
          </w:p>
        </w:tc>
        <w:tc>
          <w:tcPr>
            <w:tcW w:w="513" w:type="pct"/>
            <w:vMerge/>
          </w:tcPr>
          <w:p w14:paraId="50C7D3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37BFE8E" w14:textId="77777777" w:rsidTr="007934B1">
        <w:tc>
          <w:tcPr>
            <w:tcW w:w="746" w:type="pct"/>
            <w:vMerge/>
          </w:tcPr>
          <w:p w14:paraId="04EFCE3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EC70A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4E8718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545952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1D19E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1AD54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51802E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D8BB3C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7132462" w14:textId="77777777" w:rsidTr="007934B1">
        <w:tc>
          <w:tcPr>
            <w:tcW w:w="746" w:type="pct"/>
            <w:vMerge/>
          </w:tcPr>
          <w:p w14:paraId="36E168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07A701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42A429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449BC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Slade</w:t>
            </w:r>
          </w:p>
        </w:tc>
        <w:tc>
          <w:tcPr>
            <w:tcW w:w="607" w:type="pct"/>
            <w:shd w:val="clear" w:color="auto" w:fill="auto"/>
          </w:tcPr>
          <w:p w14:paraId="6BC4F29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Newman Schmied</w:t>
            </w:r>
          </w:p>
        </w:tc>
        <w:tc>
          <w:tcPr>
            <w:tcW w:w="607" w:type="pct"/>
            <w:shd w:val="clear" w:color="auto" w:fill="auto"/>
          </w:tcPr>
          <w:p w14:paraId="7D9ABE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Jones 19</w:t>
            </w:r>
          </w:p>
        </w:tc>
        <w:tc>
          <w:tcPr>
            <w:tcW w:w="561" w:type="pct"/>
            <w:shd w:val="clear" w:color="auto" w:fill="auto"/>
          </w:tcPr>
          <w:p w14:paraId="348291B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01D174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DBD20A0" w14:textId="77777777" w:rsidTr="007934B1">
        <w:tc>
          <w:tcPr>
            <w:tcW w:w="746" w:type="pct"/>
            <w:vMerge w:val="restart"/>
          </w:tcPr>
          <w:p w14:paraId="4467AD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seeking spiritual guidance</w:t>
            </w:r>
          </w:p>
        </w:tc>
        <w:tc>
          <w:tcPr>
            <w:tcW w:w="695" w:type="pct"/>
            <w:vMerge/>
          </w:tcPr>
          <w:p w14:paraId="58826D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1EB0C3C3"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Hansotte et al., 2017; Kassam, 2019; Schmied et al., 2017; Watson et al., 2019</w:t>
            </w:r>
          </w:p>
        </w:tc>
        <w:tc>
          <w:tcPr>
            <w:tcW w:w="580" w:type="pct"/>
            <w:shd w:val="clear" w:color="auto" w:fill="A5A5A5" w:themeFill="accent3"/>
          </w:tcPr>
          <w:p w14:paraId="7E52E3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CDBB5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23CAAC4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140B9D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B25A1C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w:t>
            </w:r>
          </w:p>
        </w:tc>
      </w:tr>
      <w:tr w:rsidR="007934B1" w:rsidRPr="007934B1" w14:paraId="65DE8AA6" w14:textId="77777777" w:rsidTr="007934B1">
        <w:tc>
          <w:tcPr>
            <w:tcW w:w="746" w:type="pct"/>
            <w:vMerge/>
          </w:tcPr>
          <w:p w14:paraId="2B9943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1CD2F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7A1670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5F955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w:t>
            </w:r>
          </w:p>
        </w:tc>
        <w:tc>
          <w:tcPr>
            <w:tcW w:w="607" w:type="pct"/>
            <w:shd w:val="clear" w:color="auto" w:fill="auto"/>
          </w:tcPr>
          <w:p w14:paraId="794841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 Kassam Schmied</w:t>
            </w:r>
          </w:p>
        </w:tc>
        <w:tc>
          <w:tcPr>
            <w:tcW w:w="607" w:type="pct"/>
            <w:shd w:val="clear" w:color="auto" w:fill="auto"/>
          </w:tcPr>
          <w:p w14:paraId="6403EA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55408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3C98A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0FBC76A" w14:textId="77777777" w:rsidTr="007934B1">
        <w:tc>
          <w:tcPr>
            <w:tcW w:w="746" w:type="pct"/>
            <w:vMerge/>
          </w:tcPr>
          <w:p w14:paraId="2579FA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39134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497106E"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325DF2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93A53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D924E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60CE16B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D4A932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4A4E8EE" w14:textId="77777777" w:rsidTr="007934B1">
        <w:tc>
          <w:tcPr>
            <w:tcW w:w="746" w:type="pct"/>
            <w:vMerge/>
          </w:tcPr>
          <w:p w14:paraId="261DE0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330368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BA81BD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0B405E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w:t>
            </w:r>
          </w:p>
        </w:tc>
        <w:tc>
          <w:tcPr>
            <w:tcW w:w="607" w:type="pct"/>
            <w:shd w:val="clear" w:color="auto" w:fill="auto"/>
          </w:tcPr>
          <w:p w14:paraId="3F75F6B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Kassam Schmied</w:t>
            </w:r>
          </w:p>
        </w:tc>
        <w:tc>
          <w:tcPr>
            <w:tcW w:w="607" w:type="pct"/>
            <w:shd w:val="clear" w:color="auto" w:fill="auto"/>
          </w:tcPr>
          <w:p w14:paraId="2B87B1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FA73F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w:t>
            </w:r>
          </w:p>
        </w:tc>
        <w:tc>
          <w:tcPr>
            <w:tcW w:w="513" w:type="pct"/>
            <w:vMerge/>
          </w:tcPr>
          <w:p w14:paraId="1E34A4D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7851CDB" w14:textId="77777777" w:rsidTr="007934B1">
        <w:tc>
          <w:tcPr>
            <w:tcW w:w="746" w:type="pct"/>
            <w:vMerge w:val="restart"/>
          </w:tcPr>
          <w:p w14:paraId="2588D2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Symptom minimisation</w:t>
            </w:r>
          </w:p>
        </w:tc>
        <w:tc>
          <w:tcPr>
            <w:tcW w:w="695" w:type="pct"/>
            <w:vMerge/>
          </w:tcPr>
          <w:p w14:paraId="0D124C2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11FF9E9A"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Dennis &amp; Chung-Lee, 2006; Forde et al., 2020; Hewitt et al., 2009; Holopainen &amp; Hakulinen, 2019; Jones et al., 2014; Kassam, 2019; Lucas et al., 2019; Megnin-Viggars et al., 2015; Schmied et al., 2017; Staneva et al., 2015; Watson et al., 2019</w:t>
            </w:r>
          </w:p>
        </w:tc>
        <w:tc>
          <w:tcPr>
            <w:tcW w:w="580" w:type="pct"/>
            <w:shd w:val="clear" w:color="auto" w:fill="A5A5A5" w:themeFill="accent3"/>
          </w:tcPr>
          <w:p w14:paraId="167443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540F4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27ECE6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665598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927D0E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w:t>
            </w:r>
          </w:p>
        </w:tc>
      </w:tr>
      <w:tr w:rsidR="007934B1" w:rsidRPr="007934B1" w14:paraId="43E3FBA5" w14:textId="77777777" w:rsidTr="007934B1">
        <w:tc>
          <w:tcPr>
            <w:tcW w:w="746" w:type="pct"/>
            <w:vMerge/>
          </w:tcPr>
          <w:p w14:paraId="58B0E4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53E1E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B36C6B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F7244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Forde Hewitt Watson </w:t>
            </w:r>
          </w:p>
        </w:tc>
        <w:tc>
          <w:tcPr>
            <w:tcW w:w="607" w:type="pct"/>
            <w:shd w:val="clear" w:color="auto" w:fill="auto"/>
          </w:tcPr>
          <w:p w14:paraId="6DB243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Holopainen Jones 14 Kassam Lucas Schmied Staneva</w:t>
            </w:r>
          </w:p>
        </w:tc>
        <w:tc>
          <w:tcPr>
            <w:tcW w:w="607" w:type="pct"/>
            <w:shd w:val="clear" w:color="auto" w:fill="auto"/>
          </w:tcPr>
          <w:p w14:paraId="6AE445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25D0C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Megnin</w:t>
            </w:r>
          </w:p>
        </w:tc>
        <w:tc>
          <w:tcPr>
            <w:tcW w:w="513" w:type="pct"/>
            <w:vMerge/>
          </w:tcPr>
          <w:p w14:paraId="56B6F5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505AF46" w14:textId="77777777" w:rsidTr="007934B1">
        <w:tc>
          <w:tcPr>
            <w:tcW w:w="746" w:type="pct"/>
            <w:vMerge/>
          </w:tcPr>
          <w:p w14:paraId="1C39AF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C0CA5B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C3D6C1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1B6975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7C49E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D0724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insurance Don’t know</w:t>
            </w:r>
          </w:p>
        </w:tc>
        <w:tc>
          <w:tcPr>
            <w:tcW w:w="561" w:type="pct"/>
            <w:shd w:val="clear" w:color="auto" w:fill="A5A5A5" w:themeFill="accent3"/>
          </w:tcPr>
          <w:p w14:paraId="6604362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A9D710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95C0978" w14:textId="77777777" w:rsidTr="007934B1">
        <w:tc>
          <w:tcPr>
            <w:tcW w:w="746" w:type="pct"/>
            <w:vMerge/>
          </w:tcPr>
          <w:p w14:paraId="1621DDD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C4800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13CC433"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733FB54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Forde Hewitt Watson </w:t>
            </w:r>
          </w:p>
        </w:tc>
        <w:tc>
          <w:tcPr>
            <w:tcW w:w="607" w:type="pct"/>
            <w:shd w:val="clear" w:color="auto" w:fill="auto"/>
          </w:tcPr>
          <w:p w14:paraId="6E1AAC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14 Schmied Staneva</w:t>
            </w:r>
          </w:p>
        </w:tc>
        <w:tc>
          <w:tcPr>
            <w:tcW w:w="607" w:type="pct"/>
            <w:shd w:val="clear" w:color="auto" w:fill="auto"/>
          </w:tcPr>
          <w:p w14:paraId="106320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Holopainen </w:t>
            </w:r>
          </w:p>
        </w:tc>
        <w:tc>
          <w:tcPr>
            <w:tcW w:w="561" w:type="pct"/>
            <w:shd w:val="clear" w:color="auto" w:fill="auto"/>
          </w:tcPr>
          <w:p w14:paraId="45E23F4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3A2D89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246561D" w14:textId="77777777" w:rsidTr="007934B1">
        <w:tc>
          <w:tcPr>
            <w:tcW w:w="746" w:type="pct"/>
            <w:vMerge w:val="restart"/>
          </w:tcPr>
          <w:p w14:paraId="0AE441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Recognising something is wrong</w:t>
            </w:r>
          </w:p>
        </w:tc>
        <w:tc>
          <w:tcPr>
            <w:tcW w:w="695" w:type="pct"/>
            <w:vMerge w:val="restart"/>
          </w:tcPr>
          <w:p w14:paraId="719F43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have to recognise something is wrong before they seek help</w:t>
            </w:r>
          </w:p>
        </w:tc>
        <w:tc>
          <w:tcPr>
            <w:tcW w:w="690" w:type="pct"/>
            <w:vMerge w:val="restart"/>
          </w:tcPr>
          <w:p w14:paraId="05E946B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Button et al., 2017; Forde et al., 2020; Hadfield &amp; Wittkowski, 2017; Hansotte et al., 2017; Slade et al., 2020; Sorsa et al., 2021; Staneva et al., 2015; Viveiros &amp; Darling, 2018</w:t>
            </w:r>
          </w:p>
        </w:tc>
        <w:tc>
          <w:tcPr>
            <w:tcW w:w="580" w:type="pct"/>
            <w:shd w:val="clear" w:color="auto" w:fill="A5A5A5" w:themeFill="accent3"/>
          </w:tcPr>
          <w:p w14:paraId="614AD0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E21CF5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21C8A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BFD5CA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1D778E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7BBF18AE" w14:textId="77777777" w:rsidTr="007934B1">
        <w:tc>
          <w:tcPr>
            <w:tcW w:w="746" w:type="pct"/>
            <w:vMerge/>
          </w:tcPr>
          <w:p w14:paraId="3F627D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07D8D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BAB48C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51431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Forde Hadfield Slade Viveiros</w:t>
            </w:r>
          </w:p>
        </w:tc>
        <w:tc>
          <w:tcPr>
            <w:tcW w:w="607" w:type="pct"/>
            <w:shd w:val="clear" w:color="auto" w:fill="auto"/>
          </w:tcPr>
          <w:p w14:paraId="52BE6C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Hansotte Sorsa Staneva </w:t>
            </w:r>
          </w:p>
        </w:tc>
        <w:tc>
          <w:tcPr>
            <w:tcW w:w="607" w:type="pct"/>
            <w:shd w:val="clear" w:color="auto" w:fill="auto"/>
          </w:tcPr>
          <w:p w14:paraId="6E5F033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E0B9D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E9741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D50B703" w14:textId="77777777" w:rsidTr="007934B1">
        <w:tc>
          <w:tcPr>
            <w:tcW w:w="746" w:type="pct"/>
            <w:vMerge/>
          </w:tcPr>
          <w:p w14:paraId="6D22CA1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AAEB5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B78F30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7A0FAA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6179B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2BC917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7257C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437D77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6FD4D74" w14:textId="77777777" w:rsidTr="007934B1">
        <w:tc>
          <w:tcPr>
            <w:tcW w:w="746" w:type="pct"/>
            <w:vMerge/>
          </w:tcPr>
          <w:p w14:paraId="6C89A0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6F10A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82825C0"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573CE9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Forde Hadfield Slade Viveiros</w:t>
            </w:r>
          </w:p>
        </w:tc>
        <w:tc>
          <w:tcPr>
            <w:tcW w:w="607" w:type="pct"/>
            <w:shd w:val="clear" w:color="auto" w:fill="auto"/>
          </w:tcPr>
          <w:p w14:paraId="56DB85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Sorsa Staneva</w:t>
            </w:r>
          </w:p>
        </w:tc>
        <w:tc>
          <w:tcPr>
            <w:tcW w:w="607" w:type="pct"/>
            <w:shd w:val="clear" w:color="auto" w:fill="auto"/>
          </w:tcPr>
          <w:p w14:paraId="3EA7F74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4CC69D1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w:t>
            </w:r>
          </w:p>
        </w:tc>
        <w:tc>
          <w:tcPr>
            <w:tcW w:w="513" w:type="pct"/>
            <w:vMerge/>
          </w:tcPr>
          <w:p w14:paraId="7A86231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01CFAC4" w14:textId="77777777" w:rsidTr="007934B1">
        <w:tc>
          <w:tcPr>
            <w:tcW w:w="746" w:type="pct"/>
            <w:vMerge w:val="restart"/>
          </w:tcPr>
          <w:p w14:paraId="3E9106D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Not knowing where to go</w:t>
            </w:r>
          </w:p>
        </w:tc>
        <w:tc>
          <w:tcPr>
            <w:tcW w:w="695" w:type="pct"/>
            <w:vMerge w:val="restart"/>
          </w:tcPr>
          <w:p w14:paraId="5CBFA2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Not having enough information to know where to go is a barrier to help seeking</w:t>
            </w:r>
          </w:p>
        </w:tc>
        <w:tc>
          <w:tcPr>
            <w:tcW w:w="690" w:type="pct"/>
            <w:vMerge w:val="restart"/>
          </w:tcPr>
          <w:p w14:paraId="3ECAA84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Dennis Hansotte Megnin-viggars Schmied Smith Sorsa Tobin</w:t>
            </w:r>
          </w:p>
        </w:tc>
        <w:tc>
          <w:tcPr>
            <w:tcW w:w="580" w:type="pct"/>
            <w:shd w:val="clear" w:color="auto" w:fill="A5A5A5" w:themeFill="accent3"/>
          </w:tcPr>
          <w:p w14:paraId="7FA75F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30B51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43B57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388A57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C414C6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only one review reflects UK and NHS services, perhaps more relevant in other countries?</w:t>
            </w:r>
          </w:p>
        </w:tc>
      </w:tr>
      <w:tr w:rsidR="007934B1" w:rsidRPr="007934B1" w14:paraId="64A9D000" w14:textId="77777777" w:rsidTr="007934B1">
        <w:tc>
          <w:tcPr>
            <w:tcW w:w="746" w:type="pct"/>
            <w:vMerge/>
          </w:tcPr>
          <w:p w14:paraId="72CCE1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8F4FE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9CD3E79"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1E261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Smith</w:t>
            </w:r>
          </w:p>
        </w:tc>
        <w:tc>
          <w:tcPr>
            <w:tcW w:w="607" w:type="pct"/>
            <w:shd w:val="clear" w:color="auto" w:fill="auto"/>
          </w:tcPr>
          <w:p w14:paraId="24C918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Hansotte Schmied Sorsa Tobin</w:t>
            </w:r>
          </w:p>
        </w:tc>
        <w:tc>
          <w:tcPr>
            <w:tcW w:w="607" w:type="pct"/>
            <w:shd w:val="clear" w:color="auto" w:fill="auto"/>
          </w:tcPr>
          <w:p w14:paraId="51B49E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942BD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Megnin</w:t>
            </w:r>
          </w:p>
        </w:tc>
        <w:tc>
          <w:tcPr>
            <w:tcW w:w="513" w:type="pct"/>
            <w:vMerge/>
          </w:tcPr>
          <w:p w14:paraId="307070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36F973B" w14:textId="77777777" w:rsidTr="007934B1">
        <w:tc>
          <w:tcPr>
            <w:tcW w:w="746" w:type="pct"/>
            <w:vMerge/>
          </w:tcPr>
          <w:p w14:paraId="619D72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04DFF2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B416E73"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18372D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7D8C3B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1D8286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C91EB3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4F9EFC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B8FC7CA" w14:textId="77777777" w:rsidTr="007934B1">
        <w:tc>
          <w:tcPr>
            <w:tcW w:w="746" w:type="pct"/>
            <w:vMerge/>
          </w:tcPr>
          <w:p w14:paraId="3B097D4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61844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C1AA3B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50700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Smith</w:t>
            </w:r>
          </w:p>
        </w:tc>
        <w:tc>
          <w:tcPr>
            <w:tcW w:w="607" w:type="pct"/>
            <w:shd w:val="clear" w:color="auto" w:fill="auto"/>
          </w:tcPr>
          <w:p w14:paraId="38AA9B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Schmied Sorsa Tobin</w:t>
            </w:r>
          </w:p>
        </w:tc>
        <w:tc>
          <w:tcPr>
            <w:tcW w:w="607" w:type="pct"/>
            <w:shd w:val="clear" w:color="auto" w:fill="auto"/>
          </w:tcPr>
          <w:p w14:paraId="042C5E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352ECC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Hansotte </w:t>
            </w:r>
          </w:p>
        </w:tc>
        <w:tc>
          <w:tcPr>
            <w:tcW w:w="513" w:type="pct"/>
            <w:vMerge/>
          </w:tcPr>
          <w:p w14:paraId="5F6407E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05CC390" w14:textId="77777777" w:rsidTr="007934B1">
        <w:tc>
          <w:tcPr>
            <w:tcW w:w="746" w:type="pct"/>
            <w:vMerge w:val="restart"/>
          </w:tcPr>
          <w:p w14:paraId="75F063E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Beliefs about health services – medication only</w:t>
            </w:r>
          </w:p>
        </w:tc>
        <w:tc>
          <w:tcPr>
            <w:tcW w:w="695" w:type="pct"/>
            <w:vMerge w:val="restart"/>
          </w:tcPr>
          <w:p w14:paraId="223669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Beliefs about health services are also a barrier to helpseeking and access, such as believing services only offer medication, are stretched, HCPs wont care or that they not sure if the HCP they are talking with are equipped to deal with their symptoms,</w:t>
            </w:r>
          </w:p>
        </w:tc>
        <w:tc>
          <w:tcPr>
            <w:tcW w:w="690" w:type="pct"/>
            <w:vMerge w:val="restart"/>
          </w:tcPr>
          <w:p w14:paraId="1C7049F7"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Button et al., 2017; Jones, 2019; Megnin-Viggars et al., 2015; Nilaweera et al., 2014; Sorsa et al., 2021; Tobin et al., 2018</w:t>
            </w:r>
          </w:p>
        </w:tc>
        <w:tc>
          <w:tcPr>
            <w:tcW w:w="580" w:type="pct"/>
            <w:shd w:val="clear" w:color="auto" w:fill="A5A5A5" w:themeFill="accent3"/>
          </w:tcPr>
          <w:p w14:paraId="1AD245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FBE1F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BB8D40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CAB599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49843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only one review reflects UK and NHS services, perhaps more relevant in other countries?</w:t>
            </w:r>
          </w:p>
        </w:tc>
      </w:tr>
      <w:tr w:rsidR="007934B1" w:rsidRPr="007934B1" w14:paraId="6D7DFC14" w14:textId="77777777" w:rsidTr="007934B1">
        <w:tc>
          <w:tcPr>
            <w:tcW w:w="746" w:type="pct"/>
            <w:vMerge/>
          </w:tcPr>
          <w:p w14:paraId="41C74C6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5CB8E4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D1EC2E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02771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w:t>
            </w:r>
          </w:p>
        </w:tc>
        <w:tc>
          <w:tcPr>
            <w:tcW w:w="607" w:type="pct"/>
            <w:shd w:val="clear" w:color="auto" w:fill="auto"/>
          </w:tcPr>
          <w:p w14:paraId="64280F5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Nilaweera Sorsa Tobin</w:t>
            </w:r>
          </w:p>
        </w:tc>
        <w:tc>
          <w:tcPr>
            <w:tcW w:w="607" w:type="pct"/>
            <w:shd w:val="clear" w:color="auto" w:fill="auto"/>
          </w:tcPr>
          <w:p w14:paraId="6FE0F8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49848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Megnin</w:t>
            </w:r>
          </w:p>
        </w:tc>
        <w:tc>
          <w:tcPr>
            <w:tcW w:w="513" w:type="pct"/>
            <w:vMerge/>
          </w:tcPr>
          <w:p w14:paraId="0110684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53F217B" w14:textId="77777777" w:rsidTr="007934B1">
        <w:tc>
          <w:tcPr>
            <w:tcW w:w="746" w:type="pct"/>
            <w:vMerge/>
          </w:tcPr>
          <w:p w14:paraId="153C8E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F38127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5289175"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7060FA8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37758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48E935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CB82F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1145CF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8606834" w14:textId="77777777" w:rsidTr="007934B1">
        <w:tc>
          <w:tcPr>
            <w:tcW w:w="746" w:type="pct"/>
            <w:vMerge/>
          </w:tcPr>
          <w:p w14:paraId="71F45C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69CCF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8BE1F20"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00BCC6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w:t>
            </w:r>
          </w:p>
        </w:tc>
        <w:tc>
          <w:tcPr>
            <w:tcW w:w="607" w:type="pct"/>
            <w:shd w:val="clear" w:color="auto" w:fill="auto"/>
          </w:tcPr>
          <w:p w14:paraId="650D4A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Nilaweera Sorsa Tobin</w:t>
            </w:r>
          </w:p>
        </w:tc>
        <w:tc>
          <w:tcPr>
            <w:tcW w:w="607" w:type="pct"/>
            <w:shd w:val="clear" w:color="auto" w:fill="auto"/>
          </w:tcPr>
          <w:p w14:paraId="49DCE5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3A549C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B0D4D6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839F8BC" w14:textId="77777777" w:rsidTr="007934B1">
        <w:tc>
          <w:tcPr>
            <w:tcW w:w="746" w:type="pct"/>
            <w:vMerge w:val="restart"/>
          </w:tcPr>
          <w:p w14:paraId="158A54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Beliefs about health services - stretched</w:t>
            </w:r>
          </w:p>
        </w:tc>
        <w:tc>
          <w:tcPr>
            <w:tcW w:w="695" w:type="pct"/>
            <w:vMerge/>
          </w:tcPr>
          <w:p w14:paraId="76D0FD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4AA42257"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Hadfield &amp; Wittkowski, 2017</w:t>
            </w:r>
          </w:p>
        </w:tc>
        <w:tc>
          <w:tcPr>
            <w:tcW w:w="580" w:type="pct"/>
            <w:shd w:val="clear" w:color="auto" w:fill="A5A5A5" w:themeFill="accent3"/>
          </w:tcPr>
          <w:p w14:paraId="15C651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426ED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48328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6B634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706500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No/Minor </w:t>
            </w:r>
            <w:r w:rsidRPr="007934B1">
              <w:rPr>
                <w:rFonts w:ascii="Times New Roman" w:hAnsi="Times New Roman" w:cs="Times New Roman"/>
                <w:sz w:val="16"/>
                <w:szCs w:val="16"/>
              </w:rPr>
              <w:t xml:space="preserve"> - only one study though </w:t>
            </w:r>
          </w:p>
        </w:tc>
      </w:tr>
      <w:tr w:rsidR="007934B1" w:rsidRPr="007934B1" w14:paraId="14FC90FC" w14:textId="77777777" w:rsidTr="007934B1">
        <w:tc>
          <w:tcPr>
            <w:tcW w:w="746" w:type="pct"/>
            <w:vMerge/>
          </w:tcPr>
          <w:p w14:paraId="1308215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9F490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664D6A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58BA3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28F92B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79FBAC4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70C1A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655CF4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4374E9F" w14:textId="77777777" w:rsidTr="007934B1">
        <w:tc>
          <w:tcPr>
            <w:tcW w:w="746" w:type="pct"/>
            <w:vMerge/>
          </w:tcPr>
          <w:p w14:paraId="3852D9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D5BE3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93F845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04C4FF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4861D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81957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F2F7C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BD7788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5AFF855" w14:textId="77777777" w:rsidTr="007934B1">
        <w:tc>
          <w:tcPr>
            <w:tcW w:w="746" w:type="pct"/>
            <w:vMerge/>
          </w:tcPr>
          <w:p w14:paraId="08D00E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0C7C9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B980CEE"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3350B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74F432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572F27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719C29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24A411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631F15D" w14:textId="77777777" w:rsidTr="007934B1">
        <w:tc>
          <w:tcPr>
            <w:tcW w:w="746" w:type="pct"/>
            <w:vMerge w:val="restart"/>
          </w:tcPr>
          <w:p w14:paraId="3AD69A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Beliefs about HCPs – what is their role</w:t>
            </w:r>
          </w:p>
        </w:tc>
        <w:tc>
          <w:tcPr>
            <w:tcW w:w="695" w:type="pct"/>
            <w:vMerge/>
          </w:tcPr>
          <w:p w14:paraId="55FA1D0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7739228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Brealey et al., 2010; Button et al., 2017; Dennis &amp; Chung-Lee, 2006; Hadfield &amp; Wittkowski, 2017; Hewitt et al., 2009; Megnin-Viggars et al., 2015; Mollard et al., 2016; Morrell et al., 2016; Nilaweera et al., 2014; Schmied et al., 2017; Scope et al., 2017; Smith et al., 2019</w:t>
            </w:r>
          </w:p>
        </w:tc>
        <w:tc>
          <w:tcPr>
            <w:tcW w:w="580" w:type="pct"/>
            <w:shd w:val="clear" w:color="auto" w:fill="A5A5A5" w:themeFill="accent3"/>
          </w:tcPr>
          <w:p w14:paraId="65EEBF0E"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13245B79"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4D5ED32"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DF998DD"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B6A404E" w14:textId="77777777" w:rsidR="000B75EB" w:rsidRPr="007934B1" w:rsidRDefault="000B75EB" w:rsidP="007934B1">
            <w:pPr>
              <w:spacing w:line="240" w:lineRule="auto"/>
              <w:ind w:firstLine="0"/>
              <w:rPr>
                <w:rFonts w:ascii="Times New Roman" w:hAnsi="Times New Roman" w:cs="Times New Roman"/>
                <w:b/>
                <w:bCs/>
                <w:sz w:val="16"/>
                <w:szCs w:val="16"/>
              </w:rPr>
            </w:pPr>
            <w:r w:rsidRPr="007934B1">
              <w:rPr>
                <w:rFonts w:ascii="Times New Roman" w:hAnsi="Times New Roman" w:cs="Times New Roman"/>
                <w:b/>
                <w:bCs/>
                <w:sz w:val="16"/>
                <w:szCs w:val="16"/>
              </w:rPr>
              <w:t xml:space="preserve">Minor concerns </w:t>
            </w:r>
            <w:r w:rsidRPr="007934B1">
              <w:rPr>
                <w:rFonts w:ascii="Times New Roman" w:hAnsi="Times New Roman" w:cs="Times New Roman"/>
                <w:sz w:val="16"/>
                <w:szCs w:val="16"/>
              </w:rPr>
              <w:t xml:space="preserve"> - majority have direct and partial relevance to the theme, the healthcare service in question isn’t relevant here because it is directly related to women</w:t>
            </w:r>
          </w:p>
        </w:tc>
      </w:tr>
      <w:tr w:rsidR="007934B1" w:rsidRPr="007934B1" w14:paraId="7DEC4CE1" w14:textId="77777777" w:rsidTr="007934B1">
        <w:tc>
          <w:tcPr>
            <w:tcW w:w="746" w:type="pct"/>
            <w:vMerge/>
          </w:tcPr>
          <w:p w14:paraId="35054E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7A297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3A5044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CA316D4"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Brealey Button Hadfield Hewitt Smith</w:t>
            </w:r>
          </w:p>
        </w:tc>
        <w:tc>
          <w:tcPr>
            <w:tcW w:w="607" w:type="pct"/>
            <w:shd w:val="clear" w:color="auto" w:fill="auto"/>
          </w:tcPr>
          <w:p w14:paraId="67AF8B78"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Mollard Morrell Nilaweera Schmied Scope</w:t>
            </w:r>
          </w:p>
        </w:tc>
        <w:tc>
          <w:tcPr>
            <w:tcW w:w="607" w:type="pct"/>
            <w:shd w:val="clear" w:color="auto" w:fill="auto"/>
          </w:tcPr>
          <w:p w14:paraId="54866D3C" w14:textId="77777777" w:rsidR="000B75EB" w:rsidRPr="007934B1" w:rsidRDefault="000B75EB" w:rsidP="007934B1">
            <w:pPr>
              <w:spacing w:line="240" w:lineRule="auto"/>
              <w:ind w:firstLine="0"/>
              <w:rPr>
                <w:rFonts w:ascii="Times New Roman" w:hAnsi="Times New Roman" w:cs="Times New Roman"/>
                <w:sz w:val="16"/>
                <w:szCs w:val="16"/>
              </w:rPr>
            </w:pPr>
          </w:p>
        </w:tc>
        <w:tc>
          <w:tcPr>
            <w:tcW w:w="561" w:type="pct"/>
            <w:shd w:val="clear" w:color="auto" w:fill="auto"/>
          </w:tcPr>
          <w:p w14:paraId="44196D30"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Dennis Megnin</w:t>
            </w:r>
          </w:p>
        </w:tc>
        <w:tc>
          <w:tcPr>
            <w:tcW w:w="513" w:type="pct"/>
            <w:vMerge/>
          </w:tcPr>
          <w:p w14:paraId="1E7EB4D7" w14:textId="77777777" w:rsidR="000B75EB" w:rsidRPr="007934B1" w:rsidRDefault="000B75EB" w:rsidP="007934B1">
            <w:pPr>
              <w:spacing w:line="240" w:lineRule="auto"/>
              <w:ind w:firstLine="0"/>
              <w:rPr>
                <w:rFonts w:ascii="Times New Roman" w:hAnsi="Times New Roman" w:cs="Times New Roman"/>
                <w:sz w:val="16"/>
                <w:szCs w:val="16"/>
              </w:rPr>
            </w:pPr>
          </w:p>
        </w:tc>
      </w:tr>
      <w:tr w:rsidR="007934B1" w:rsidRPr="007934B1" w14:paraId="109A443A" w14:textId="77777777" w:rsidTr="007934B1">
        <w:tc>
          <w:tcPr>
            <w:tcW w:w="746" w:type="pct"/>
            <w:vMerge/>
          </w:tcPr>
          <w:p w14:paraId="6D4E5D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26425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710AA0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557A4CA"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2E598F7C"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CE24111"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EE70BC8"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0BBD2FF" w14:textId="77777777" w:rsidR="000B75EB" w:rsidRPr="007934B1" w:rsidRDefault="000B75EB" w:rsidP="007934B1">
            <w:pPr>
              <w:spacing w:line="240" w:lineRule="auto"/>
              <w:ind w:firstLine="0"/>
              <w:rPr>
                <w:rFonts w:ascii="Times New Roman" w:hAnsi="Times New Roman" w:cs="Times New Roman"/>
                <w:b/>
                <w:bCs/>
                <w:sz w:val="16"/>
                <w:szCs w:val="16"/>
              </w:rPr>
            </w:pPr>
          </w:p>
        </w:tc>
      </w:tr>
      <w:tr w:rsidR="007934B1" w:rsidRPr="007934B1" w14:paraId="3DF2B90D" w14:textId="77777777" w:rsidTr="007934B1">
        <w:tc>
          <w:tcPr>
            <w:tcW w:w="746" w:type="pct"/>
            <w:vMerge/>
          </w:tcPr>
          <w:p w14:paraId="093812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726CF2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6E543C3"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46565B6"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Brealey Button Hadfield Hewitt Smith</w:t>
            </w:r>
          </w:p>
        </w:tc>
        <w:tc>
          <w:tcPr>
            <w:tcW w:w="607" w:type="pct"/>
            <w:shd w:val="clear" w:color="auto" w:fill="auto"/>
          </w:tcPr>
          <w:p w14:paraId="10FBB0BE"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Morrell Nilaweera Schmied Scope</w:t>
            </w:r>
          </w:p>
        </w:tc>
        <w:tc>
          <w:tcPr>
            <w:tcW w:w="607" w:type="pct"/>
            <w:shd w:val="clear" w:color="auto" w:fill="auto"/>
          </w:tcPr>
          <w:p w14:paraId="22B8104A"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Dennis Megnin </w:t>
            </w:r>
          </w:p>
        </w:tc>
        <w:tc>
          <w:tcPr>
            <w:tcW w:w="561" w:type="pct"/>
            <w:shd w:val="clear" w:color="auto" w:fill="auto"/>
          </w:tcPr>
          <w:p w14:paraId="0A55A141"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Mollard</w:t>
            </w:r>
          </w:p>
        </w:tc>
        <w:tc>
          <w:tcPr>
            <w:tcW w:w="513" w:type="pct"/>
            <w:vMerge/>
          </w:tcPr>
          <w:p w14:paraId="12180133" w14:textId="77777777" w:rsidR="000B75EB" w:rsidRPr="007934B1" w:rsidRDefault="000B75EB" w:rsidP="007934B1">
            <w:pPr>
              <w:spacing w:line="240" w:lineRule="auto"/>
              <w:ind w:firstLine="0"/>
              <w:rPr>
                <w:rFonts w:ascii="Times New Roman" w:hAnsi="Times New Roman" w:cs="Times New Roman"/>
                <w:b/>
                <w:bCs/>
                <w:sz w:val="16"/>
                <w:szCs w:val="16"/>
              </w:rPr>
            </w:pPr>
          </w:p>
        </w:tc>
      </w:tr>
      <w:tr w:rsidR="007934B1" w:rsidRPr="007934B1" w14:paraId="735FD23D" w14:textId="77777777" w:rsidTr="007934B1">
        <w:tc>
          <w:tcPr>
            <w:tcW w:w="746" w:type="pct"/>
            <w:vMerge w:val="restart"/>
          </w:tcPr>
          <w:p w14:paraId="23B1F2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Beliefs about HCPs – they won’t be interested</w:t>
            </w:r>
          </w:p>
        </w:tc>
        <w:tc>
          <w:tcPr>
            <w:tcW w:w="695" w:type="pct"/>
            <w:vMerge/>
          </w:tcPr>
          <w:p w14:paraId="7C9FBD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173F779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Hadfield &amp; Wittkowski, 2017</w:t>
            </w:r>
          </w:p>
        </w:tc>
        <w:tc>
          <w:tcPr>
            <w:tcW w:w="580" w:type="pct"/>
            <w:shd w:val="clear" w:color="auto" w:fill="A5A5A5" w:themeFill="accent3"/>
          </w:tcPr>
          <w:p w14:paraId="78DAE9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1401F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409E1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A212F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627792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but only 2 studies </w:t>
            </w:r>
          </w:p>
        </w:tc>
      </w:tr>
      <w:tr w:rsidR="007934B1" w:rsidRPr="007934B1" w14:paraId="53AD5320" w14:textId="77777777" w:rsidTr="007934B1">
        <w:tc>
          <w:tcPr>
            <w:tcW w:w="746" w:type="pct"/>
            <w:vMerge/>
          </w:tcPr>
          <w:p w14:paraId="3E115E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B6DD2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F2EB38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DA94B2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22B427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607" w:type="pct"/>
            <w:shd w:val="clear" w:color="auto" w:fill="auto"/>
          </w:tcPr>
          <w:p w14:paraId="744EC7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D53EC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7917E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7EA09D7" w14:textId="77777777" w:rsidTr="007934B1">
        <w:tc>
          <w:tcPr>
            <w:tcW w:w="746" w:type="pct"/>
            <w:vMerge/>
          </w:tcPr>
          <w:p w14:paraId="3B5ADFC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84861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BD2A91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5BAE06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E322A3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589D0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31B2B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46092B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DC3FF6C" w14:textId="77777777" w:rsidTr="007934B1">
        <w:tc>
          <w:tcPr>
            <w:tcW w:w="746" w:type="pct"/>
            <w:vMerge/>
          </w:tcPr>
          <w:p w14:paraId="68886B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48750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62F52FE"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08FB9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64BB45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7F6CAD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074615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6B58BE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ACBDC7F" w14:textId="77777777" w:rsidTr="007934B1">
        <w:tc>
          <w:tcPr>
            <w:tcW w:w="746" w:type="pct"/>
            <w:vMerge w:val="restart"/>
          </w:tcPr>
          <w:p w14:paraId="032A8D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Logistics – childcare</w:t>
            </w:r>
          </w:p>
        </w:tc>
        <w:tc>
          <w:tcPr>
            <w:tcW w:w="695" w:type="pct"/>
            <w:vMerge w:val="restart"/>
          </w:tcPr>
          <w:p w14:paraId="12721C1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Logistical issues effect implementation, help seeking and access to care. These logistical issues include, childcare, travel, timing of appointments</w:t>
            </w:r>
          </w:p>
        </w:tc>
        <w:tc>
          <w:tcPr>
            <w:tcW w:w="690" w:type="pct"/>
            <w:vMerge w:val="restart"/>
          </w:tcPr>
          <w:p w14:paraId="3EAD700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Button et al., 2017; Dennis &amp; Chung-Lee, 2006; Hansotte et al., 2017;  Jones 19 Morrell et al., 2016; Newman et al., 2019; Scope et al., 2017; Smith et al., 2019; Tobin et al., 2018; Watson et al., 2019 Boyd Cox Doering Friedman</w:t>
            </w:r>
          </w:p>
        </w:tc>
        <w:tc>
          <w:tcPr>
            <w:tcW w:w="580" w:type="pct"/>
            <w:shd w:val="clear" w:color="auto" w:fill="A5A5A5" w:themeFill="accent3"/>
          </w:tcPr>
          <w:p w14:paraId="1EB0D3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09C9C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335FF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9A1B4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B92D3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 seems to be an issue in most cultures and health services </w:t>
            </w:r>
          </w:p>
        </w:tc>
      </w:tr>
      <w:tr w:rsidR="007934B1" w:rsidRPr="007934B1" w14:paraId="68DD3786" w14:textId="77777777" w:rsidTr="007934B1">
        <w:tc>
          <w:tcPr>
            <w:tcW w:w="746" w:type="pct"/>
            <w:vMerge/>
          </w:tcPr>
          <w:p w14:paraId="79D6E2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3C7DD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58DB5B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880F3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Smith Watson</w:t>
            </w:r>
          </w:p>
        </w:tc>
        <w:tc>
          <w:tcPr>
            <w:tcW w:w="607" w:type="pct"/>
            <w:shd w:val="clear" w:color="auto" w:fill="auto"/>
          </w:tcPr>
          <w:p w14:paraId="560EA8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Hansotte Morrell Newman Scope Tobin Boyd Cox Doering Friedman</w:t>
            </w:r>
          </w:p>
        </w:tc>
        <w:tc>
          <w:tcPr>
            <w:tcW w:w="607" w:type="pct"/>
            <w:shd w:val="clear" w:color="auto" w:fill="auto"/>
          </w:tcPr>
          <w:p w14:paraId="0B620D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B9A0AE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19</w:t>
            </w:r>
          </w:p>
        </w:tc>
        <w:tc>
          <w:tcPr>
            <w:tcW w:w="513" w:type="pct"/>
            <w:vMerge/>
          </w:tcPr>
          <w:p w14:paraId="6FA004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7C7D57D" w14:textId="77777777" w:rsidTr="007934B1">
        <w:tc>
          <w:tcPr>
            <w:tcW w:w="746" w:type="pct"/>
            <w:vMerge/>
          </w:tcPr>
          <w:p w14:paraId="09A7F6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BB04E3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5B5E40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DFAD6E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B1288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100D0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75201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00D42C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AD56FBD" w14:textId="77777777" w:rsidTr="007934B1">
        <w:tc>
          <w:tcPr>
            <w:tcW w:w="746" w:type="pct"/>
            <w:vMerge/>
          </w:tcPr>
          <w:p w14:paraId="0855E64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27082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14A0A6A"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607E4FA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Smith Watson</w:t>
            </w:r>
          </w:p>
        </w:tc>
        <w:tc>
          <w:tcPr>
            <w:tcW w:w="607" w:type="pct"/>
            <w:shd w:val="clear" w:color="auto" w:fill="auto"/>
          </w:tcPr>
          <w:p w14:paraId="68C2E7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Morrell Newman Schmied Scope Tobin</w:t>
            </w:r>
          </w:p>
        </w:tc>
        <w:tc>
          <w:tcPr>
            <w:tcW w:w="607" w:type="pct"/>
            <w:shd w:val="clear" w:color="auto" w:fill="auto"/>
          </w:tcPr>
          <w:p w14:paraId="183243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Dennis Jones 19</w:t>
            </w:r>
          </w:p>
        </w:tc>
        <w:tc>
          <w:tcPr>
            <w:tcW w:w="561" w:type="pct"/>
            <w:shd w:val="clear" w:color="auto" w:fill="auto"/>
          </w:tcPr>
          <w:p w14:paraId="5B4833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Hansotte Boyd Cox Doering Friedman  </w:t>
            </w:r>
          </w:p>
        </w:tc>
        <w:tc>
          <w:tcPr>
            <w:tcW w:w="513" w:type="pct"/>
            <w:vMerge/>
          </w:tcPr>
          <w:p w14:paraId="7BF0400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12763BB" w14:textId="77777777" w:rsidTr="007934B1">
        <w:tc>
          <w:tcPr>
            <w:tcW w:w="746" w:type="pct"/>
            <w:vMerge w:val="restart"/>
          </w:tcPr>
          <w:p w14:paraId="792C70C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Logistics – timing</w:t>
            </w:r>
          </w:p>
        </w:tc>
        <w:tc>
          <w:tcPr>
            <w:tcW w:w="695" w:type="pct"/>
            <w:vMerge/>
          </w:tcPr>
          <w:p w14:paraId="38F0BC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067D15F5"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Bina, 2020; Dennis &amp; Chung-Lee, 2006; Newman et al., 2019; Scope et al., 2017; Watson et al., 2019 Atif </w:t>
            </w:r>
            <w:r w:rsidRPr="007934B1">
              <w:rPr>
                <w:rFonts w:ascii="Times New Roman" w:hAnsi="Times New Roman" w:cs="Times New Roman"/>
                <w:noProof/>
                <w:color w:val="000000"/>
                <w:sz w:val="16"/>
                <w:szCs w:val="16"/>
              </w:rPr>
              <w:lastRenderedPageBreak/>
              <w:t>16 Pugh Atif 20 Chartier Cox Friedman</w:t>
            </w:r>
          </w:p>
        </w:tc>
        <w:tc>
          <w:tcPr>
            <w:tcW w:w="580" w:type="pct"/>
            <w:shd w:val="clear" w:color="auto" w:fill="A5A5A5" w:themeFill="accent3"/>
          </w:tcPr>
          <w:p w14:paraId="07C011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6E5CD5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A7D65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7A20C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EBB43D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less representation in UK services and country, seems to affect non </w:t>
            </w:r>
            <w:r w:rsidRPr="007934B1">
              <w:rPr>
                <w:rFonts w:ascii="Times New Roman" w:hAnsi="Times New Roman" w:cs="Times New Roman"/>
                <w:sz w:val="16"/>
                <w:szCs w:val="16"/>
              </w:rPr>
              <w:lastRenderedPageBreak/>
              <w:t>universal insurance HC more</w:t>
            </w:r>
          </w:p>
        </w:tc>
      </w:tr>
      <w:tr w:rsidR="007934B1" w:rsidRPr="007934B1" w14:paraId="08C79E31" w14:textId="77777777" w:rsidTr="007934B1">
        <w:tc>
          <w:tcPr>
            <w:tcW w:w="746" w:type="pct"/>
            <w:vMerge/>
          </w:tcPr>
          <w:p w14:paraId="6F29CCB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1A00CE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41CEEF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509224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w:t>
            </w:r>
          </w:p>
        </w:tc>
        <w:tc>
          <w:tcPr>
            <w:tcW w:w="607" w:type="pct"/>
            <w:shd w:val="clear" w:color="auto" w:fill="auto"/>
          </w:tcPr>
          <w:p w14:paraId="0A7594E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Newman Scope Pugh Chartier Cox Friedman</w:t>
            </w:r>
          </w:p>
        </w:tc>
        <w:tc>
          <w:tcPr>
            <w:tcW w:w="607" w:type="pct"/>
            <w:shd w:val="clear" w:color="auto" w:fill="auto"/>
          </w:tcPr>
          <w:p w14:paraId="5BDE2C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Atif Atif</w:t>
            </w:r>
          </w:p>
        </w:tc>
        <w:tc>
          <w:tcPr>
            <w:tcW w:w="561" w:type="pct"/>
            <w:shd w:val="clear" w:color="auto" w:fill="auto"/>
          </w:tcPr>
          <w:p w14:paraId="756B4CE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w:t>
            </w:r>
          </w:p>
        </w:tc>
        <w:tc>
          <w:tcPr>
            <w:tcW w:w="513" w:type="pct"/>
            <w:vMerge/>
          </w:tcPr>
          <w:p w14:paraId="307161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132D8F0" w14:textId="77777777" w:rsidTr="007934B1">
        <w:tc>
          <w:tcPr>
            <w:tcW w:w="746" w:type="pct"/>
            <w:vMerge/>
          </w:tcPr>
          <w:p w14:paraId="6D0C7B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2E691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255BFE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1EB115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A8857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B8C904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A88F46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314D4C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BD3EF4A" w14:textId="77777777" w:rsidTr="007934B1">
        <w:tc>
          <w:tcPr>
            <w:tcW w:w="746" w:type="pct"/>
            <w:vMerge/>
          </w:tcPr>
          <w:p w14:paraId="26B94D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DDD12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51EEE3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5EA5992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w:t>
            </w:r>
          </w:p>
        </w:tc>
        <w:tc>
          <w:tcPr>
            <w:tcW w:w="607" w:type="pct"/>
            <w:shd w:val="clear" w:color="auto" w:fill="auto"/>
          </w:tcPr>
          <w:p w14:paraId="11F08F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Newman Scope Pugh Chartier </w:t>
            </w:r>
          </w:p>
        </w:tc>
        <w:tc>
          <w:tcPr>
            <w:tcW w:w="607" w:type="pct"/>
            <w:shd w:val="clear" w:color="auto" w:fill="auto"/>
          </w:tcPr>
          <w:p w14:paraId="54BB66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Dennis </w:t>
            </w:r>
          </w:p>
        </w:tc>
        <w:tc>
          <w:tcPr>
            <w:tcW w:w="561" w:type="pct"/>
            <w:shd w:val="clear" w:color="auto" w:fill="auto"/>
          </w:tcPr>
          <w:p w14:paraId="344E5F5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Atif  Atif 20 Cox Friedman</w:t>
            </w:r>
          </w:p>
        </w:tc>
        <w:tc>
          <w:tcPr>
            <w:tcW w:w="513" w:type="pct"/>
            <w:vMerge/>
          </w:tcPr>
          <w:p w14:paraId="3DAB9DD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355C827" w14:textId="77777777" w:rsidTr="007934B1">
        <w:tc>
          <w:tcPr>
            <w:tcW w:w="746" w:type="pct"/>
            <w:vMerge w:val="restart"/>
          </w:tcPr>
          <w:p w14:paraId="0C8FD91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Logistics – location/travel</w:t>
            </w:r>
          </w:p>
        </w:tc>
        <w:tc>
          <w:tcPr>
            <w:tcW w:w="695" w:type="pct"/>
            <w:vMerge/>
          </w:tcPr>
          <w:p w14:paraId="05879D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3E9FB0F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Bina Hansotte Jones 19 Mollard Morrell Newman Sorsa Tobin Watson Young  Eappen Massood Doering </w:t>
            </w:r>
          </w:p>
        </w:tc>
        <w:tc>
          <w:tcPr>
            <w:tcW w:w="580" w:type="pct"/>
            <w:shd w:val="clear" w:color="auto" w:fill="A5A5A5" w:themeFill="accent3"/>
          </w:tcPr>
          <w:p w14:paraId="0F54E0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6224B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2CC67F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61A61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D14D5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seems to be relevant in NHS, universally funded and insurance services as well as eastern and wester </w:t>
            </w:r>
          </w:p>
        </w:tc>
      </w:tr>
      <w:tr w:rsidR="007934B1" w:rsidRPr="007934B1" w14:paraId="7112A3F9" w14:textId="77777777" w:rsidTr="007934B1">
        <w:trPr>
          <w:trHeight w:val="90"/>
        </w:trPr>
        <w:tc>
          <w:tcPr>
            <w:tcW w:w="746" w:type="pct"/>
            <w:vMerge/>
          </w:tcPr>
          <w:p w14:paraId="7CEC61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36543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EDA0FA9"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E97A1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  Masood</w:t>
            </w:r>
          </w:p>
        </w:tc>
        <w:tc>
          <w:tcPr>
            <w:tcW w:w="607" w:type="pct"/>
            <w:shd w:val="clear" w:color="auto" w:fill="auto"/>
          </w:tcPr>
          <w:p w14:paraId="1A218D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Hansotte Mollard Morrell Newman Sorsa Tobin Young Doering </w:t>
            </w:r>
          </w:p>
        </w:tc>
        <w:tc>
          <w:tcPr>
            <w:tcW w:w="607" w:type="pct"/>
            <w:shd w:val="clear" w:color="auto" w:fill="auto"/>
          </w:tcPr>
          <w:p w14:paraId="142B83F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Eappen </w:t>
            </w:r>
          </w:p>
        </w:tc>
        <w:tc>
          <w:tcPr>
            <w:tcW w:w="561" w:type="pct"/>
            <w:shd w:val="clear" w:color="auto" w:fill="auto"/>
          </w:tcPr>
          <w:p w14:paraId="647310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19</w:t>
            </w:r>
          </w:p>
        </w:tc>
        <w:tc>
          <w:tcPr>
            <w:tcW w:w="513" w:type="pct"/>
            <w:vMerge/>
          </w:tcPr>
          <w:p w14:paraId="2D4CA9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028F4B6" w14:textId="77777777" w:rsidTr="007934B1">
        <w:tc>
          <w:tcPr>
            <w:tcW w:w="746" w:type="pct"/>
            <w:vMerge/>
          </w:tcPr>
          <w:p w14:paraId="732988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B62EE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D71D86B"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538855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04C32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6386D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DBE33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4CD39A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5D43114" w14:textId="77777777" w:rsidTr="007934B1">
        <w:tc>
          <w:tcPr>
            <w:tcW w:w="746" w:type="pct"/>
            <w:vMerge/>
          </w:tcPr>
          <w:p w14:paraId="7E40C3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59640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038641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E6425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 Masood</w:t>
            </w:r>
          </w:p>
        </w:tc>
        <w:tc>
          <w:tcPr>
            <w:tcW w:w="607" w:type="pct"/>
            <w:shd w:val="clear" w:color="auto" w:fill="auto"/>
          </w:tcPr>
          <w:p w14:paraId="730C63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Morrell Newman Sorsa Tobin</w:t>
            </w:r>
          </w:p>
        </w:tc>
        <w:tc>
          <w:tcPr>
            <w:tcW w:w="607" w:type="pct"/>
            <w:shd w:val="clear" w:color="auto" w:fill="auto"/>
          </w:tcPr>
          <w:p w14:paraId="3D3FC6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Eappen</w:t>
            </w:r>
          </w:p>
        </w:tc>
        <w:tc>
          <w:tcPr>
            <w:tcW w:w="561" w:type="pct"/>
            <w:shd w:val="clear" w:color="auto" w:fill="auto"/>
          </w:tcPr>
          <w:p w14:paraId="52B5D1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 Mollard Young Doering</w:t>
            </w:r>
          </w:p>
        </w:tc>
        <w:tc>
          <w:tcPr>
            <w:tcW w:w="513" w:type="pct"/>
            <w:vMerge/>
          </w:tcPr>
          <w:p w14:paraId="243163F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A39B1DC" w14:textId="77777777" w:rsidTr="007934B1">
        <w:tc>
          <w:tcPr>
            <w:tcW w:w="746" w:type="pct"/>
            <w:vMerge w:val="restart"/>
          </w:tcPr>
          <w:p w14:paraId="086B90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Symptoms of psychological difficulty</w:t>
            </w:r>
          </w:p>
        </w:tc>
        <w:tc>
          <w:tcPr>
            <w:tcW w:w="695" w:type="pct"/>
            <w:vMerge w:val="restart"/>
          </w:tcPr>
          <w:p w14:paraId="21A2B0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Psychological factors such as fear of judgement, feeling psychologically ready to take part in care, symptoms of psychological difficulties, and fear of social services involvement prevent implementation, help seeking and access to PNMH care</w:t>
            </w:r>
          </w:p>
        </w:tc>
        <w:tc>
          <w:tcPr>
            <w:tcW w:w="690" w:type="pct"/>
            <w:vMerge w:val="restart"/>
          </w:tcPr>
          <w:p w14:paraId="7949D8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Friedman 2011 Boyd 2011 Hadfield 2019</w:t>
            </w:r>
          </w:p>
        </w:tc>
        <w:tc>
          <w:tcPr>
            <w:tcW w:w="580" w:type="pct"/>
            <w:shd w:val="clear" w:color="auto" w:fill="A5A5A5" w:themeFill="accent3"/>
          </w:tcPr>
          <w:p w14:paraId="20F0E8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51DB2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F5179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3A92F1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C7F49A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but only 3 studies</w:t>
            </w:r>
          </w:p>
        </w:tc>
      </w:tr>
      <w:tr w:rsidR="007934B1" w:rsidRPr="007934B1" w14:paraId="5F0EF99D" w14:textId="77777777" w:rsidTr="007934B1">
        <w:tc>
          <w:tcPr>
            <w:tcW w:w="746" w:type="pct"/>
            <w:vMerge/>
          </w:tcPr>
          <w:p w14:paraId="02691A1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51BB8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38305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3480D7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4DE530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Friedman Boyd</w:t>
            </w:r>
          </w:p>
        </w:tc>
        <w:tc>
          <w:tcPr>
            <w:tcW w:w="607" w:type="pct"/>
            <w:shd w:val="clear" w:color="auto" w:fill="auto"/>
          </w:tcPr>
          <w:p w14:paraId="6C7B6B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5E21D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EA4459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D1EB24C" w14:textId="77777777" w:rsidTr="007934B1">
        <w:tc>
          <w:tcPr>
            <w:tcW w:w="746" w:type="pct"/>
            <w:vMerge/>
          </w:tcPr>
          <w:p w14:paraId="5C8ADF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6B173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09E9F8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105B23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36768B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1282E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D9E52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DE2493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B9B14FE" w14:textId="77777777" w:rsidTr="007934B1">
        <w:tc>
          <w:tcPr>
            <w:tcW w:w="746" w:type="pct"/>
            <w:vMerge/>
          </w:tcPr>
          <w:p w14:paraId="0DAACA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C3109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058C10B"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7F29B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Hadfield </w:t>
            </w:r>
          </w:p>
        </w:tc>
        <w:tc>
          <w:tcPr>
            <w:tcW w:w="607" w:type="pct"/>
            <w:shd w:val="clear" w:color="auto" w:fill="auto"/>
          </w:tcPr>
          <w:p w14:paraId="113E12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154569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2DD37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Friedman Boyd</w:t>
            </w:r>
          </w:p>
        </w:tc>
        <w:tc>
          <w:tcPr>
            <w:tcW w:w="513" w:type="pct"/>
            <w:vMerge/>
          </w:tcPr>
          <w:p w14:paraId="1BAFA00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3FF11F9" w14:textId="77777777" w:rsidTr="007934B1">
        <w:tc>
          <w:tcPr>
            <w:tcW w:w="746" w:type="pct"/>
            <w:vMerge w:val="restart"/>
          </w:tcPr>
          <w:p w14:paraId="478136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Fear of being judged as a bad mum</w:t>
            </w:r>
          </w:p>
        </w:tc>
        <w:tc>
          <w:tcPr>
            <w:tcW w:w="695" w:type="pct"/>
            <w:vMerge/>
          </w:tcPr>
          <w:p w14:paraId="430392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7B18030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Brealey et al., 2010; Button et al., 2017; Forde et al., 2020; Jones et al., 2014; Lucas et al., 2019; Schmied et al., 2017; Slade et al., 2020; Sorsa et al., 2021; Viveiros &amp; Darling, 2018; Watson et al., 2019</w:t>
            </w:r>
          </w:p>
        </w:tc>
        <w:tc>
          <w:tcPr>
            <w:tcW w:w="580" w:type="pct"/>
            <w:shd w:val="clear" w:color="auto" w:fill="A5A5A5" w:themeFill="accent3"/>
          </w:tcPr>
          <w:p w14:paraId="6339FF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311CCA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CE465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11D7D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35A230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None/V minor – </w:t>
            </w:r>
            <w:r w:rsidRPr="007934B1">
              <w:rPr>
                <w:rFonts w:ascii="Times New Roman" w:hAnsi="Times New Roman" w:cs="Times New Roman"/>
                <w:sz w:val="16"/>
                <w:szCs w:val="16"/>
              </w:rPr>
              <w:t>most are uk based studies</w:t>
            </w:r>
          </w:p>
        </w:tc>
      </w:tr>
      <w:tr w:rsidR="007934B1" w:rsidRPr="007934B1" w14:paraId="41158856" w14:textId="77777777" w:rsidTr="007934B1">
        <w:tc>
          <w:tcPr>
            <w:tcW w:w="746" w:type="pct"/>
            <w:vMerge/>
          </w:tcPr>
          <w:p w14:paraId="3B614C8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EC0E2E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8CDA34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3FE32E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Brealey Button Forde Slade Viveiros Watson </w:t>
            </w:r>
          </w:p>
        </w:tc>
        <w:tc>
          <w:tcPr>
            <w:tcW w:w="607" w:type="pct"/>
            <w:shd w:val="clear" w:color="auto" w:fill="auto"/>
          </w:tcPr>
          <w:p w14:paraId="39F302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Jones 14 Lucas Schmied Sorsa</w:t>
            </w:r>
          </w:p>
        </w:tc>
        <w:tc>
          <w:tcPr>
            <w:tcW w:w="607" w:type="pct"/>
            <w:shd w:val="clear" w:color="auto" w:fill="auto"/>
          </w:tcPr>
          <w:p w14:paraId="3AB7F3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3E1238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C0B85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EE4E8C9" w14:textId="77777777" w:rsidTr="007934B1">
        <w:tc>
          <w:tcPr>
            <w:tcW w:w="746" w:type="pct"/>
            <w:vMerge/>
          </w:tcPr>
          <w:p w14:paraId="721C105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9AB2C2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6C897B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087174B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39768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291A09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7C9A3E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DA0DA5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682CBD8" w14:textId="77777777" w:rsidTr="007934B1">
        <w:tc>
          <w:tcPr>
            <w:tcW w:w="746" w:type="pct"/>
            <w:vMerge/>
          </w:tcPr>
          <w:p w14:paraId="2EC355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6A706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0B8BDB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6A531A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Button Forde Slade Viveiros Watson</w:t>
            </w:r>
          </w:p>
        </w:tc>
        <w:tc>
          <w:tcPr>
            <w:tcW w:w="607" w:type="pct"/>
            <w:shd w:val="clear" w:color="auto" w:fill="auto"/>
          </w:tcPr>
          <w:p w14:paraId="113163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Schmied Sorsa</w:t>
            </w:r>
          </w:p>
        </w:tc>
        <w:tc>
          <w:tcPr>
            <w:tcW w:w="607" w:type="pct"/>
            <w:shd w:val="clear" w:color="auto" w:fill="auto"/>
          </w:tcPr>
          <w:p w14:paraId="2ECB131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3FA70D6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Lucas</w:t>
            </w:r>
          </w:p>
        </w:tc>
        <w:tc>
          <w:tcPr>
            <w:tcW w:w="513" w:type="pct"/>
            <w:vMerge/>
          </w:tcPr>
          <w:p w14:paraId="06B9F1E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371B8BD" w14:textId="77777777" w:rsidTr="007934B1">
        <w:tc>
          <w:tcPr>
            <w:tcW w:w="746" w:type="pct"/>
            <w:vMerge w:val="restart"/>
          </w:tcPr>
          <w:p w14:paraId="02D2E08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Social services</w:t>
            </w:r>
          </w:p>
        </w:tc>
        <w:tc>
          <w:tcPr>
            <w:tcW w:w="695" w:type="pct"/>
            <w:vMerge/>
          </w:tcPr>
          <w:p w14:paraId="6EFC8A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69614E2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Brealey et al., 2010; Button et al., 2017; Dennis &amp; Chung-Lee, 2006; Evans et al., 2020; Forde et al., 2020; Hadfield &amp; Wittkowski, 2017; Hewitt et al., 2009; Jones, 2019; Megnin-Viggars et al., 2015; Newman et al., 2019; Tobin et al., 2018; Watson et al., 2019 Stakeholder</w:t>
            </w:r>
          </w:p>
        </w:tc>
        <w:tc>
          <w:tcPr>
            <w:tcW w:w="580" w:type="pct"/>
            <w:shd w:val="clear" w:color="auto" w:fill="A5A5A5" w:themeFill="accent3"/>
          </w:tcPr>
          <w:p w14:paraId="54FFA1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DE3B7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3FC76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7485E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E57A56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None/V minor – </w:t>
            </w:r>
            <w:r w:rsidRPr="007934B1">
              <w:rPr>
                <w:rFonts w:ascii="Times New Roman" w:hAnsi="Times New Roman" w:cs="Times New Roman"/>
                <w:sz w:val="16"/>
                <w:szCs w:val="16"/>
              </w:rPr>
              <w:t xml:space="preserve">all saying the same thing and brought up at stakeholder meetings </w:t>
            </w:r>
          </w:p>
        </w:tc>
      </w:tr>
      <w:tr w:rsidR="007934B1" w:rsidRPr="007934B1" w14:paraId="3CA13965" w14:textId="77777777" w:rsidTr="007934B1">
        <w:tc>
          <w:tcPr>
            <w:tcW w:w="746" w:type="pct"/>
            <w:vMerge/>
          </w:tcPr>
          <w:p w14:paraId="0CC8ED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3463C2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87DC52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C01837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Buton Forde Hadfield Hewitt Watson +SH</w:t>
            </w:r>
          </w:p>
        </w:tc>
        <w:tc>
          <w:tcPr>
            <w:tcW w:w="607" w:type="pct"/>
            <w:shd w:val="clear" w:color="auto" w:fill="auto"/>
          </w:tcPr>
          <w:p w14:paraId="411C86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Evans Newman Tobin </w:t>
            </w:r>
          </w:p>
        </w:tc>
        <w:tc>
          <w:tcPr>
            <w:tcW w:w="607" w:type="pct"/>
            <w:shd w:val="clear" w:color="auto" w:fill="auto"/>
          </w:tcPr>
          <w:p w14:paraId="7E545D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59089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19 Megnin</w:t>
            </w:r>
          </w:p>
        </w:tc>
        <w:tc>
          <w:tcPr>
            <w:tcW w:w="513" w:type="pct"/>
            <w:vMerge/>
          </w:tcPr>
          <w:p w14:paraId="14E552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338F4C2" w14:textId="77777777" w:rsidTr="007934B1">
        <w:tc>
          <w:tcPr>
            <w:tcW w:w="746" w:type="pct"/>
            <w:vMerge/>
          </w:tcPr>
          <w:p w14:paraId="1023B8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56134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D2592D1"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657E25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371AD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B2AB5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0816C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02980A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9F6B09E" w14:textId="77777777" w:rsidTr="007934B1">
        <w:tc>
          <w:tcPr>
            <w:tcW w:w="746" w:type="pct"/>
            <w:vMerge/>
          </w:tcPr>
          <w:p w14:paraId="6B12A6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5987E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62D2AA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0DC9821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Buton Forde Hadfield Hewitt Watson +SH</w:t>
            </w:r>
          </w:p>
        </w:tc>
        <w:tc>
          <w:tcPr>
            <w:tcW w:w="607" w:type="pct"/>
            <w:shd w:val="clear" w:color="auto" w:fill="auto"/>
          </w:tcPr>
          <w:p w14:paraId="06905BC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Newman Tobin</w:t>
            </w:r>
          </w:p>
        </w:tc>
        <w:tc>
          <w:tcPr>
            <w:tcW w:w="607" w:type="pct"/>
            <w:shd w:val="clear" w:color="auto" w:fill="auto"/>
          </w:tcPr>
          <w:p w14:paraId="6B1E07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Dennis Jones 19 Megnin</w:t>
            </w:r>
          </w:p>
        </w:tc>
        <w:tc>
          <w:tcPr>
            <w:tcW w:w="561" w:type="pct"/>
            <w:shd w:val="clear" w:color="auto" w:fill="auto"/>
          </w:tcPr>
          <w:p w14:paraId="7A00B6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85397E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8DE78B1" w14:textId="77777777" w:rsidTr="007934B1">
        <w:tc>
          <w:tcPr>
            <w:tcW w:w="746" w:type="pct"/>
            <w:vMerge w:val="restart"/>
          </w:tcPr>
          <w:p w14:paraId="57E246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Psychological readiness</w:t>
            </w:r>
          </w:p>
        </w:tc>
        <w:tc>
          <w:tcPr>
            <w:tcW w:w="695" w:type="pct"/>
            <w:vMerge/>
          </w:tcPr>
          <w:p w14:paraId="1EA4A5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2D79729B"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Leger 2005 Chartier 2015</w:t>
            </w:r>
          </w:p>
        </w:tc>
        <w:tc>
          <w:tcPr>
            <w:tcW w:w="580" w:type="pct"/>
            <w:shd w:val="clear" w:color="auto" w:fill="A5A5A5" w:themeFill="accent3"/>
          </w:tcPr>
          <w:p w14:paraId="272E629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988791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3996E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04217B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294FDE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not directly related to UK/NHS </w:t>
            </w:r>
          </w:p>
        </w:tc>
      </w:tr>
      <w:tr w:rsidR="007934B1" w:rsidRPr="007934B1" w14:paraId="7F2FD388" w14:textId="77777777" w:rsidTr="007934B1">
        <w:tc>
          <w:tcPr>
            <w:tcW w:w="746" w:type="pct"/>
            <w:vMerge/>
          </w:tcPr>
          <w:p w14:paraId="29C8E0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A6C16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FB024E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638565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0F996B1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Leger Chartier</w:t>
            </w:r>
          </w:p>
        </w:tc>
        <w:tc>
          <w:tcPr>
            <w:tcW w:w="607" w:type="pct"/>
            <w:shd w:val="clear" w:color="auto" w:fill="auto"/>
          </w:tcPr>
          <w:p w14:paraId="0BAD5C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4B894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813EB2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641AF28" w14:textId="77777777" w:rsidTr="007934B1">
        <w:tc>
          <w:tcPr>
            <w:tcW w:w="746" w:type="pct"/>
            <w:vMerge/>
          </w:tcPr>
          <w:p w14:paraId="68D30F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400CE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E09956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0B4E2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766D21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3A9DA6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62B705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B82714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16B35EF" w14:textId="77777777" w:rsidTr="007934B1">
        <w:tc>
          <w:tcPr>
            <w:tcW w:w="746" w:type="pct"/>
            <w:vMerge/>
          </w:tcPr>
          <w:p w14:paraId="70E941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F87D53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90B987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CE3EB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3ECA01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Leger  Chartier</w:t>
            </w:r>
          </w:p>
        </w:tc>
        <w:tc>
          <w:tcPr>
            <w:tcW w:w="607" w:type="pct"/>
            <w:shd w:val="clear" w:color="auto" w:fill="auto"/>
          </w:tcPr>
          <w:p w14:paraId="66ACDD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0B175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30351F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13B3259" w14:textId="77777777" w:rsidTr="007934B1">
        <w:tc>
          <w:tcPr>
            <w:tcW w:w="746" w:type="pct"/>
            <w:vMerge w:val="restart"/>
          </w:tcPr>
          <w:p w14:paraId="7900F2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Ethnicity</w:t>
            </w:r>
          </w:p>
        </w:tc>
        <w:tc>
          <w:tcPr>
            <w:tcW w:w="695" w:type="pct"/>
            <w:vMerge w:val="restart"/>
          </w:tcPr>
          <w:p w14:paraId="3457D6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Demographic factors such as age (older women are more likely to seek help), ethnicity (white women are more likely to seek help), and previous experiences with mental health services (those with previous diagnoses and positive experiences of MHS are more likely to seek help) impacted helpseeking and access to PNMH Care</w:t>
            </w:r>
          </w:p>
        </w:tc>
        <w:tc>
          <w:tcPr>
            <w:tcW w:w="690" w:type="pct"/>
            <w:vMerge w:val="restart"/>
          </w:tcPr>
          <w:p w14:paraId="28C08C23"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Dennis &amp; Chung-Lee, 2006; Hansotte et al., 2017; Watson et al., 2019</w:t>
            </w:r>
          </w:p>
        </w:tc>
        <w:tc>
          <w:tcPr>
            <w:tcW w:w="580" w:type="pct"/>
            <w:shd w:val="clear" w:color="auto" w:fill="A5A5A5" w:themeFill="accent3"/>
          </w:tcPr>
          <w:p w14:paraId="7DCCE3F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85379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575FC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A6895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93995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 not a very clear pattern, could be relevant, need more research </w:t>
            </w:r>
          </w:p>
        </w:tc>
      </w:tr>
      <w:tr w:rsidR="007934B1" w:rsidRPr="007934B1" w14:paraId="4FCEEB45" w14:textId="77777777" w:rsidTr="007934B1">
        <w:tc>
          <w:tcPr>
            <w:tcW w:w="746" w:type="pct"/>
            <w:vMerge/>
          </w:tcPr>
          <w:p w14:paraId="77073F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C1609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488C091"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2D5035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w:t>
            </w:r>
          </w:p>
        </w:tc>
        <w:tc>
          <w:tcPr>
            <w:tcW w:w="607" w:type="pct"/>
            <w:shd w:val="clear" w:color="auto" w:fill="auto"/>
          </w:tcPr>
          <w:p w14:paraId="793252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Hansotte</w:t>
            </w:r>
          </w:p>
        </w:tc>
        <w:tc>
          <w:tcPr>
            <w:tcW w:w="607" w:type="pct"/>
            <w:shd w:val="clear" w:color="auto" w:fill="auto"/>
          </w:tcPr>
          <w:p w14:paraId="1A8F992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1F22F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w:t>
            </w:r>
          </w:p>
        </w:tc>
        <w:tc>
          <w:tcPr>
            <w:tcW w:w="513" w:type="pct"/>
            <w:vMerge/>
          </w:tcPr>
          <w:p w14:paraId="13160B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88DCB3C" w14:textId="77777777" w:rsidTr="007934B1">
        <w:tc>
          <w:tcPr>
            <w:tcW w:w="746" w:type="pct"/>
            <w:vMerge/>
          </w:tcPr>
          <w:p w14:paraId="50249A5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74116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71B50D6"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5A5A5" w:themeFill="accent3"/>
          </w:tcPr>
          <w:p w14:paraId="3DF8D7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E69136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019E2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C1DEB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2DB77C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C691899" w14:textId="77777777" w:rsidTr="007934B1">
        <w:tc>
          <w:tcPr>
            <w:tcW w:w="746" w:type="pct"/>
            <w:vMerge/>
          </w:tcPr>
          <w:p w14:paraId="42BA5F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2DCDC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E113EFB"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26AA0E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Watson</w:t>
            </w:r>
          </w:p>
        </w:tc>
        <w:tc>
          <w:tcPr>
            <w:tcW w:w="607" w:type="pct"/>
            <w:shd w:val="clear" w:color="auto" w:fill="auto"/>
          </w:tcPr>
          <w:p w14:paraId="64F4BA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1B9289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5FB1A1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w:t>
            </w:r>
          </w:p>
        </w:tc>
        <w:tc>
          <w:tcPr>
            <w:tcW w:w="513" w:type="pct"/>
            <w:vMerge/>
          </w:tcPr>
          <w:p w14:paraId="3C9C1F4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F2B0A36" w14:textId="77777777" w:rsidTr="007934B1">
        <w:trPr>
          <w:trHeight w:val="1830"/>
        </w:trPr>
        <w:tc>
          <w:tcPr>
            <w:tcW w:w="746" w:type="pct"/>
            <w:vMerge w:val="restart"/>
          </w:tcPr>
          <w:p w14:paraId="76E180B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Age</w:t>
            </w:r>
          </w:p>
        </w:tc>
        <w:tc>
          <w:tcPr>
            <w:tcW w:w="695" w:type="pct"/>
            <w:vMerge/>
          </w:tcPr>
          <w:p w14:paraId="441301B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28355CE4"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Hansotte et al., 2017</w:t>
            </w:r>
          </w:p>
        </w:tc>
        <w:tc>
          <w:tcPr>
            <w:tcW w:w="580" w:type="pct"/>
            <w:shd w:val="clear" w:color="auto" w:fill="A5A5A5" w:themeFill="accent3"/>
          </w:tcPr>
          <w:p w14:paraId="22394C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B2681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F30FD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57DD3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732B3D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Severe – </w:t>
            </w:r>
            <w:r w:rsidRPr="007934B1">
              <w:rPr>
                <w:rFonts w:ascii="Times New Roman" w:hAnsi="Times New Roman" w:cs="Times New Roman"/>
                <w:sz w:val="16"/>
                <w:szCs w:val="16"/>
              </w:rPr>
              <w:t xml:space="preserve">No direct relevance </w:t>
            </w:r>
          </w:p>
        </w:tc>
      </w:tr>
      <w:tr w:rsidR="007934B1" w:rsidRPr="007934B1" w14:paraId="0A7C7021" w14:textId="77777777" w:rsidTr="007934B1">
        <w:tc>
          <w:tcPr>
            <w:tcW w:w="746" w:type="pct"/>
            <w:vMerge/>
          </w:tcPr>
          <w:p w14:paraId="6133AD3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68994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71CDEFF"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69A3B4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48517B5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Hansotte</w:t>
            </w:r>
          </w:p>
        </w:tc>
        <w:tc>
          <w:tcPr>
            <w:tcW w:w="607" w:type="pct"/>
            <w:shd w:val="clear" w:color="auto" w:fill="auto"/>
          </w:tcPr>
          <w:p w14:paraId="78F623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5BCF6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D517ED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07FAF65" w14:textId="77777777" w:rsidTr="007934B1">
        <w:tc>
          <w:tcPr>
            <w:tcW w:w="746" w:type="pct"/>
            <w:vMerge/>
          </w:tcPr>
          <w:p w14:paraId="62E649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7AEDB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A33CF25"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5A5A5" w:themeFill="accent3"/>
          </w:tcPr>
          <w:p w14:paraId="409E9F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206167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3BA38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A1979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E46E30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BA5E483" w14:textId="77777777" w:rsidTr="007934B1">
        <w:tc>
          <w:tcPr>
            <w:tcW w:w="746" w:type="pct"/>
            <w:vMerge/>
          </w:tcPr>
          <w:p w14:paraId="6D78B6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B00C2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73A27C3"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0D1462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621DEE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3140F0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234848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w:t>
            </w:r>
          </w:p>
        </w:tc>
        <w:tc>
          <w:tcPr>
            <w:tcW w:w="513" w:type="pct"/>
            <w:vMerge/>
          </w:tcPr>
          <w:p w14:paraId="2704BBD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F783536" w14:textId="77777777" w:rsidTr="007934B1">
        <w:tc>
          <w:tcPr>
            <w:tcW w:w="746" w:type="pct"/>
            <w:vMerge w:val="restart"/>
          </w:tcPr>
          <w:p w14:paraId="263C808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Previous experiences</w:t>
            </w:r>
          </w:p>
        </w:tc>
        <w:tc>
          <w:tcPr>
            <w:tcW w:w="695" w:type="pct"/>
            <w:vMerge/>
          </w:tcPr>
          <w:p w14:paraId="7A1ACC1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7113CE5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O’mahen </w:t>
            </w:r>
            <w:r w:rsidRPr="007934B1">
              <w:rPr>
                <w:rFonts w:ascii="Times New Roman" w:hAnsi="Times New Roman" w:cs="Times New Roman"/>
                <w:noProof/>
                <w:color w:val="000000"/>
                <w:sz w:val="16"/>
                <w:szCs w:val="16"/>
              </w:rPr>
              <w:t>Button et al., 2017; Evans et al., 2020; Hadfield &amp; Wittkowski, 2017; Hansotte et al., 2017; Jones, 2019; Sorsa et al., 2021; Watson et al., 2019</w:t>
            </w:r>
          </w:p>
        </w:tc>
        <w:tc>
          <w:tcPr>
            <w:tcW w:w="580" w:type="pct"/>
            <w:shd w:val="clear" w:color="auto" w:fill="A5A5A5" w:themeFill="accent3"/>
          </w:tcPr>
          <w:p w14:paraId="1FE0C1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C6BD4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FC0D7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4295F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023893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seems to be relevant in NHS, universally funded and insurance services as well as eastern and wester</w:t>
            </w:r>
          </w:p>
        </w:tc>
      </w:tr>
      <w:tr w:rsidR="007934B1" w:rsidRPr="007934B1" w14:paraId="2D42BEEB" w14:textId="77777777" w:rsidTr="007934B1">
        <w:trPr>
          <w:trHeight w:val="290"/>
        </w:trPr>
        <w:tc>
          <w:tcPr>
            <w:tcW w:w="746" w:type="pct"/>
            <w:vMerge/>
          </w:tcPr>
          <w:p w14:paraId="519E27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B61CDE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22609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vMerge w:val="restart"/>
            <w:shd w:val="clear" w:color="auto" w:fill="auto"/>
          </w:tcPr>
          <w:p w14:paraId="78562EE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O MAHEN Button Hadfield Watson </w:t>
            </w:r>
          </w:p>
        </w:tc>
        <w:tc>
          <w:tcPr>
            <w:tcW w:w="607" w:type="pct"/>
            <w:vMerge w:val="restart"/>
            <w:shd w:val="clear" w:color="auto" w:fill="auto"/>
          </w:tcPr>
          <w:p w14:paraId="1D52C4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Evans Hansotte Sorsa</w:t>
            </w:r>
          </w:p>
        </w:tc>
        <w:tc>
          <w:tcPr>
            <w:tcW w:w="607" w:type="pct"/>
            <w:vMerge w:val="restart"/>
            <w:shd w:val="clear" w:color="auto" w:fill="auto"/>
          </w:tcPr>
          <w:p w14:paraId="0B5AF8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val="restart"/>
            <w:shd w:val="clear" w:color="auto" w:fill="auto"/>
          </w:tcPr>
          <w:p w14:paraId="3BF24B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Jones 19 </w:t>
            </w:r>
          </w:p>
        </w:tc>
        <w:tc>
          <w:tcPr>
            <w:tcW w:w="513" w:type="pct"/>
            <w:vMerge/>
          </w:tcPr>
          <w:p w14:paraId="594453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4200CC4" w14:textId="77777777" w:rsidTr="007934B1">
        <w:trPr>
          <w:trHeight w:val="290"/>
        </w:trPr>
        <w:tc>
          <w:tcPr>
            <w:tcW w:w="746" w:type="pct"/>
            <w:vMerge/>
          </w:tcPr>
          <w:p w14:paraId="74A30A2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DCA1A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D72AB4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vMerge/>
            <w:shd w:val="clear" w:color="auto" w:fill="auto"/>
          </w:tcPr>
          <w:p w14:paraId="73225C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083E99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6496A0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uto"/>
          </w:tcPr>
          <w:p w14:paraId="019271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A19A01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9F338CF" w14:textId="77777777" w:rsidTr="007934B1">
        <w:tc>
          <w:tcPr>
            <w:tcW w:w="746" w:type="pct"/>
            <w:vMerge/>
          </w:tcPr>
          <w:p w14:paraId="0C96A2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9D7A23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075D41F"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5A5A5" w:themeFill="accent3"/>
          </w:tcPr>
          <w:p w14:paraId="335764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AA743A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DDB6F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65367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8A9822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3CCC527" w14:textId="77777777" w:rsidTr="007934B1">
        <w:tc>
          <w:tcPr>
            <w:tcW w:w="746" w:type="pct"/>
            <w:vMerge/>
          </w:tcPr>
          <w:p w14:paraId="12D735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5394E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2808779"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77DA1B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 MAHEN Button Hadfield Watson</w:t>
            </w:r>
          </w:p>
        </w:tc>
        <w:tc>
          <w:tcPr>
            <w:tcW w:w="607" w:type="pct"/>
            <w:shd w:val="clear" w:color="auto" w:fill="auto"/>
          </w:tcPr>
          <w:p w14:paraId="055FCD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Evans Sorsa</w:t>
            </w:r>
          </w:p>
        </w:tc>
        <w:tc>
          <w:tcPr>
            <w:tcW w:w="607" w:type="pct"/>
            <w:shd w:val="clear" w:color="auto" w:fill="auto"/>
          </w:tcPr>
          <w:p w14:paraId="476D12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Jones 19</w:t>
            </w:r>
          </w:p>
        </w:tc>
        <w:tc>
          <w:tcPr>
            <w:tcW w:w="561" w:type="pct"/>
            <w:shd w:val="clear" w:color="auto" w:fill="auto"/>
          </w:tcPr>
          <w:p w14:paraId="3E7865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Hansotte</w:t>
            </w:r>
          </w:p>
        </w:tc>
        <w:tc>
          <w:tcPr>
            <w:tcW w:w="513" w:type="pct"/>
            <w:vMerge/>
          </w:tcPr>
          <w:p w14:paraId="2BDF625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B84B3C5" w14:textId="77777777" w:rsidTr="007934B1">
        <w:tc>
          <w:tcPr>
            <w:tcW w:w="746" w:type="pct"/>
            <w:vMerge w:val="restart"/>
          </w:tcPr>
          <w:p w14:paraId="51B4345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Previous diagnoses</w:t>
            </w:r>
          </w:p>
        </w:tc>
        <w:tc>
          <w:tcPr>
            <w:tcW w:w="695" w:type="pct"/>
            <w:vMerge/>
          </w:tcPr>
          <w:p w14:paraId="09480E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2C6A90E0"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Bina, 2020; </w:t>
            </w:r>
          </w:p>
        </w:tc>
        <w:tc>
          <w:tcPr>
            <w:tcW w:w="580" w:type="pct"/>
            <w:shd w:val="clear" w:color="auto" w:fill="A5A5A5" w:themeFill="accent3"/>
          </w:tcPr>
          <w:p w14:paraId="0F44B2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98FED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1843C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906152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0966E5A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Severe – </w:t>
            </w:r>
            <w:r w:rsidRPr="007934B1">
              <w:rPr>
                <w:rFonts w:ascii="Times New Roman" w:hAnsi="Times New Roman" w:cs="Times New Roman"/>
                <w:sz w:val="16"/>
                <w:szCs w:val="16"/>
              </w:rPr>
              <w:t>no direct relevance</w:t>
            </w:r>
          </w:p>
        </w:tc>
      </w:tr>
      <w:tr w:rsidR="007934B1" w:rsidRPr="007934B1" w14:paraId="297ADA6A" w14:textId="77777777" w:rsidTr="007934B1">
        <w:tc>
          <w:tcPr>
            <w:tcW w:w="746" w:type="pct"/>
            <w:vMerge/>
          </w:tcPr>
          <w:p w14:paraId="3CF17B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722D0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DAE357B"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0F46753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1D0BAE6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607" w:type="pct"/>
            <w:shd w:val="clear" w:color="auto" w:fill="auto"/>
          </w:tcPr>
          <w:p w14:paraId="642E5C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61A7B4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79BB821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6FC8774" w14:textId="77777777" w:rsidTr="007934B1">
        <w:tc>
          <w:tcPr>
            <w:tcW w:w="746" w:type="pct"/>
            <w:vMerge/>
          </w:tcPr>
          <w:p w14:paraId="6919EC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294A11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AF57861"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5A5A5" w:themeFill="accent3"/>
          </w:tcPr>
          <w:p w14:paraId="7617E6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DF183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54EB3B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7517B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BEC657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2859ED5" w14:textId="77777777" w:rsidTr="007934B1">
        <w:tc>
          <w:tcPr>
            <w:tcW w:w="746" w:type="pct"/>
            <w:vMerge/>
          </w:tcPr>
          <w:p w14:paraId="60E53A1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4F273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43671C0"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67B6D3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6BE18B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46A40B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1E58CC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FA405F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E8945DF" w14:textId="77777777" w:rsidTr="007934B1">
        <w:tc>
          <w:tcPr>
            <w:tcW w:w="746" w:type="pct"/>
            <w:shd w:val="clear" w:color="auto" w:fill="E7E6E6" w:themeFill="background2"/>
          </w:tcPr>
          <w:p w14:paraId="3B2B43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HCPS</w:t>
            </w:r>
          </w:p>
        </w:tc>
        <w:tc>
          <w:tcPr>
            <w:tcW w:w="695" w:type="pct"/>
            <w:shd w:val="clear" w:color="auto" w:fill="E7E6E6" w:themeFill="background2"/>
          </w:tcPr>
          <w:p w14:paraId="05D78A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shd w:val="clear" w:color="auto" w:fill="E7E6E6" w:themeFill="background2"/>
          </w:tcPr>
          <w:p w14:paraId="38E7E9D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E7E6E6" w:themeFill="background2"/>
          </w:tcPr>
          <w:p w14:paraId="3403E6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7E6E6" w:themeFill="background2"/>
          </w:tcPr>
          <w:p w14:paraId="14AAE7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7E6E6" w:themeFill="background2"/>
          </w:tcPr>
          <w:p w14:paraId="7B8C141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E7E6E6" w:themeFill="background2"/>
          </w:tcPr>
          <w:p w14:paraId="47EAB3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shd w:val="clear" w:color="auto" w:fill="E7E6E6" w:themeFill="background2"/>
          </w:tcPr>
          <w:p w14:paraId="11F63CD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5232595" w14:textId="77777777" w:rsidTr="007934B1">
        <w:tc>
          <w:tcPr>
            <w:tcW w:w="746" w:type="pct"/>
            <w:vMerge w:val="restart"/>
          </w:tcPr>
          <w:p w14:paraId="634A4B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Characteristics of healthcare professionals (n = 19) Characteristics of HCPs</w:t>
            </w:r>
          </w:p>
        </w:tc>
        <w:tc>
          <w:tcPr>
            <w:tcW w:w="695" w:type="pct"/>
            <w:vMerge w:val="restart"/>
          </w:tcPr>
          <w:p w14:paraId="343430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The way healthcare professionals acted towards women. For example, open, non-judgmental, willing to listen, motivated and interested healthcare professionals were valued by women, aided </w:t>
            </w:r>
            <w:r w:rsidRPr="007934B1">
              <w:rPr>
                <w:rFonts w:ascii="Times New Roman" w:hAnsi="Times New Roman" w:cs="Times New Roman"/>
                <w:sz w:val="16"/>
                <w:szCs w:val="16"/>
              </w:rPr>
              <w:lastRenderedPageBreak/>
              <w:t>implementation. Trustworthy, readily available, helpful, interested, nonjudgemental, understanding, caring, positive, empathetic, warm, above and beyond were all facilitators to PNMH access.</w:t>
            </w:r>
          </w:p>
        </w:tc>
        <w:tc>
          <w:tcPr>
            <w:tcW w:w="690" w:type="pct"/>
            <w:vMerge w:val="restart"/>
          </w:tcPr>
          <w:p w14:paraId="512B2A90"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lastRenderedPageBreak/>
              <w:t xml:space="preserve">Atif Boyd Chartier Doering Feinberg Kerker Gannan Higgins Judd Kim Leger Masood Munodawaf Myors Nithian Noonan Pugh Shorey Willioams Atif 2020 Stakeholders </w:t>
            </w:r>
            <w:r w:rsidRPr="007934B1">
              <w:rPr>
                <w:rFonts w:ascii="Times New Roman" w:hAnsi="Times New Roman" w:cs="Times New Roman"/>
                <w:noProof/>
                <w:color w:val="000000"/>
                <w:sz w:val="16"/>
                <w:szCs w:val="16"/>
              </w:rPr>
              <w:t xml:space="preserve">Brealey et al., 2010; </w:t>
            </w:r>
            <w:r w:rsidRPr="007934B1">
              <w:rPr>
                <w:rFonts w:ascii="Times New Roman" w:hAnsi="Times New Roman" w:cs="Times New Roman"/>
                <w:noProof/>
                <w:color w:val="000000"/>
                <w:sz w:val="16"/>
                <w:szCs w:val="16"/>
              </w:rPr>
              <w:lastRenderedPageBreak/>
              <w:t>Button et al., 2017; Dennis &amp; Chung-Lee, 2006; Forde et al., 2020; Hadfield &amp; Wittkowski, 2017; Hewitt et al., 2009; Megnin-Viggars et al., 2015; Morrell et al., 2016; Newman et al., 2019; Schmied et al., 2017; Slade et al., 2020; Staneva et al., 2015; Viveiros &amp; Darling, 2018</w:t>
            </w:r>
          </w:p>
        </w:tc>
        <w:tc>
          <w:tcPr>
            <w:tcW w:w="580" w:type="pct"/>
            <w:shd w:val="clear" w:color="auto" w:fill="A5A5A5" w:themeFill="accent3"/>
          </w:tcPr>
          <w:p w14:paraId="000CBC1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0397A54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BAC6B1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09602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5E173C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 xml:space="preserve"> seems to be relevant in NHS, universally funded and insurance services as well as eastern and wester and have relevance from SH meeting</w:t>
            </w:r>
          </w:p>
        </w:tc>
      </w:tr>
      <w:tr w:rsidR="007934B1" w:rsidRPr="007934B1" w14:paraId="311C0C3B" w14:textId="77777777" w:rsidTr="007934B1">
        <w:trPr>
          <w:trHeight w:val="290"/>
        </w:trPr>
        <w:tc>
          <w:tcPr>
            <w:tcW w:w="746" w:type="pct"/>
            <w:vMerge/>
          </w:tcPr>
          <w:p w14:paraId="406596E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459EF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94EC96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val="restart"/>
            <w:shd w:val="clear" w:color="auto" w:fill="auto"/>
          </w:tcPr>
          <w:p w14:paraId="3E9140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 Williams Brealey Button Forde Hadfield Hewitt Slade Viveiros Stakeholders</w:t>
            </w:r>
          </w:p>
        </w:tc>
        <w:tc>
          <w:tcPr>
            <w:tcW w:w="607" w:type="pct"/>
            <w:vMerge w:val="restart"/>
            <w:shd w:val="clear" w:color="auto" w:fill="auto"/>
          </w:tcPr>
          <w:p w14:paraId="656603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Chartier Doering Feinberg Kerke Ganann Higgins Judd Kim Leger Myors Nithianden Noonan Pugh Morrell Newman Staneva</w:t>
            </w:r>
          </w:p>
        </w:tc>
        <w:tc>
          <w:tcPr>
            <w:tcW w:w="607" w:type="pct"/>
            <w:vMerge w:val="restart"/>
            <w:shd w:val="clear" w:color="auto" w:fill="auto"/>
          </w:tcPr>
          <w:p w14:paraId="159A06B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Atif Atif 20 Munadowafa Shorey </w:t>
            </w:r>
          </w:p>
        </w:tc>
        <w:tc>
          <w:tcPr>
            <w:tcW w:w="561" w:type="pct"/>
            <w:vMerge w:val="restart"/>
            <w:shd w:val="clear" w:color="auto" w:fill="auto"/>
          </w:tcPr>
          <w:p w14:paraId="50FFFDC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Megnin</w:t>
            </w:r>
          </w:p>
        </w:tc>
        <w:tc>
          <w:tcPr>
            <w:tcW w:w="513" w:type="pct"/>
            <w:vMerge/>
          </w:tcPr>
          <w:p w14:paraId="07B7CC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1B49548" w14:textId="77777777" w:rsidTr="007934B1">
        <w:trPr>
          <w:trHeight w:val="290"/>
        </w:trPr>
        <w:tc>
          <w:tcPr>
            <w:tcW w:w="746" w:type="pct"/>
            <w:vMerge/>
          </w:tcPr>
          <w:p w14:paraId="1C0DF0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DCD59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9FE66E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shd w:val="clear" w:color="auto" w:fill="auto"/>
          </w:tcPr>
          <w:p w14:paraId="1FBF8FE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130069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11E707D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uto"/>
          </w:tcPr>
          <w:p w14:paraId="672438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739CCE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7B31019" w14:textId="77777777" w:rsidTr="007934B1">
        <w:tc>
          <w:tcPr>
            <w:tcW w:w="746" w:type="pct"/>
            <w:vMerge/>
          </w:tcPr>
          <w:p w14:paraId="67CFDC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C5D12E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9ABD91B"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0B48D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9A3F1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1863B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597A6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5DE2EB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CE420AC" w14:textId="77777777" w:rsidTr="007934B1">
        <w:tc>
          <w:tcPr>
            <w:tcW w:w="746" w:type="pct"/>
            <w:vMerge/>
          </w:tcPr>
          <w:p w14:paraId="0B7D855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97066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814EEBC"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761765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 Williams Brealey Button Forde Hadfield Hewitt Slade Viveiros</w:t>
            </w:r>
          </w:p>
        </w:tc>
        <w:tc>
          <w:tcPr>
            <w:tcW w:w="607" w:type="pct"/>
            <w:shd w:val="clear" w:color="auto" w:fill="auto"/>
          </w:tcPr>
          <w:p w14:paraId="7A8CC4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Higgins Judd Leger Myors Nithianden Noonan Pugh Munadowafa Shorey Morrell Newman Staneva</w:t>
            </w:r>
          </w:p>
        </w:tc>
        <w:tc>
          <w:tcPr>
            <w:tcW w:w="607" w:type="pct"/>
            <w:shd w:val="clear" w:color="auto" w:fill="auto"/>
          </w:tcPr>
          <w:p w14:paraId="055075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w:t>
            </w:r>
            <w:r w:rsidRPr="007934B1">
              <w:rPr>
                <w:rFonts w:ascii="Times New Roman" w:hAnsi="Times New Roman" w:cs="Times New Roman"/>
                <w:b/>
                <w:bCs/>
                <w:sz w:val="16"/>
                <w:szCs w:val="16"/>
              </w:rPr>
              <w:t xml:space="preserve">Dennis Megnin </w:t>
            </w:r>
          </w:p>
        </w:tc>
        <w:tc>
          <w:tcPr>
            <w:tcW w:w="561" w:type="pct"/>
            <w:shd w:val="clear" w:color="auto" w:fill="auto"/>
          </w:tcPr>
          <w:p w14:paraId="7AAC41A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Atif Atif 20 Boyd Doering Feinberg Kerke Ganann Kim rs </w:t>
            </w:r>
          </w:p>
        </w:tc>
        <w:tc>
          <w:tcPr>
            <w:tcW w:w="513" w:type="pct"/>
            <w:vMerge/>
          </w:tcPr>
          <w:p w14:paraId="3D5F52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3B4C7F9" w14:textId="77777777" w:rsidTr="007934B1">
        <w:tc>
          <w:tcPr>
            <w:tcW w:w="746" w:type="pct"/>
            <w:vMerge w:val="restart"/>
          </w:tcPr>
          <w:p w14:paraId="26C626C6" w14:textId="77777777" w:rsidR="000B75EB" w:rsidRPr="007934B1" w:rsidRDefault="000B75EB" w:rsidP="007934B1">
            <w:pPr>
              <w:pStyle w:val="ListParagraph"/>
              <w:spacing w:after="0" w:line="240" w:lineRule="auto"/>
              <w:ind w:left="0"/>
              <w:rPr>
                <w:rFonts w:ascii="Times New Roman" w:hAnsi="Times New Roman" w:cs="Times New Roman"/>
                <w:color w:val="000000"/>
                <w:sz w:val="16"/>
                <w:szCs w:val="16"/>
              </w:rPr>
            </w:pPr>
            <w:r w:rsidRPr="007934B1">
              <w:rPr>
                <w:rFonts w:ascii="Times New Roman" w:hAnsi="Times New Roman" w:cs="Times New Roman"/>
                <w:color w:val="000000"/>
                <w:sz w:val="16"/>
                <w:szCs w:val="16"/>
              </w:rPr>
              <w:t>HCP being dismissive or normalising symptoms</w:t>
            </w:r>
          </w:p>
        </w:tc>
        <w:tc>
          <w:tcPr>
            <w:tcW w:w="695" w:type="pct"/>
            <w:vMerge w:val="restart"/>
          </w:tcPr>
          <w:p w14:paraId="1ACA4DE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This prevented women from accessing care</w:t>
            </w:r>
          </w:p>
        </w:tc>
        <w:tc>
          <w:tcPr>
            <w:tcW w:w="690" w:type="pct"/>
            <w:vMerge w:val="restart"/>
          </w:tcPr>
          <w:p w14:paraId="5E1C4853"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Button et al., 2017; Dennis &amp; Chung-Lee, 2006; Forde et al., 2020; Hadfield &amp; Wittkowski, 2017; Hansotte et al., 2017; Megnin-Viggars et al., 2015; Newman et al., 2019; Sorsa et al., 2021; Watson et al., 2019 Stakeholder</w:t>
            </w:r>
          </w:p>
        </w:tc>
        <w:tc>
          <w:tcPr>
            <w:tcW w:w="580" w:type="pct"/>
            <w:shd w:val="clear" w:color="auto" w:fill="A5A5A5" w:themeFill="accent3"/>
          </w:tcPr>
          <w:p w14:paraId="7E0F801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3B156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355556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5F38B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0B388E3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 most UK NHS based plus stakeholder support </w:t>
            </w:r>
          </w:p>
        </w:tc>
      </w:tr>
      <w:tr w:rsidR="007934B1" w:rsidRPr="007934B1" w14:paraId="6B4479EA" w14:textId="77777777" w:rsidTr="007934B1">
        <w:tc>
          <w:tcPr>
            <w:tcW w:w="746" w:type="pct"/>
            <w:vMerge/>
          </w:tcPr>
          <w:p w14:paraId="196855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2B16C9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BA00777"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54B50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Forde Hadfield Watson sh</w:t>
            </w:r>
          </w:p>
        </w:tc>
        <w:tc>
          <w:tcPr>
            <w:tcW w:w="607" w:type="pct"/>
            <w:shd w:val="clear" w:color="auto" w:fill="auto"/>
          </w:tcPr>
          <w:p w14:paraId="756C4E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 Newman Sorsa</w:t>
            </w:r>
          </w:p>
        </w:tc>
        <w:tc>
          <w:tcPr>
            <w:tcW w:w="607" w:type="pct"/>
            <w:shd w:val="clear" w:color="auto" w:fill="auto"/>
          </w:tcPr>
          <w:p w14:paraId="571697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8C4FB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Megnin</w:t>
            </w:r>
          </w:p>
        </w:tc>
        <w:tc>
          <w:tcPr>
            <w:tcW w:w="513" w:type="pct"/>
            <w:vMerge/>
          </w:tcPr>
          <w:p w14:paraId="58024C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0C1C791" w14:textId="77777777" w:rsidTr="007934B1">
        <w:tc>
          <w:tcPr>
            <w:tcW w:w="746" w:type="pct"/>
            <w:vMerge/>
          </w:tcPr>
          <w:p w14:paraId="3D05E385" w14:textId="77777777" w:rsidR="000B75EB" w:rsidRPr="007934B1" w:rsidRDefault="000B75EB" w:rsidP="007934B1">
            <w:pPr>
              <w:pStyle w:val="ListParagraph"/>
              <w:spacing w:after="0" w:line="240" w:lineRule="auto"/>
              <w:ind w:left="0"/>
              <w:rPr>
                <w:rFonts w:ascii="Times New Roman" w:hAnsi="Times New Roman" w:cs="Times New Roman"/>
                <w:color w:val="000000"/>
                <w:sz w:val="16"/>
                <w:szCs w:val="16"/>
              </w:rPr>
            </w:pPr>
          </w:p>
        </w:tc>
        <w:tc>
          <w:tcPr>
            <w:tcW w:w="695" w:type="pct"/>
            <w:vMerge/>
          </w:tcPr>
          <w:p w14:paraId="25F6332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115C7E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6BA27C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39997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46433B4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C4545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892548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088C736" w14:textId="77777777" w:rsidTr="007934B1">
        <w:tc>
          <w:tcPr>
            <w:tcW w:w="746" w:type="pct"/>
            <w:vMerge/>
          </w:tcPr>
          <w:p w14:paraId="7511B733" w14:textId="77777777" w:rsidR="000B75EB" w:rsidRPr="007934B1" w:rsidRDefault="000B75EB" w:rsidP="007934B1">
            <w:pPr>
              <w:pStyle w:val="ListParagraph"/>
              <w:spacing w:after="0" w:line="240" w:lineRule="auto"/>
              <w:ind w:left="0"/>
              <w:rPr>
                <w:rFonts w:ascii="Times New Roman" w:hAnsi="Times New Roman" w:cs="Times New Roman"/>
                <w:color w:val="000000"/>
                <w:sz w:val="16"/>
                <w:szCs w:val="16"/>
              </w:rPr>
            </w:pPr>
          </w:p>
        </w:tc>
        <w:tc>
          <w:tcPr>
            <w:tcW w:w="695" w:type="pct"/>
            <w:vMerge/>
          </w:tcPr>
          <w:p w14:paraId="43AE223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A62F657"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1912C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Forde Hadfield Watson SH</w:t>
            </w:r>
          </w:p>
        </w:tc>
        <w:tc>
          <w:tcPr>
            <w:tcW w:w="607" w:type="pct"/>
            <w:shd w:val="clear" w:color="auto" w:fill="auto"/>
          </w:tcPr>
          <w:p w14:paraId="095548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Newman Sorsa</w:t>
            </w:r>
          </w:p>
        </w:tc>
        <w:tc>
          <w:tcPr>
            <w:tcW w:w="607" w:type="pct"/>
            <w:shd w:val="clear" w:color="auto" w:fill="auto"/>
          </w:tcPr>
          <w:p w14:paraId="27DC36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Dennis Megnin</w:t>
            </w:r>
          </w:p>
        </w:tc>
        <w:tc>
          <w:tcPr>
            <w:tcW w:w="561" w:type="pct"/>
            <w:shd w:val="clear" w:color="auto" w:fill="auto"/>
          </w:tcPr>
          <w:p w14:paraId="462549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w:t>
            </w:r>
          </w:p>
        </w:tc>
        <w:tc>
          <w:tcPr>
            <w:tcW w:w="513" w:type="pct"/>
            <w:vMerge/>
          </w:tcPr>
          <w:p w14:paraId="1F6FD69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B1BBB30" w14:textId="77777777" w:rsidTr="007934B1">
        <w:tc>
          <w:tcPr>
            <w:tcW w:w="746" w:type="pct"/>
            <w:vMerge w:val="restart"/>
          </w:tcPr>
          <w:p w14:paraId="3A4F205C" w14:textId="77777777" w:rsidR="000B75EB" w:rsidRPr="007934B1" w:rsidRDefault="000B75EB" w:rsidP="007934B1">
            <w:pPr>
              <w:pStyle w:val="ListParagraph"/>
              <w:spacing w:after="0" w:line="240" w:lineRule="auto"/>
              <w:ind w:left="0"/>
              <w:rPr>
                <w:rFonts w:ascii="Times New Roman" w:hAnsi="Times New Roman" w:cs="Times New Roman"/>
                <w:color w:val="000000"/>
                <w:sz w:val="16"/>
                <w:szCs w:val="16"/>
              </w:rPr>
            </w:pPr>
            <w:r w:rsidRPr="007934B1">
              <w:rPr>
                <w:rFonts w:ascii="Times New Roman" w:hAnsi="Times New Roman" w:cs="Times New Roman"/>
                <w:color w:val="000000"/>
                <w:sz w:val="16"/>
                <w:szCs w:val="16"/>
              </w:rPr>
              <w:t>The way the HCP delivers the care</w:t>
            </w:r>
          </w:p>
        </w:tc>
        <w:tc>
          <w:tcPr>
            <w:tcW w:w="695" w:type="pct"/>
            <w:vMerge w:val="restart"/>
          </w:tcPr>
          <w:p w14:paraId="089936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HCPs focussing on the infant, not asking about PNMH or asking in a tick-box way, not treating women as individuals and not being culturally sentitive were barriers to care</w:t>
            </w:r>
          </w:p>
        </w:tc>
        <w:tc>
          <w:tcPr>
            <w:tcW w:w="690" w:type="pct"/>
            <w:vMerge w:val="restart"/>
          </w:tcPr>
          <w:p w14:paraId="78D348BC"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Button et al., 2017; Forde et al., 2020; Kassam, 2019; Megnin-Viggars et al., 2015; Nilaweera et al., 2014; Schmied et al., 2017; Slade et al., 2020; Smith et al., 2019; Sorsa et al., 2021</w:t>
            </w:r>
          </w:p>
        </w:tc>
        <w:tc>
          <w:tcPr>
            <w:tcW w:w="580" w:type="pct"/>
            <w:shd w:val="clear" w:color="auto" w:fill="A5A5A5" w:themeFill="accent3"/>
          </w:tcPr>
          <w:p w14:paraId="5C9A55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7DC41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7D9B7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658EFA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CEE400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most directly relevant or partially relevant</w:t>
            </w:r>
          </w:p>
        </w:tc>
      </w:tr>
      <w:tr w:rsidR="007934B1" w:rsidRPr="007934B1" w14:paraId="551D4AD9" w14:textId="77777777" w:rsidTr="007934B1">
        <w:tc>
          <w:tcPr>
            <w:tcW w:w="746" w:type="pct"/>
            <w:vMerge/>
          </w:tcPr>
          <w:p w14:paraId="71E90E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4DB84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47DBE4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26F9BD6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Forde Slade Smith</w:t>
            </w:r>
          </w:p>
        </w:tc>
        <w:tc>
          <w:tcPr>
            <w:tcW w:w="607" w:type="pct"/>
            <w:shd w:val="clear" w:color="auto" w:fill="auto"/>
          </w:tcPr>
          <w:p w14:paraId="55E3EB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Kassam Nilaweera Schmied Sorsa</w:t>
            </w:r>
          </w:p>
        </w:tc>
        <w:tc>
          <w:tcPr>
            <w:tcW w:w="607" w:type="pct"/>
            <w:shd w:val="clear" w:color="auto" w:fill="auto"/>
          </w:tcPr>
          <w:p w14:paraId="23DA6A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D3EEA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41A795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4EB782F" w14:textId="77777777" w:rsidTr="007934B1">
        <w:tc>
          <w:tcPr>
            <w:tcW w:w="746" w:type="pct"/>
            <w:vMerge/>
          </w:tcPr>
          <w:p w14:paraId="5FCD3A27" w14:textId="77777777" w:rsidR="000B75EB" w:rsidRPr="007934B1" w:rsidRDefault="000B75EB" w:rsidP="007934B1">
            <w:pPr>
              <w:pStyle w:val="ListParagraph"/>
              <w:spacing w:after="0" w:line="240" w:lineRule="auto"/>
              <w:ind w:left="0"/>
              <w:rPr>
                <w:rFonts w:ascii="Times New Roman" w:hAnsi="Times New Roman" w:cs="Times New Roman"/>
                <w:color w:val="000000"/>
                <w:sz w:val="16"/>
                <w:szCs w:val="16"/>
              </w:rPr>
            </w:pPr>
          </w:p>
        </w:tc>
        <w:tc>
          <w:tcPr>
            <w:tcW w:w="695" w:type="pct"/>
            <w:vMerge/>
          </w:tcPr>
          <w:p w14:paraId="5F3CC3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921536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4E8A9D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6C21E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00667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0B8CB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C67CB3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DF31CC6" w14:textId="77777777" w:rsidTr="007934B1">
        <w:tc>
          <w:tcPr>
            <w:tcW w:w="746" w:type="pct"/>
            <w:vMerge/>
          </w:tcPr>
          <w:p w14:paraId="386E8B4D" w14:textId="77777777" w:rsidR="000B75EB" w:rsidRPr="007934B1" w:rsidRDefault="000B75EB" w:rsidP="007934B1">
            <w:pPr>
              <w:pStyle w:val="ListParagraph"/>
              <w:spacing w:after="0" w:line="240" w:lineRule="auto"/>
              <w:ind w:left="0"/>
              <w:rPr>
                <w:rFonts w:ascii="Times New Roman" w:hAnsi="Times New Roman" w:cs="Times New Roman"/>
                <w:color w:val="000000"/>
                <w:sz w:val="16"/>
                <w:szCs w:val="16"/>
              </w:rPr>
            </w:pPr>
          </w:p>
        </w:tc>
        <w:tc>
          <w:tcPr>
            <w:tcW w:w="695" w:type="pct"/>
            <w:vMerge/>
          </w:tcPr>
          <w:p w14:paraId="03E2D5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032CD9C"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2806A3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Forde Slade Smith</w:t>
            </w:r>
          </w:p>
        </w:tc>
        <w:tc>
          <w:tcPr>
            <w:tcW w:w="607" w:type="pct"/>
            <w:shd w:val="clear" w:color="auto" w:fill="auto"/>
          </w:tcPr>
          <w:p w14:paraId="21ABF6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Kassam Nilaweera Schmied Sorsa</w:t>
            </w:r>
          </w:p>
        </w:tc>
        <w:tc>
          <w:tcPr>
            <w:tcW w:w="607" w:type="pct"/>
            <w:shd w:val="clear" w:color="auto" w:fill="auto"/>
          </w:tcPr>
          <w:p w14:paraId="5D1F9FA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Megnin</w:t>
            </w:r>
          </w:p>
        </w:tc>
        <w:tc>
          <w:tcPr>
            <w:tcW w:w="561" w:type="pct"/>
            <w:shd w:val="clear" w:color="auto" w:fill="auto"/>
          </w:tcPr>
          <w:p w14:paraId="213D78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E4E53D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6C28015" w14:textId="77777777" w:rsidTr="007934B1">
        <w:tc>
          <w:tcPr>
            <w:tcW w:w="746" w:type="pct"/>
            <w:vMerge w:val="restart"/>
          </w:tcPr>
          <w:p w14:paraId="62A39E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Collaborative working (n = 18)</w:t>
            </w:r>
          </w:p>
        </w:tc>
        <w:tc>
          <w:tcPr>
            <w:tcW w:w="695" w:type="pct"/>
            <w:vMerge w:val="restart"/>
          </w:tcPr>
          <w:p w14:paraId="39F965F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Healthcare professionals working together to improve care for women.</w:t>
            </w:r>
          </w:p>
        </w:tc>
        <w:tc>
          <w:tcPr>
            <w:tcW w:w="690" w:type="pct"/>
            <w:vMerge w:val="restart"/>
          </w:tcPr>
          <w:p w14:paraId="2FCA9C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Boyds Byatt Cox Eappen Feinberg Ganann Higgins Judd Kerker Lind Lomonaco Munodawafa Myors Nithianden Noonan Rowan Willey Stakeholder</w:t>
            </w:r>
          </w:p>
        </w:tc>
        <w:tc>
          <w:tcPr>
            <w:tcW w:w="580" w:type="pct"/>
            <w:shd w:val="clear" w:color="auto" w:fill="A5A5A5" w:themeFill="accent3"/>
          </w:tcPr>
          <w:p w14:paraId="0AD2D7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5A3203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E17FD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9708C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DBE40A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although most are partially relevant, rown fits and we have real life examples from the stakeholder meetings</w:t>
            </w:r>
          </w:p>
        </w:tc>
      </w:tr>
      <w:tr w:rsidR="007934B1" w:rsidRPr="007934B1" w14:paraId="0A8B4E4D" w14:textId="77777777" w:rsidTr="007934B1">
        <w:tc>
          <w:tcPr>
            <w:tcW w:w="746" w:type="pct"/>
            <w:vMerge/>
          </w:tcPr>
          <w:p w14:paraId="4EB8A1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C2375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74DAC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19CCF5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 Rowan</w:t>
            </w:r>
          </w:p>
        </w:tc>
        <w:tc>
          <w:tcPr>
            <w:tcW w:w="607" w:type="pct"/>
            <w:shd w:val="clear" w:color="auto" w:fill="auto"/>
          </w:tcPr>
          <w:p w14:paraId="66FEF6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Ammermna Boyd Byatt Chartier Cox Ganann Higgins Judd Feinberg Myors Nithianden Noonan Willey Kerker</w:t>
            </w:r>
          </w:p>
        </w:tc>
        <w:tc>
          <w:tcPr>
            <w:tcW w:w="607" w:type="pct"/>
            <w:shd w:val="clear" w:color="auto" w:fill="auto"/>
          </w:tcPr>
          <w:p w14:paraId="5E49CA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Eappen Munodawafa </w:t>
            </w:r>
          </w:p>
        </w:tc>
        <w:tc>
          <w:tcPr>
            <w:tcW w:w="561" w:type="pct"/>
            <w:shd w:val="clear" w:color="auto" w:fill="auto"/>
          </w:tcPr>
          <w:p w14:paraId="4FE0C1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7C7409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D01CEDF" w14:textId="77777777" w:rsidTr="007934B1">
        <w:tc>
          <w:tcPr>
            <w:tcW w:w="746" w:type="pct"/>
            <w:vMerge/>
          </w:tcPr>
          <w:p w14:paraId="1D47A4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06E97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DC00CE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1BBB81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371B8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CBFEF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A5B80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367B7C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E938F9C" w14:textId="77777777" w:rsidTr="007934B1">
        <w:tc>
          <w:tcPr>
            <w:tcW w:w="746" w:type="pct"/>
            <w:vMerge/>
          </w:tcPr>
          <w:p w14:paraId="1969ED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FC41D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1A78067"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1F5E6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 Rowan</w:t>
            </w:r>
          </w:p>
        </w:tc>
        <w:tc>
          <w:tcPr>
            <w:tcW w:w="607" w:type="pct"/>
            <w:shd w:val="clear" w:color="auto" w:fill="auto"/>
          </w:tcPr>
          <w:p w14:paraId="11A347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Chartier Higgins Judd Munodawafa Noonan Willey </w:t>
            </w:r>
          </w:p>
        </w:tc>
        <w:tc>
          <w:tcPr>
            <w:tcW w:w="607" w:type="pct"/>
            <w:shd w:val="clear" w:color="auto" w:fill="auto"/>
          </w:tcPr>
          <w:p w14:paraId="400524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05593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Ammerman Boyd Byatt Cox Gannan Feinberg Kerker Lind Lomanoco </w:t>
            </w:r>
          </w:p>
        </w:tc>
        <w:tc>
          <w:tcPr>
            <w:tcW w:w="513" w:type="pct"/>
            <w:vMerge/>
          </w:tcPr>
          <w:p w14:paraId="0E0EF32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2148E4D" w14:textId="77777777" w:rsidTr="007934B1">
        <w:tc>
          <w:tcPr>
            <w:tcW w:w="746" w:type="pct"/>
            <w:vMerge w:val="restart"/>
          </w:tcPr>
          <w:p w14:paraId="2DF94F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Communication between healthcare professionals (n = 10) </w:t>
            </w:r>
          </w:p>
        </w:tc>
        <w:tc>
          <w:tcPr>
            <w:tcW w:w="695" w:type="pct"/>
            <w:vMerge w:val="restart"/>
          </w:tcPr>
          <w:p w14:paraId="5069F1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Clear communication amongst healthcare professionals.</w:t>
            </w:r>
          </w:p>
        </w:tc>
        <w:tc>
          <w:tcPr>
            <w:tcW w:w="690" w:type="pct"/>
            <w:vMerge w:val="restart"/>
          </w:tcPr>
          <w:p w14:paraId="0B69603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Byatt Cox Eappen Lind Mckenzie </w:t>
            </w:r>
            <w:r w:rsidRPr="007934B1">
              <w:rPr>
                <w:rFonts w:ascii="Times New Roman" w:hAnsi="Times New Roman" w:cs="Times New Roman"/>
                <w:sz w:val="16"/>
                <w:szCs w:val="16"/>
              </w:rPr>
              <w:lastRenderedPageBreak/>
              <w:t>Nithiandan Orsmby Riwan Segre Stakeholders</w:t>
            </w:r>
          </w:p>
        </w:tc>
        <w:tc>
          <w:tcPr>
            <w:tcW w:w="580" w:type="pct"/>
            <w:shd w:val="clear" w:color="auto" w:fill="A5A5A5" w:themeFill="accent3"/>
          </w:tcPr>
          <w:p w14:paraId="649C63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5E8F45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3975AF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2E9F0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3A9545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 although most are partially </w:t>
            </w:r>
            <w:r w:rsidRPr="007934B1">
              <w:rPr>
                <w:rFonts w:ascii="Times New Roman" w:hAnsi="Times New Roman" w:cs="Times New Roman"/>
                <w:sz w:val="16"/>
                <w:szCs w:val="16"/>
              </w:rPr>
              <w:lastRenderedPageBreak/>
              <w:t xml:space="preserve">relevant, rown fits and we have real life examples from the stakeholder meetings </w:t>
            </w:r>
          </w:p>
        </w:tc>
      </w:tr>
      <w:tr w:rsidR="007934B1" w:rsidRPr="007934B1" w14:paraId="4332CD9A" w14:textId="77777777" w:rsidTr="007934B1">
        <w:tc>
          <w:tcPr>
            <w:tcW w:w="746" w:type="pct"/>
            <w:vMerge/>
          </w:tcPr>
          <w:p w14:paraId="49A408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4F538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E7B65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1EE695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McKenzie Rowan SH </w:t>
            </w:r>
          </w:p>
        </w:tc>
        <w:tc>
          <w:tcPr>
            <w:tcW w:w="607" w:type="pct"/>
            <w:shd w:val="clear" w:color="auto" w:fill="auto"/>
          </w:tcPr>
          <w:p w14:paraId="0EFF0A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Byatt Cox Lind Nithianden Ormsby Segre</w:t>
            </w:r>
          </w:p>
        </w:tc>
        <w:tc>
          <w:tcPr>
            <w:tcW w:w="607" w:type="pct"/>
            <w:shd w:val="clear" w:color="auto" w:fill="auto"/>
          </w:tcPr>
          <w:p w14:paraId="694982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Eappen </w:t>
            </w:r>
          </w:p>
        </w:tc>
        <w:tc>
          <w:tcPr>
            <w:tcW w:w="561" w:type="pct"/>
            <w:shd w:val="clear" w:color="auto" w:fill="auto"/>
          </w:tcPr>
          <w:p w14:paraId="442A4C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5C9A1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16DEE77" w14:textId="77777777" w:rsidTr="007934B1">
        <w:tc>
          <w:tcPr>
            <w:tcW w:w="746" w:type="pct"/>
            <w:vMerge/>
          </w:tcPr>
          <w:p w14:paraId="0F065ACD"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01D613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CB2773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359325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690293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2EB04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D1264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5A2CBB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87350EB" w14:textId="77777777" w:rsidTr="007934B1">
        <w:tc>
          <w:tcPr>
            <w:tcW w:w="746" w:type="pct"/>
            <w:vMerge/>
          </w:tcPr>
          <w:p w14:paraId="316233E8"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1F6E1B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E25D85B"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CEA0D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 Rowan SH</w:t>
            </w:r>
          </w:p>
        </w:tc>
        <w:tc>
          <w:tcPr>
            <w:tcW w:w="607" w:type="pct"/>
            <w:shd w:val="clear" w:color="auto" w:fill="auto"/>
          </w:tcPr>
          <w:p w14:paraId="6A0563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Nithianden Ormsby </w:t>
            </w:r>
          </w:p>
        </w:tc>
        <w:tc>
          <w:tcPr>
            <w:tcW w:w="607" w:type="pct"/>
            <w:shd w:val="clear" w:color="auto" w:fill="auto"/>
          </w:tcPr>
          <w:p w14:paraId="6BC53E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Eappen</w:t>
            </w:r>
          </w:p>
        </w:tc>
        <w:tc>
          <w:tcPr>
            <w:tcW w:w="561" w:type="pct"/>
            <w:shd w:val="clear" w:color="auto" w:fill="auto"/>
          </w:tcPr>
          <w:p w14:paraId="08F0C5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Byatt Cox Lind Segre</w:t>
            </w:r>
          </w:p>
        </w:tc>
        <w:tc>
          <w:tcPr>
            <w:tcW w:w="513" w:type="pct"/>
            <w:vMerge/>
          </w:tcPr>
          <w:p w14:paraId="17D3EE8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9F86189" w14:textId="77777777" w:rsidTr="007934B1">
        <w:tc>
          <w:tcPr>
            <w:tcW w:w="746" w:type="pct"/>
            <w:vMerge w:val="restart"/>
          </w:tcPr>
          <w:p w14:paraId="3AF41B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Confidence of healthcare providers  (n = 12)</w:t>
            </w:r>
          </w:p>
        </w:tc>
        <w:tc>
          <w:tcPr>
            <w:tcW w:w="695" w:type="pct"/>
            <w:vMerge w:val="restart"/>
          </w:tcPr>
          <w:p w14:paraId="41E1AF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Healthcare professional’s belief in their ability to provide the care being offered to women.</w:t>
            </w:r>
          </w:p>
        </w:tc>
        <w:tc>
          <w:tcPr>
            <w:tcW w:w="690" w:type="pct"/>
            <w:vMerge w:val="restart"/>
          </w:tcPr>
          <w:p w14:paraId="0A1089E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2020 Beeber  Bina Cox Fernandez Higgins Munodawara Nithianden Ormsby Reed Vik Stakeholders</w:t>
            </w:r>
          </w:p>
        </w:tc>
        <w:tc>
          <w:tcPr>
            <w:tcW w:w="580" w:type="pct"/>
            <w:shd w:val="clear" w:color="auto" w:fill="A5A5A5" w:themeFill="accent3"/>
          </w:tcPr>
          <w:p w14:paraId="3788237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CC541F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3680108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6A079BB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40ED483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w:t>
            </w:r>
            <w:r w:rsidRPr="007934B1">
              <w:rPr>
                <w:rFonts w:ascii="Times New Roman" w:hAnsi="Times New Roman" w:cs="Times New Roman"/>
                <w:sz w:val="16"/>
                <w:szCs w:val="16"/>
              </w:rPr>
              <w:t xml:space="preserve"> none directly relevant, but some partially relevant stakeholders suggested training so HCP don’t have fear if someone mentions PNMI</w:t>
            </w:r>
          </w:p>
        </w:tc>
      </w:tr>
      <w:tr w:rsidR="007934B1" w:rsidRPr="007934B1" w14:paraId="33325C4E" w14:textId="77777777" w:rsidTr="007934B1">
        <w:tc>
          <w:tcPr>
            <w:tcW w:w="746" w:type="pct"/>
            <w:vMerge/>
          </w:tcPr>
          <w:p w14:paraId="78C2B2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050D5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81D86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3FAB5B1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SH</w:t>
            </w:r>
          </w:p>
        </w:tc>
        <w:tc>
          <w:tcPr>
            <w:tcW w:w="607" w:type="pct"/>
            <w:shd w:val="clear" w:color="auto" w:fill="auto"/>
          </w:tcPr>
          <w:p w14:paraId="2BD148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Beeber Cox Fernandez Higgins Nithianden Ormsby Reed Vik </w:t>
            </w:r>
          </w:p>
        </w:tc>
        <w:tc>
          <w:tcPr>
            <w:tcW w:w="607" w:type="pct"/>
            <w:shd w:val="clear" w:color="auto" w:fill="auto"/>
          </w:tcPr>
          <w:p w14:paraId="16CBF9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Bina Munodowafa</w:t>
            </w:r>
          </w:p>
        </w:tc>
        <w:tc>
          <w:tcPr>
            <w:tcW w:w="561" w:type="pct"/>
            <w:shd w:val="clear" w:color="auto" w:fill="auto"/>
          </w:tcPr>
          <w:p w14:paraId="2A2E066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42B84B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C5F360E" w14:textId="77777777" w:rsidTr="007934B1">
        <w:tc>
          <w:tcPr>
            <w:tcW w:w="746" w:type="pct"/>
            <w:vMerge/>
          </w:tcPr>
          <w:p w14:paraId="2E0BEFA8"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1AF5D9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49D12B7"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78E3F0D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B9B335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C0D2BC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056553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1B0F7DF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91D7CE5" w14:textId="77777777" w:rsidTr="007934B1">
        <w:tc>
          <w:tcPr>
            <w:tcW w:w="746" w:type="pct"/>
            <w:vMerge/>
          </w:tcPr>
          <w:p w14:paraId="2BA99712"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24155B2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2573AF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77EE8D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07" w:type="pct"/>
            <w:shd w:val="clear" w:color="auto" w:fill="auto"/>
          </w:tcPr>
          <w:p w14:paraId="6AB7F7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Munodawafa Higgins Niathianden Ormsby Reed Vik</w:t>
            </w:r>
          </w:p>
        </w:tc>
        <w:tc>
          <w:tcPr>
            <w:tcW w:w="607" w:type="pct"/>
            <w:shd w:val="clear" w:color="auto" w:fill="auto"/>
          </w:tcPr>
          <w:p w14:paraId="2E9C9A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w:t>
            </w:r>
          </w:p>
        </w:tc>
        <w:tc>
          <w:tcPr>
            <w:tcW w:w="561" w:type="pct"/>
            <w:shd w:val="clear" w:color="auto" w:fill="auto"/>
          </w:tcPr>
          <w:p w14:paraId="48E94C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Atif Beeber Cox Fernandez </w:t>
            </w:r>
          </w:p>
        </w:tc>
        <w:tc>
          <w:tcPr>
            <w:tcW w:w="513" w:type="pct"/>
            <w:vMerge/>
          </w:tcPr>
          <w:p w14:paraId="3917978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7C69C7F" w14:textId="77777777" w:rsidTr="007934B1">
        <w:tc>
          <w:tcPr>
            <w:tcW w:w="746" w:type="pct"/>
            <w:vMerge w:val="restart"/>
          </w:tcPr>
          <w:p w14:paraId="5B4D4F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Dedicated person to act as women’s advocate (n = 7)</w:t>
            </w:r>
          </w:p>
        </w:tc>
        <w:tc>
          <w:tcPr>
            <w:tcW w:w="695" w:type="pct"/>
            <w:vMerge w:val="restart"/>
          </w:tcPr>
          <w:p w14:paraId="3FEB35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Someone who can explain the process of the service and who is there for women throughout the care pathway. </w:t>
            </w:r>
          </w:p>
        </w:tc>
        <w:tc>
          <w:tcPr>
            <w:tcW w:w="690" w:type="pct"/>
            <w:vMerge w:val="restart"/>
          </w:tcPr>
          <w:p w14:paraId="3D7218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Lomonoco haycroft Chartier Kim Ganann Nithian Rowan Willey Bina (SR)</w:t>
            </w:r>
          </w:p>
        </w:tc>
        <w:tc>
          <w:tcPr>
            <w:tcW w:w="580" w:type="pct"/>
            <w:shd w:val="clear" w:color="auto" w:fill="A5A5A5" w:themeFill="accent3"/>
          </w:tcPr>
          <w:p w14:paraId="5D2760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AB3DF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184B8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B93DA3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227B13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only one directly linked, but linked to universal govt funded health services and services in western countries </w:t>
            </w:r>
          </w:p>
        </w:tc>
      </w:tr>
      <w:tr w:rsidR="007934B1" w:rsidRPr="007934B1" w14:paraId="1A90632F" w14:textId="77777777" w:rsidTr="007934B1">
        <w:tc>
          <w:tcPr>
            <w:tcW w:w="746" w:type="pct"/>
            <w:vMerge/>
          </w:tcPr>
          <w:p w14:paraId="696E5D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A1414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F640A5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3BEE2F4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w:t>
            </w:r>
          </w:p>
        </w:tc>
        <w:tc>
          <w:tcPr>
            <w:tcW w:w="607" w:type="pct"/>
            <w:shd w:val="clear" w:color="auto" w:fill="auto"/>
          </w:tcPr>
          <w:p w14:paraId="3B99B3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Lomanco Chartier Kim Ganann Nithianden Willey Bina (sr)</w:t>
            </w:r>
          </w:p>
        </w:tc>
        <w:tc>
          <w:tcPr>
            <w:tcW w:w="607" w:type="pct"/>
            <w:shd w:val="clear" w:color="auto" w:fill="auto"/>
          </w:tcPr>
          <w:p w14:paraId="1276F3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85EF6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E1AF0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D580F02" w14:textId="77777777" w:rsidTr="007934B1">
        <w:tc>
          <w:tcPr>
            <w:tcW w:w="746" w:type="pct"/>
            <w:vMerge/>
          </w:tcPr>
          <w:p w14:paraId="3039D4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596FE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CB29C8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6B2C02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277DD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B86421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8A172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4B34B2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90FAF64" w14:textId="77777777" w:rsidTr="007934B1">
        <w:tc>
          <w:tcPr>
            <w:tcW w:w="746" w:type="pct"/>
            <w:vMerge/>
          </w:tcPr>
          <w:p w14:paraId="16449D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1651A1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EA7569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4B20E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w:t>
            </w:r>
          </w:p>
        </w:tc>
        <w:tc>
          <w:tcPr>
            <w:tcW w:w="607" w:type="pct"/>
            <w:shd w:val="clear" w:color="auto" w:fill="auto"/>
          </w:tcPr>
          <w:p w14:paraId="6DEE21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Nithianden Willey</w:t>
            </w:r>
          </w:p>
        </w:tc>
        <w:tc>
          <w:tcPr>
            <w:tcW w:w="607" w:type="pct"/>
            <w:shd w:val="clear" w:color="auto" w:fill="auto"/>
          </w:tcPr>
          <w:p w14:paraId="63913F1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62DC0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Lomanoco Kim Ganann</w:t>
            </w:r>
          </w:p>
        </w:tc>
        <w:tc>
          <w:tcPr>
            <w:tcW w:w="513" w:type="pct"/>
            <w:vMerge/>
          </w:tcPr>
          <w:p w14:paraId="342BA2C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712D8C0" w14:textId="77777777" w:rsidTr="007934B1">
        <w:tc>
          <w:tcPr>
            <w:tcW w:w="746" w:type="pct"/>
            <w:vMerge w:val="restart"/>
          </w:tcPr>
          <w:p w14:paraId="39C84A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Heavy workload (n = 20)</w:t>
            </w:r>
          </w:p>
        </w:tc>
        <w:tc>
          <w:tcPr>
            <w:tcW w:w="695" w:type="pct"/>
            <w:vMerge w:val="restart"/>
          </w:tcPr>
          <w:p w14:paraId="53E57CE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 heavy workload or not enough time to provide the care being offered by the service was a barrier to implementation and HCP appearing to busy to women was a barrier to PNMH access.</w:t>
            </w:r>
          </w:p>
        </w:tc>
        <w:tc>
          <w:tcPr>
            <w:tcW w:w="690" w:type="pct"/>
            <w:vMerge w:val="restart"/>
          </w:tcPr>
          <w:p w14:paraId="25F6852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Bina Drozd Eappen Feinberg Fernandez Gannan Higgins Kerker Kim McCauley McKenzie Nakku Nithianden Noonan Rowan Shorey Vik Willey Stakeholders</w:t>
            </w:r>
          </w:p>
        </w:tc>
        <w:tc>
          <w:tcPr>
            <w:tcW w:w="580" w:type="pct"/>
            <w:shd w:val="clear" w:color="auto" w:fill="A5A5A5" w:themeFill="accent3"/>
          </w:tcPr>
          <w:p w14:paraId="7D5E5E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86C10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4C686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F31BE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269273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 universal + support from SHs</w:t>
            </w:r>
          </w:p>
        </w:tc>
      </w:tr>
      <w:tr w:rsidR="007934B1" w:rsidRPr="007934B1" w14:paraId="6144E882" w14:textId="77777777" w:rsidTr="007934B1">
        <w:tc>
          <w:tcPr>
            <w:tcW w:w="746" w:type="pct"/>
            <w:vMerge/>
          </w:tcPr>
          <w:p w14:paraId="591221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78FBC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0517F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6192C3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 Rowan</w:t>
            </w:r>
          </w:p>
        </w:tc>
        <w:tc>
          <w:tcPr>
            <w:tcW w:w="607" w:type="pct"/>
            <w:shd w:val="clear" w:color="auto" w:fill="auto"/>
          </w:tcPr>
          <w:p w14:paraId="566301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Ammerman Drozd Feinberg Fernandez Ganann Higgins Kerker Kim Nithianden Vik Willey </w:t>
            </w:r>
          </w:p>
        </w:tc>
        <w:tc>
          <w:tcPr>
            <w:tcW w:w="607" w:type="pct"/>
            <w:shd w:val="clear" w:color="auto" w:fill="auto"/>
          </w:tcPr>
          <w:p w14:paraId="2F3223D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McCauley Nakku Shorey Eappen</w:t>
            </w:r>
          </w:p>
        </w:tc>
        <w:tc>
          <w:tcPr>
            <w:tcW w:w="561" w:type="pct"/>
            <w:shd w:val="clear" w:color="auto" w:fill="auto"/>
          </w:tcPr>
          <w:p w14:paraId="319519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00A2B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0368C8D" w14:textId="77777777" w:rsidTr="007934B1">
        <w:tc>
          <w:tcPr>
            <w:tcW w:w="746" w:type="pct"/>
            <w:vMerge/>
          </w:tcPr>
          <w:p w14:paraId="2B98BE4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DC7CD8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525A9C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60EF5E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A1311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881A14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015B3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B8D8BB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9AF9EE8" w14:textId="77777777" w:rsidTr="007934B1">
        <w:tc>
          <w:tcPr>
            <w:tcW w:w="746" w:type="pct"/>
            <w:vMerge/>
          </w:tcPr>
          <w:p w14:paraId="77BAF4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A45DF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5A0114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8C4A8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 Rowan</w:t>
            </w:r>
          </w:p>
        </w:tc>
        <w:tc>
          <w:tcPr>
            <w:tcW w:w="607" w:type="pct"/>
            <w:shd w:val="clear" w:color="auto" w:fill="auto"/>
          </w:tcPr>
          <w:p w14:paraId="1B8384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Drozd Higgins Nithianden Noonan Shorey Vik Wiley</w:t>
            </w:r>
          </w:p>
        </w:tc>
        <w:tc>
          <w:tcPr>
            <w:tcW w:w="607" w:type="pct"/>
            <w:shd w:val="clear" w:color="auto" w:fill="auto"/>
          </w:tcPr>
          <w:p w14:paraId="1F74EF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Eappen</w:t>
            </w:r>
          </w:p>
        </w:tc>
        <w:tc>
          <w:tcPr>
            <w:tcW w:w="561" w:type="pct"/>
            <w:shd w:val="clear" w:color="auto" w:fill="auto"/>
          </w:tcPr>
          <w:p w14:paraId="6415DFF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Feinberg Fernande Ganann Kerker Kim McCauley Nakku</w:t>
            </w:r>
          </w:p>
        </w:tc>
        <w:tc>
          <w:tcPr>
            <w:tcW w:w="513" w:type="pct"/>
            <w:vMerge/>
          </w:tcPr>
          <w:p w14:paraId="363CE87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BC2D163" w14:textId="77777777" w:rsidTr="007934B1">
        <w:tc>
          <w:tcPr>
            <w:tcW w:w="746" w:type="pct"/>
            <w:vMerge w:val="restart"/>
          </w:tcPr>
          <w:p w14:paraId="41701D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HCP appearing too busy from women’s perspective</w:t>
            </w:r>
          </w:p>
        </w:tc>
        <w:tc>
          <w:tcPr>
            <w:tcW w:w="695" w:type="pct"/>
            <w:vMerge/>
          </w:tcPr>
          <w:p w14:paraId="05295F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1F31E527"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Bina, 2020; Button et al., 2017; Dennis &amp; Chung-Lee, 2006; Hewitt et al., 2009; Megnin-Viggars et al., 2015; Slade et al., </w:t>
            </w:r>
            <w:r w:rsidRPr="007934B1">
              <w:rPr>
                <w:rFonts w:ascii="Times New Roman" w:hAnsi="Times New Roman" w:cs="Times New Roman"/>
                <w:noProof/>
                <w:color w:val="000000"/>
                <w:sz w:val="16"/>
                <w:szCs w:val="16"/>
              </w:rPr>
              <w:lastRenderedPageBreak/>
              <w:t>2020; Viveiros &amp; Darling, 2018; Watson et al., 2019</w:t>
            </w:r>
          </w:p>
        </w:tc>
        <w:tc>
          <w:tcPr>
            <w:tcW w:w="580" w:type="pct"/>
            <w:shd w:val="clear" w:color="auto" w:fill="A5A5A5" w:themeFill="accent3"/>
          </w:tcPr>
          <w:p w14:paraId="5830BC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60CD57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09322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67B213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5A811E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 xml:space="preserve"> - all the ones where it is clear the ocation all suggest this</w:t>
            </w:r>
          </w:p>
        </w:tc>
      </w:tr>
      <w:tr w:rsidR="007934B1" w:rsidRPr="007934B1" w14:paraId="567C6D02" w14:textId="77777777" w:rsidTr="007934B1">
        <w:tc>
          <w:tcPr>
            <w:tcW w:w="746" w:type="pct"/>
            <w:vMerge/>
          </w:tcPr>
          <w:p w14:paraId="4BE784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BE545A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5AD376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1329B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Hewitt Slade Viveiros Watson</w:t>
            </w:r>
          </w:p>
        </w:tc>
        <w:tc>
          <w:tcPr>
            <w:tcW w:w="607" w:type="pct"/>
            <w:shd w:val="clear" w:color="auto" w:fill="auto"/>
          </w:tcPr>
          <w:p w14:paraId="5D76AD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2CF20B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CA4DB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Dennis Megnin </w:t>
            </w:r>
          </w:p>
        </w:tc>
        <w:tc>
          <w:tcPr>
            <w:tcW w:w="513" w:type="pct"/>
            <w:vMerge/>
          </w:tcPr>
          <w:p w14:paraId="3B736F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56F9D96" w14:textId="77777777" w:rsidTr="007934B1">
        <w:tc>
          <w:tcPr>
            <w:tcW w:w="746" w:type="pct"/>
            <w:vMerge/>
          </w:tcPr>
          <w:p w14:paraId="7E6EBB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92B15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4EBBE2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62EAC7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63F21B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A1FB5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D92ED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8AAA4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C24138F" w14:textId="77777777" w:rsidTr="007934B1">
        <w:tc>
          <w:tcPr>
            <w:tcW w:w="746" w:type="pct"/>
            <w:vMerge/>
          </w:tcPr>
          <w:p w14:paraId="45FD40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F9709B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05D180A"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0E6FE7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Hewitt Slade Viveiros Watson</w:t>
            </w:r>
          </w:p>
        </w:tc>
        <w:tc>
          <w:tcPr>
            <w:tcW w:w="607" w:type="pct"/>
            <w:shd w:val="clear" w:color="auto" w:fill="auto"/>
          </w:tcPr>
          <w:p w14:paraId="761448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033E6F5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Dennis Megnin </w:t>
            </w:r>
          </w:p>
        </w:tc>
        <w:tc>
          <w:tcPr>
            <w:tcW w:w="561" w:type="pct"/>
            <w:shd w:val="clear" w:color="auto" w:fill="auto"/>
          </w:tcPr>
          <w:p w14:paraId="0D4328E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48562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6BC81A6" w14:textId="77777777" w:rsidTr="007934B1">
        <w:trPr>
          <w:trHeight w:val="290"/>
        </w:trPr>
        <w:tc>
          <w:tcPr>
            <w:tcW w:w="746" w:type="pct"/>
            <w:vMerge w:val="restart"/>
          </w:tcPr>
          <w:p w14:paraId="3F0F4844" w14:textId="77777777" w:rsidR="000B75EB" w:rsidRPr="007934B1" w:rsidRDefault="000B75EB" w:rsidP="007934B1">
            <w:pPr>
              <w:pStyle w:val="ListParagraph"/>
              <w:spacing w:after="0" w:line="240" w:lineRule="auto"/>
              <w:ind w:left="0"/>
              <w:rPr>
                <w:rFonts w:ascii="Times New Roman" w:hAnsi="Times New Roman" w:cs="Times New Roman"/>
                <w:strike/>
                <w:sz w:val="16"/>
                <w:szCs w:val="16"/>
              </w:rPr>
            </w:pPr>
            <w:r w:rsidRPr="007934B1">
              <w:rPr>
                <w:rFonts w:ascii="Times New Roman" w:hAnsi="Times New Roman" w:cs="Times New Roman"/>
                <w:sz w:val="16"/>
                <w:szCs w:val="16"/>
              </w:rPr>
              <w:t xml:space="preserve">Women’s perception of HCPs knowledge OR HCPs perception about PNMH </w:t>
            </w:r>
          </w:p>
        </w:tc>
        <w:tc>
          <w:tcPr>
            <w:tcW w:w="695" w:type="pct"/>
            <w:vMerge w:val="restart"/>
          </w:tcPr>
          <w:p w14:paraId="4854212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Healthcare professionals not knowing about PNMI or the services available was a barrier to implementation, and women perceiving this to be the case was a barrier to access</w:t>
            </w:r>
          </w:p>
        </w:tc>
        <w:tc>
          <w:tcPr>
            <w:tcW w:w="690" w:type="pct"/>
            <w:vMerge w:val="restart"/>
          </w:tcPr>
          <w:p w14:paraId="5E88EE2C" w14:textId="77777777" w:rsidR="000B75EB" w:rsidRPr="007934B1" w:rsidRDefault="000B75EB" w:rsidP="007934B1">
            <w:pPr>
              <w:spacing w:line="240" w:lineRule="auto"/>
              <w:ind w:firstLine="0"/>
              <w:rPr>
                <w:rFonts w:ascii="Times New Roman" w:hAnsi="Times New Roman" w:cs="Times New Roman"/>
                <w:strike/>
                <w:sz w:val="16"/>
                <w:szCs w:val="16"/>
                <w:highlight w:val="magenta"/>
              </w:rPr>
            </w:pPr>
            <w:r w:rsidRPr="007934B1">
              <w:rPr>
                <w:rFonts w:ascii="Times New Roman" w:hAnsi="Times New Roman" w:cs="Times New Roman"/>
                <w:noProof/>
                <w:color w:val="000000"/>
                <w:sz w:val="16"/>
                <w:szCs w:val="16"/>
              </w:rPr>
              <w:t xml:space="preserve">Dennis &amp; Chung-Lee, 2006; Forde et al., 2020; Hansotte et al., 2017; Jones, 2019; Megnin-Viggars et al., 2015;  Rowan Stakeholder </w:t>
            </w:r>
          </w:p>
        </w:tc>
        <w:tc>
          <w:tcPr>
            <w:tcW w:w="580" w:type="pct"/>
            <w:vMerge w:val="restart"/>
            <w:shd w:val="clear" w:color="auto" w:fill="A5A5A5" w:themeFill="accent3"/>
          </w:tcPr>
          <w:p w14:paraId="4625E460" w14:textId="77777777" w:rsidR="000B75EB" w:rsidRPr="007934B1" w:rsidRDefault="000B75EB" w:rsidP="007934B1">
            <w:pPr>
              <w:pStyle w:val="ListParagraph"/>
              <w:spacing w:after="0" w:line="240" w:lineRule="auto"/>
              <w:ind w:left="0"/>
              <w:rPr>
                <w:rFonts w:ascii="Times New Roman" w:hAnsi="Times New Roman" w:cs="Times New Roman"/>
                <w:strike/>
                <w:sz w:val="16"/>
                <w:szCs w:val="16"/>
                <w:highlight w:val="magenta"/>
              </w:rPr>
            </w:pPr>
            <w:r w:rsidRPr="007934B1">
              <w:rPr>
                <w:rFonts w:ascii="Times New Roman" w:hAnsi="Times New Roman" w:cs="Times New Roman"/>
                <w:sz w:val="16"/>
                <w:szCs w:val="16"/>
              </w:rPr>
              <w:t xml:space="preserve">Direct relevance UK </w:t>
            </w:r>
          </w:p>
        </w:tc>
        <w:tc>
          <w:tcPr>
            <w:tcW w:w="607" w:type="pct"/>
            <w:vMerge w:val="restart"/>
            <w:shd w:val="clear" w:color="auto" w:fill="A5A5A5" w:themeFill="accent3"/>
          </w:tcPr>
          <w:p w14:paraId="36B72146" w14:textId="77777777" w:rsidR="000B75EB" w:rsidRPr="007934B1" w:rsidRDefault="000B75EB" w:rsidP="007934B1">
            <w:pPr>
              <w:pStyle w:val="ListParagraph"/>
              <w:spacing w:after="0" w:line="240" w:lineRule="auto"/>
              <w:ind w:left="0"/>
              <w:rPr>
                <w:rFonts w:ascii="Times New Roman" w:hAnsi="Times New Roman" w:cs="Times New Roman"/>
                <w:strike/>
                <w:sz w:val="16"/>
                <w:szCs w:val="16"/>
                <w:highlight w:val="magenta"/>
              </w:rPr>
            </w:pPr>
            <w:r w:rsidRPr="007934B1">
              <w:rPr>
                <w:rFonts w:ascii="Times New Roman" w:hAnsi="Times New Roman" w:cs="Times New Roman"/>
                <w:sz w:val="16"/>
                <w:szCs w:val="16"/>
              </w:rPr>
              <w:t>Partial relevance  Western Country</w:t>
            </w:r>
          </w:p>
        </w:tc>
        <w:tc>
          <w:tcPr>
            <w:tcW w:w="607" w:type="pct"/>
            <w:vMerge w:val="restart"/>
            <w:shd w:val="clear" w:color="auto" w:fill="A5A5A5" w:themeFill="accent3"/>
          </w:tcPr>
          <w:p w14:paraId="2A845193" w14:textId="77777777" w:rsidR="000B75EB" w:rsidRPr="007934B1" w:rsidRDefault="000B75EB" w:rsidP="007934B1">
            <w:pPr>
              <w:pStyle w:val="ListParagraph"/>
              <w:spacing w:after="0" w:line="240" w:lineRule="auto"/>
              <w:ind w:left="0"/>
              <w:rPr>
                <w:rFonts w:ascii="Times New Roman" w:hAnsi="Times New Roman" w:cs="Times New Roman"/>
                <w:strike/>
                <w:sz w:val="16"/>
                <w:szCs w:val="16"/>
                <w:highlight w:val="magenta"/>
              </w:rPr>
            </w:pPr>
            <w:r w:rsidRPr="007934B1">
              <w:rPr>
                <w:rFonts w:ascii="Times New Roman" w:hAnsi="Times New Roman" w:cs="Times New Roman"/>
                <w:sz w:val="16"/>
                <w:szCs w:val="16"/>
              </w:rPr>
              <w:t>Indirect relevance LMIC Eastern</w:t>
            </w:r>
          </w:p>
        </w:tc>
        <w:tc>
          <w:tcPr>
            <w:tcW w:w="561" w:type="pct"/>
            <w:vMerge w:val="restart"/>
            <w:shd w:val="clear" w:color="auto" w:fill="A5A5A5" w:themeFill="accent3"/>
          </w:tcPr>
          <w:p w14:paraId="313A3165" w14:textId="77777777" w:rsidR="000B75EB" w:rsidRPr="007934B1" w:rsidRDefault="000B75EB" w:rsidP="007934B1">
            <w:pPr>
              <w:pStyle w:val="ListParagraph"/>
              <w:spacing w:after="0" w:line="240" w:lineRule="auto"/>
              <w:ind w:left="0"/>
              <w:rPr>
                <w:rFonts w:ascii="Times New Roman" w:hAnsi="Times New Roman" w:cs="Times New Roman"/>
                <w:strike/>
                <w:sz w:val="16"/>
                <w:szCs w:val="16"/>
                <w:highlight w:val="magenta"/>
              </w:rPr>
            </w:pPr>
            <w:r w:rsidRPr="007934B1">
              <w:rPr>
                <w:rFonts w:ascii="Times New Roman" w:hAnsi="Times New Roman" w:cs="Times New Roman"/>
                <w:sz w:val="16"/>
                <w:szCs w:val="16"/>
              </w:rPr>
              <w:t xml:space="preserve">Unclear relevance </w:t>
            </w:r>
          </w:p>
        </w:tc>
        <w:tc>
          <w:tcPr>
            <w:tcW w:w="513" w:type="pct"/>
            <w:vMerge w:val="restart"/>
          </w:tcPr>
          <w:p w14:paraId="2085C3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UK plus real life relevance</w:t>
            </w:r>
          </w:p>
        </w:tc>
      </w:tr>
      <w:tr w:rsidR="007934B1" w:rsidRPr="007934B1" w14:paraId="3DB7512A" w14:textId="77777777" w:rsidTr="007934B1">
        <w:trPr>
          <w:trHeight w:val="290"/>
        </w:trPr>
        <w:tc>
          <w:tcPr>
            <w:tcW w:w="746" w:type="pct"/>
            <w:vMerge/>
          </w:tcPr>
          <w:p w14:paraId="48C694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5453C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C254D6C"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vMerge/>
            <w:shd w:val="clear" w:color="auto" w:fill="A5A5A5" w:themeFill="accent3"/>
          </w:tcPr>
          <w:p w14:paraId="4E1810D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5A5A5" w:themeFill="accent3"/>
          </w:tcPr>
          <w:p w14:paraId="0C4AAB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5A5A5" w:themeFill="accent3"/>
          </w:tcPr>
          <w:p w14:paraId="2792B1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5A5A5" w:themeFill="accent3"/>
          </w:tcPr>
          <w:p w14:paraId="41A6D5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86960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4E95ADA" w14:textId="77777777" w:rsidTr="007934B1">
        <w:tc>
          <w:tcPr>
            <w:tcW w:w="746" w:type="pct"/>
            <w:vMerge/>
          </w:tcPr>
          <w:p w14:paraId="3CB18A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21C47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1FBF08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947F9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Forde Rowan Stakeholder</w:t>
            </w:r>
          </w:p>
        </w:tc>
        <w:tc>
          <w:tcPr>
            <w:tcW w:w="607" w:type="pct"/>
            <w:shd w:val="clear" w:color="auto" w:fill="auto"/>
          </w:tcPr>
          <w:p w14:paraId="293FC2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Hansotte </w:t>
            </w:r>
          </w:p>
        </w:tc>
        <w:tc>
          <w:tcPr>
            <w:tcW w:w="607" w:type="pct"/>
            <w:shd w:val="clear" w:color="auto" w:fill="auto"/>
          </w:tcPr>
          <w:p w14:paraId="0E22A4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621CC9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2019 Megnin</w:t>
            </w:r>
          </w:p>
        </w:tc>
        <w:tc>
          <w:tcPr>
            <w:tcW w:w="513" w:type="pct"/>
            <w:vMerge/>
          </w:tcPr>
          <w:p w14:paraId="056BD5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09AFFEC" w14:textId="77777777" w:rsidTr="007934B1">
        <w:tc>
          <w:tcPr>
            <w:tcW w:w="746" w:type="pct"/>
            <w:vMerge/>
          </w:tcPr>
          <w:p w14:paraId="574F13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F9E43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59F4650"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0A5945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DD1E24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7E354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7202E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7896E9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A480D54" w14:textId="77777777" w:rsidTr="007934B1">
        <w:tc>
          <w:tcPr>
            <w:tcW w:w="746" w:type="pct"/>
            <w:vMerge/>
          </w:tcPr>
          <w:p w14:paraId="6558F4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0A2DE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341FBA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35611E3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Forde Rowan</w:t>
            </w:r>
          </w:p>
        </w:tc>
        <w:tc>
          <w:tcPr>
            <w:tcW w:w="607" w:type="pct"/>
            <w:shd w:val="clear" w:color="auto" w:fill="auto"/>
          </w:tcPr>
          <w:p w14:paraId="69D14C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1D762AE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2019 Megnin</w:t>
            </w:r>
          </w:p>
        </w:tc>
        <w:tc>
          <w:tcPr>
            <w:tcW w:w="561" w:type="pct"/>
            <w:shd w:val="clear" w:color="auto" w:fill="auto"/>
          </w:tcPr>
          <w:p w14:paraId="595905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w:t>
            </w:r>
          </w:p>
        </w:tc>
        <w:tc>
          <w:tcPr>
            <w:tcW w:w="513" w:type="pct"/>
            <w:vMerge/>
          </w:tcPr>
          <w:p w14:paraId="473DD6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DFC8A1A" w14:textId="77777777" w:rsidTr="007934B1">
        <w:tc>
          <w:tcPr>
            <w:tcW w:w="746" w:type="pct"/>
            <w:vMerge w:val="restart"/>
          </w:tcPr>
          <w:p w14:paraId="293419F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Women’s perception of HCPs knowledge of services/referral pathways</w:t>
            </w:r>
          </w:p>
        </w:tc>
        <w:tc>
          <w:tcPr>
            <w:tcW w:w="695" w:type="pct"/>
            <w:vMerge/>
          </w:tcPr>
          <w:p w14:paraId="4ED614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05D368BE"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Dennis &amp; Chung-Lee, 2006; Smith et al., 2019; Viveiros &amp; Darling, 2018 </w:t>
            </w:r>
            <w:r w:rsidRPr="007934B1">
              <w:rPr>
                <w:rFonts w:ascii="Times New Roman" w:hAnsi="Times New Roman" w:cs="Times New Roman"/>
                <w:sz w:val="16"/>
                <w:szCs w:val="16"/>
              </w:rPr>
              <w:t>Ganann Higgins McCauley McKenzie  Ormsby Reed Rowan Beebe</w:t>
            </w:r>
          </w:p>
        </w:tc>
        <w:tc>
          <w:tcPr>
            <w:tcW w:w="580" w:type="pct"/>
            <w:shd w:val="clear" w:color="auto" w:fill="A5A5A5" w:themeFill="accent3"/>
          </w:tcPr>
          <w:p w14:paraId="1A65E8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2A138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DFB7E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42E22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8ED2D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there is some UK relevance, but also western relevance, and a few don’t knows</w:t>
            </w:r>
          </w:p>
        </w:tc>
      </w:tr>
      <w:tr w:rsidR="007934B1" w:rsidRPr="007934B1" w14:paraId="692F9275" w14:textId="77777777" w:rsidTr="007934B1">
        <w:tc>
          <w:tcPr>
            <w:tcW w:w="746" w:type="pct"/>
            <w:vMerge/>
          </w:tcPr>
          <w:p w14:paraId="1C4AD0CD"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695" w:type="pct"/>
            <w:vMerge/>
          </w:tcPr>
          <w:p w14:paraId="7D391B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2E6543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93ABD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Smith Viveiros KcKenzie Rowan </w:t>
            </w:r>
          </w:p>
        </w:tc>
        <w:tc>
          <w:tcPr>
            <w:tcW w:w="607" w:type="pct"/>
            <w:shd w:val="clear" w:color="auto" w:fill="auto"/>
          </w:tcPr>
          <w:p w14:paraId="4D8464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Gannan Higgins Ormsby Reed Beeber</w:t>
            </w:r>
          </w:p>
        </w:tc>
        <w:tc>
          <w:tcPr>
            <w:tcW w:w="607" w:type="pct"/>
            <w:shd w:val="clear" w:color="auto" w:fill="auto"/>
          </w:tcPr>
          <w:p w14:paraId="6B230C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McCauley</w:t>
            </w:r>
          </w:p>
        </w:tc>
        <w:tc>
          <w:tcPr>
            <w:tcW w:w="561" w:type="pct"/>
            <w:shd w:val="clear" w:color="auto" w:fill="auto"/>
          </w:tcPr>
          <w:p w14:paraId="3A92869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w:t>
            </w:r>
          </w:p>
        </w:tc>
        <w:tc>
          <w:tcPr>
            <w:tcW w:w="513" w:type="pct"/>
            <w:vMerge/>
          </w:tcPr>
          <w:p w14:paraId="22426BD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51AC78D" w14:textId="77777777" w:rsidTr="007934B1">
        <w:tc>
          <w:tcPr>
            <w:tcW w:w="746" w:type="pct"/>
            <w:vMerge/>
          </w:tcPr>
          <w:p w14:paraId="611288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F11CC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8E8F0A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6B6485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A742C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5C9AD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505B7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74DF7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3C6AC80" w14:textId="77777777" w:rsidTr="007934B1">
        <w:tc>
          <w:tcPr>
            <w:tcW w:w="746" w:type="pct"/>
            <w:vMerge/>
          </w:tcPr>
          <w:p w14:paraId="7F663E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080F22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DD6D627"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75E266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Smith Viveiros KcKenzie Rowan </w:t>
            </w:r>
          </w:p>
        </w:tc>
        <w:tc>
          <w:tcPr>
            <w:tcW w:w="607" w:type="pct"/>
            <w:shd w:val="clear" w:color="auto" w:fill="auto"/>
          </w:tcPr>
          <w:p w14:paraId="09717F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Higgins Ormsby Reed</w:t>
            </w:r>
          </w:p>
        </w:tc>
        <w:tc>
          <w:tcPr>
            <w:tcW w:w="607" w:type="pct"/>
            <w:shd w:val="clear" w:color="auto" w:fill="auto"/>
          </w:tcPr>
          <w:p w14:paraId="6238F5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w:t>
            </w:r>
          </w:p>
        </w:tc>
        <w:tc>
          <w:tcPr>
            <w:tcW w:w="561" w:type="pct"/>
            <w:shd w:val="clear" w:color="auto" w:fill="auto"/>
          </w:tcPr>
          <w:p w14:paraId="3E1E30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Gannan Beeber McCauley</w:t>
            </w:r>
          </w:p>
        </w:tc>
        <w:tc>
          <w:tcPr>
            <w:tcW w:w="513" w:type="pct"/>
            <w:vMerge/>
          </w:tcPr>
          <w:p w14:paraId="273914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7875B8E" w14:textId="77777777" w:rsidTr="007934B1">
        <w:tc>
          <w:tcPr>
            <w:tcW w:w="746" w:type="pct"/>
            <w:vMerge w:val="restart"/>
          </w:tcPr>
          <w:p w14:paraId="07D49B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Supervision/Support (n = 6)</w:t>
            </w:r>
          </w:p>
        </w:tc>
        <w:tc>
          <w:tcPr>
            <w:tcW w:w="695" w:type="pct"/>
            <w:vMerge w:val="restart"/>
          </w:tcPr>
          <w:p w14:paraId="025567B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The opportunity for healthcare professionals to have a place to reflect and raise issues.</w:t>
            </w:r>
          </w:p>
        </w:tc>
        <w:tc>
          <w:tcPr>
            <w:tcW w:w="690" w:type="pct"/>
            <w:vMerge w:val="restart"/>
          </w:tcPr>
          <w:p w14:paraId="217842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Gannan Munodawafa Nakku Vik Nithianden</w:t>
            </w:r>
          </w:p>
        </w:tc>
        <w:tc>
          <w:tcPr>
            <w:tcW w:w="580" w:type="pct"/>
            <w:shd w:val="clear" w:color="auto" w:fill="A5A5A5" w:themeFill="accent3"/>
          </w:tcPr>
          <w:p w14:paraId="1DA4A7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0B4E0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61ACF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D8C50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AF6C24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 none with direct relevance, but some partial </w:t>
            </w:r>
          </w:p>
        </w:tc>
      </w:tr>
      <w:tr w:rsidR="007934B1" w:rsidRPr="007934B1" w14:paraId="008FAC80" w14:textId="77777777" w:rsidTr="007934B1">
        <w:tc>
          <w:tcPr>
            <w:tcW w:w="746" w:type="pct"/>
            <w:vMerge/>
          </w:tcPr>
          <w:p w14:paraId="2ED040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656FA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1E10B6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417F42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4A20C7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Boyd Ganann Nithianden </w:t>
            </w:r>
          </w:p>
        </w:tc>
        <w:tc>
          <w:tcPr>
            <w:tcW w:w="607" w:type="pct"/>
            <w:shd w:val="clear" w:color="auto" w:fill="auto"/>
          </w:tcPr>
          <w:p w14:paraId="66A0555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Munodawafa Nakku</w:t>
            </w:r>
          </w:p>
        </w:tc>
        <w:tc>
          <w:tcPr>
            <w:tcW w:w="561" w:type="pct"/>
            <w:shd w:val="clear" w:color="auto" w:fill="auto"/>
          </w:tcPr>
          <w:p w14:paraId="2FF674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CEE64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37EEEB5" w14:textId="77777777" w:rsidTr="007934B1">
        <w:tc>
          <w:tcPr>
            <w:tcW w:w="746" w:type="pct"/>
            <w:vMerge/>
          </w:tcPr>
          <w:p w14:paraId="22D96A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9D71B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C56076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2B66EF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26FE9A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07F49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E44D2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14FF53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1E9401B" w14:textId="77777777" w:rsidTr="007934B1">
        <w:tc>
          <w:tcPr>
            <w:tcW w:w="746" w:type="pct"/>
            <w:vMerge/>
          </w:tcPr>
          <w:p w14:paraId="17988AA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20B9D3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29AB5C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43B42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107D46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Nithianden Munodawafa </w:t>
            </w:r>
          </w:p>
        </w:tc>
        <w:tc>
          <w:tcPr>
            <w:tcW w:w="607" w:type="pct"/>
            <w:shd w:val="clear" w:color="auto" w:fill="auto"/>
          </w:tcPr>
          <w:p w14:paraId="30F33D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E9C65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Gannan Nakku</w:t>
            </w:r>
          </w:p>
        </w:tc>
        <w:tc>
          <w:tcPr>
            <w:tcW w:w="513" w:type="pct"/>
            <w:vMerge/>
          </w:tcPr>
          <w:p w14:paraId="50FC161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821AF63" w14:textId="77777777" w:rsidTr="007934B1">
        <w:tc>
          <w:tcPr>
            <w:tcW w:w="746" w:type="pct"/>
            <w:vMerge w:val="restart"/>
          </w:tcPr>
          <w:p w14:paraId="1C4D49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Training (n = 27)</w:t>
            </w:r>
          </w:p>
        </w:tc>
        <w:tc>
          <w:tcPr>
            <w:tcW w:w="695" w:type="pct"/>
            <w:vMerge w:val="restart"/>
          </w:tcPr>
          <w:p w14:paraId="5C05454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The opportunity for healthcare professionals to learn about perinatal mental illness and the care they are providing to women- poor or no training was associated with poor or no implementation.</w:t>
            </w:r>
          </w:p>
        </w:tc>
        <w:tc>
          <w:tcPr>
            <w:tcW w:w="690" w:type="pct"/>
            <w:vMerge w:val="restart"/>
          </w:tcPr>
          <w:p w14:paraId="513FF8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Atif 2016 Atiff 2020 Beeber Boyd Chartier Doering Drozd Eappen Feinberg Gannan Kerker Judd Kim Lind Mccaluey Mckenzie Munodowar Nithianden Noonan Reed Rowan Shorey Willey Williams Stakeholder</w:t>
            </w:r>
          </w:p>
        </w:tc>
        <w:tc>
          <w:tcPr>
            <w:tcW w:w="580" w:type="pct"/>
            <w:shd w:val="clear" w:color="auto" w:fill="A5A5A5" w:themeFill="accent3"/>
          </w:tcPr>
          <w:p w14:paraId="1E1C189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6E720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BCC62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ADA9F2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017B25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None</w:t>
            </w:r>
            <w:r w:rsidRPr="007934B1">
              <w:rPr>
                <w:rFonts w:ascii="Times New Roman" w:hAnsi="Times New Roman" w:cs="Times New Roman"/>
                <w:sz w:val="16"/>
                <w:szCs w:val="16"/>
              </w:rPr>
              <w:t xml:space="preserve"> appears universal plus real life relevance from SHs </w:t>
            </w:r>
          </w:p>
        </w:tc>
      </w:tr>
      <w:tr w:rsidR="007934B1" w:rsidRPr="007934B1" w14:paraId="598F231A" w14:textId="77777777" w:rsidTr="007934B1">
        <w:tc>
          <w:tcPr>
            <w:tcW w:w="746" w:type="pct"/>
            <w:vMerge/>
          </w:tcPr>
          <w:p w14:paraId="6F5245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24125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855FA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758480A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William McKenzie Stakeholder</w:t>
            </w:r>
          </w:p>
        </w:tc>
        <w:tc>
          <w:tcPr>
            <w:tcW w:w="607" w:type="pct"/>
            <w:shd w:val="clear" w:color="auto" w:fill="auto"/>
          </w:tcPr>
          <w:p w14:paraId="7748D7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Beeber Boyd Chartier Doering Drozd Feinberg Gannan Kerker Judd Kim Lind Nithianden Noonan Reed Willey</w:t>
            </w:r>
          </w:p>
        </w:tc>
        <w:tc>
          <w:tcPr>
            <w:tcW w:w="607" w:type="pct"/>
            <w:shd w:val="clear" w:color="auto" w:fill="auto"/>
          </w:tcPr>
          <w:p w14:paraId="40911E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Atif 20 Eappen McCauley Shorey</w:t>
            </w:r>
          </w:p>
        </w:tc>
        <w:tc>
          <w:tcPr>
            <w:tcW w:w="561" w:type="pct"/>
            <w:shd w:val="clear" w:color="auto" w:fill="auto"/>
          </w:tcPr>
          <w:p w14:paraId="1A5882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0975B1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823907D" w14:textId="77777777" w:rsidTr="007934B1">
        <w:tc>
          <w:tcPr>
            <w:tcW w:w="746" w:type="pct"/>
            <w:vMerge/>
          </w:tcPr>
          <w:p w14:paraId="634285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A13A5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EBDF08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7C26D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8DC64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A0F2C3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32045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8113B7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1694B91" w14:textId="77777777" w:rsidTr="007934B1">
        <w:tc>
          <w:tcPr>
            <w:tcW w:w="746" w:type="pct"/>
            <w:vMerge/>
          </w:tcPr>
          <w:p w14:paraId="276ADB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97C2E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C0BD2C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CA12F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William McKenzie SHs</w:t>
            </w:r>
          </w:p>
        </w:tc>
        <w:tc>
          <w:tcPr>
            <w:tcW w:w="607" w:type="pct"/>
            <w:shd w:val="clear" w:color="auto" w:fill="auto"/>
          </w:tcPr>
          <w:p w14:paraId="3EA23F2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Drozd Munodawafa Nithianden Noonan Shorey Willey</w:t>
            </w:r>
          </w:p>
        </w:tc>
        <w:tc>
          <w:tcPr>
            <w:tcW w:w="607" w:type="pct"/>
            <w:shd w:val="clear" w:color="auto" w:fill="auto"/>
          </w:tcPr>
          <w:p w14:paraId="715C87A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Eappen </w:t>
            </w:r>
          </w:p>
        </w:tc>
        <w:tc>
          <w:tcPr>
            <w:tcW w:w="561" w:type="pct"/>
            <w:shd w:val="clear" w:color="auto" w:fill="auto"/>
          </w:tcPr>
          <w:p w14:paraId="05CC705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Beeber Boyd Doering Feinberg Gannan Kerker Kim Lind McCauley</w:t>
            </w:r>
          </w:p>
        </w:tc>
        <w:tc>
          <w:tcPr>
            <w:tcW w:w="513" w:type="pct"/>
            <w:vMerge/>
          </w:tcPr>
          <w:p w14:paraId="0EFE009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194666E" w14:textId="77777777" w:rsidTr="007934B1">
        <w:tc>
          <w:tcPr>
            <w:tcW w:w="746" w:type="pct"/>
            <w:vMerge w:val="restart"/>
          </w:tcPr>
          <w:p w14:paraId="7F84C1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HCP not recognising help-seeking</w:t>
            </w:r>
          </w:p>
        </w:tc>
        <w:tc>
          <w:tcPr>
            <w:tcW w:w="695" w:type="pct"/>
            <w:vMerge w:val="restart"/>
          </w:tcPr>
          <w:p w14:paraId="23071F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This impacted women’s access to care</w:t>
            </w:r>
          </w:p>
        </w:tc>
        <w:tc>
          <w:tcPr>
            <w:tcW w:w="690" w:type="pct"/>
            <w:vMerge w:val="restart"/>
          </w:tcPr>
          <w:p w14:paraId="634CA18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Button et al., 2017; Megnin-Viggars et al., 2015; Tobin et al., 2018; Watson et al., 2019</w:t>
            </w:r>
          </w:p>
        </w:tc>
        <w:tc>
          <w:tcPr>
            <w:tcW w:w="580" w:type="pct"/>
            <w:shd w:val="clear" w:color="auto" w:fill="A5A5A5" w:themeFill="accent3"/>
          </w:tcPr>
          <w:p w14:paraId="0DDDEC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15D6DFA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F4E82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1F04B6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A887F9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w:t>
            </w:r>
            <w:r w:rsidRPr="007934B1">
              <w:rPr>
                <w:rFonts w:ascii="Times New Roman" w:hAnsi="Times New Roman" w:cs="Times New Roman"/>
                <w:sz w:val="16"/>
                <w:szCs w:val="16"/>
              </w:rPr>
              <w:t xml:space="preserve"> 2 direct, 1 partial</w:t>
            </w:r>
          </w:p>
        </w:tc>
      </w:tr>
      <w:tr w:rsidR="007934B1" w:rsidRPr="007934B1" w14:paraId="5B6F226A" w14:textId="77777777" w:rsidTr="007934B1">
        <w:tc>
          <w:tcPr>
            <w:tcW w:w="746" w:type="pct"/>
            <w:vMerge/>
          </w:tcPr>
          <w:p w14:paraId="052A4CE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2D3E8B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693AF49"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AB878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Watson</w:t>
            </w:r>
          </w:p>
        </w:tc>
        <w:tc>
          <w:tcPr>
            <w:tcW w:w="607" w:type="pct"/>
            <w:shd w:val="clear" w:color="auto" w:fill="auto"/>
          </w:tcPr>
          <w:p w14:paraId="11F5D5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Tobin</w:t>
            </w:r>
          </w:p>
        </w:tc>
        <w:tc>
          <w:tcPr>
            <w:tcW w:w="607" w:type="pct"/>
            <w:shd w:val="clear" w:color="auto" w:fill="auto"/>
          </w:tcPr>
          <w:p w14:paraId="1EFEEC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34C387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Megnin</w:t>
            </w:r>
          </w:p>
        </w:tc>
        <w:tc>
          <w:tcPr>
            <w:tcW w:w="513" w:type="pct"/>
            <w:vMerge/>
          </w:tcPr>
          <w:p w14:paraId="4C4057A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38264CC" w14:textId="77777777" w:rsidTr="007934B1">
        <w:tc>
          <w:tcPr>
            <w:tcW w:w="746" w:type="pct"/>
            <w:vMerge/>
          </w:tcPr>
          <w:p w14:paraId="518835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17FAF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A8DB40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394128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3AEE4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77FAA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7B097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CB8AAF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4F975C4" w14:textId="77777777" w:rsidTr="007934B1">
        <w:tc>
          <w:tcPr>
            <w:tcW w:w="746" w:type="pct"/>
            <w:vMerge/>
          </w:tcPr>
          <w:p w14:paraId="5C61B5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B69F1D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A6F45A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39CF15B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Watson</w:t>
            </w:r>
          </w:p>
        </w:tc>
        <w:tc>
          <w:tcPr>
            <w:tcW w:w="607" w:type="pct"/>
            <w:shd w:val="clear" w:color="auto" w:fill="auto"/>
          </w:tcPr>
          <w:p w14:paraId="5881F5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Tobin</w:t>
            </w:r>
          </w:p>
        </w:tc>
        <w:tc>
          <w:tcPr>
            <w:tcW w:w="607" w:type="pct"/>
            <w:shd w:val="clear" w:color="auto" w:fill="auto"/>
          </w:tcPr>
          <w:p w14:paraId="0CA8F4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Megnin</w:t>
            </w:r>
          </w:p>
        </w:tc>
        <w:tc>
          <w:tcPr>
            <w:tcW w:w="561" w:type="pct"/>
            <w:shd w:val="clear" w:color="auto" w:fill="auto"/>
          </w:tcPr>
          <w:p w14:paraId="48BDA0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DC04A9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2619672" w14:textId="77777777" w:rsidTr="007934B1">
        <w:tc>
          <w:tcPr>
            <w:tcW w:w="746" w:type="pct"/>
            <w:shd w:val="clear" w:color="auto" w:fill="E7E6E6" w:themeFill="background2"/>
          </w:tcPr>
          <w:p w14:paraId="3127B8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Interpersonal</w:t>
            </w:r>
          </w:p>
        </w:tc>
        <w:tc>
          <w:tcPr>
            <w:tcW w:w="695" w:type="pct"/>
            <w:shd w:val="clear" w:color="auto" w:fill="E7E6E6" w:themeFill="background2"/>
          </w:tcPr>
          <w:p w14:paraId="5BEDEB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shd w:val="clear" w:color="auto" w:fill="E7E6E6" w:themeFill="background2"/>
          </w:tcPr>
          <w:p w14:paraId="51748A2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EDEDED" w:themeFill="accent3" w:themeFillTint="33"/>
          </w:tcPr>
          <w:p w14:paraId="7EE4C2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DEDED" w:themeFill="accent3" w:themeFillTint="33"/>
          </w:tcPr>
          <w:p w14:paraId="291100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DEDED" w:themeFill="accent3" w:themeFillTint="33"/>
          </w:tcPr>
          <w:p w14:paraId="0C3F59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EDEDED" w:themeFill="accent3" w:themeFillTint="33"/>
          </w:tcPr>
          <w:p w14:paraId="755CE1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shd w:val="clear" w:color="auto" w:fill="E7E6E6" w:themeFill="background2"/>
          </w:tcPr>
          <w:p w14:paraId="0730B3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02844BC" w14:textId="77777777" w:rsidTr="007934B1">
        <w:tc>
          <w:tcPr>
            <w:tcW w:w="746" w:type="pct"/>
            <w:vMerge w:val="restart"/>
          </w:tcPr>
          <w:p w14:paraId="24D598C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Language barriers (n = 10)</w:t>
            </w:r>
          </w:p>
        </w:tc>
        <w:tc>
          <w:tcPr>
            <w:tcW w:w="695" w:type="pct"/>
            <w:vMerge w:val="restart"/>
          </w:tcPr>
          <w:p w14:paraId="31533D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Difficulties in communication due to women and healthcare professionals speaking different languages affected implementation and access.</w:t>
            </w:r>
          </w:p>
        </w:tc>
        <w:tc>
          <w:tcPr>
            <w:tcW w:w="690" w:type="pct"/>
            <w:vMerge w:val="restart"/>
          </w:tcPr>
          <w:p w14:paraId="615DA462"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Doering Boyd Gannan Masood Munodowafa Nithiaden Pinero-leano Segre Willey Williams </w:t>
            </w:r>
            <w:r w:rsidRPr="007934B1">
              <w:rPr>
                <w:rFonts w:ascii="Times New Roman" w:hAnsi="Times New Roman" w:cs="Times New Roman"/>
                <w:noProof/>
                <w:color w:val="000000"/>
                <w:sz w:val="16"/>
                <w:szCs w:val="16"/>
              </w:rPr>
              <w:t>Button et al., 2017; Dennis &amp; Chung-Lee, 2006; Hansotte et al., 2017; Megnin-Viggars et al., 2015; Schmied et al., 2017; Smith et al., 2019</w:t>
            </w:r>
            <w:r w:rsidRPr="007934B1">
              <w:rPr>
                <w:rFonts w:ascii="Times New Roman" w:hAnsi="Times New Roman" w:cs="Times New Roman"/>
                <w:sz w:val="16"/>
                <w:szCs w:val="16"/>
              </w:rPr>
              <w:t xml:space="preserve"> </w:t>
            </w:r>
            <w:r w:rsidRPr="007934B1">
              <w:rPr>
                <w:rFonts w:ascii="Times New Roman" w:hAnsi="Times New Roman" w:cs="Times New Roman"/>
                <w:noProof/>
                <w:color w:val="000000"/>
                <w:sz w:val="16"/>
                <w:szCs w:val="16"/>
              </w:rPr>
              <w:t>Discussions of this in the stakeholder meetings</w:t>
            </w:r>
          </w:p>
        </w:tc>
        <w:tc>
          <w:tcPr>
            <w:tcW w:w="580" w:type="pct"/>
            <w:shd w:val="clear" w:color="auto" w:fill="C9C9C9" w:themeFill="accent3" w:themeFillTint="99"/>
          </w:tcPr>
          <w:p w14:paraId="60782B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C9C9C9" w:themeFill="accent3" w:themeFillTint="99"/>
          </w:tcPr>
          <w:p w14:paraId="7D3071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C9C9C9" w:themeFill="accent3" w:themeFillTint="99"/>
          </w:tcPr>
          <w:p w14:paraId="4671AED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C9C9C9" w:themeFill="accent3" w:themeFillTint="99"/>
          </w:tcPr>
          <w:p w14:paraId="124C9D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03F86E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 mixture of all settings, countries and real life stakeholder relevance</w:t>
            </w:r>
          </w:p>
        </w:tc>
      </w:tr>
      <w:tr w:rsidR="007934B1" w:rsidRPr="007934B1" w14:paraId="5CE21939" w14:textId="77777777" w:rsidTr="007934B1">
        <w:tc>
          <w:tcPr>
            <w:tcW w:w="746" w:type="pct"/>
            <w:vMerge/>
          </w:tcPr>
          <w:p w14:paraId="63E1A5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2A3A5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B0E70F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4114F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 Williams Button Smith SHs</w:t>
            </w:r>
          </w:p>
        </w:tc>
        <w:tc>
          <w:tcPr>
            <w:tcW w:w="607" w:type="pct"/>
            <w:shd w:val="clear" w:color="auto" w:fill="auto"/>
          </w:tcPr>
          <w:p w14:paraId="171D5D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Boyd Gannan Nithianden Pinero Segre Willey Hansotte Schmied</w:t>
            </w:r>
          </w:p>
        </w:tc>
        <w:tc>
          <w:tcPr>
            <w:tcW w:w="607" w:type="pct"/>
            <w:shd w:val="clear" w:color="auto" w:fill="auto"/>
          </w:tcPr>
          <w:p w14:paraId="5C9027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Munodawafa</w:t>
            </w:r>
          </w:p>
        </w:tc>
        <w:tc>
          <w:tcPr>
            <w:tcW w:w="561" w:type="pct"/>
            <w:shd w:val="clear" w:color="auto" w:fill="auto"/>
          </w:tcPr>
          <w:p w14:paraId="21523BC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Megnin</w:t>
            </w:r>
          </w:p>
        </w:tc>
        <w:tc>
          <w:tcPr>
            <w:tcW w:w="513" w:type="pct"/>
            <w:vMerge/>
          </w:tcPr>
          <w:p w14:paraId="6ACD31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FBBE6D8" w14:textId="77777777" w:rsidTr="007934B1">
        <w:tc>
          <w:tcPr>
            <w:tcW w:w="746" w:type="pct"/>
            <w:vMerge/>
          </w:tcPr>
          <w:p w14:paraId="68EE8AE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254A3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4124E6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C9C9C9" w:themeFill="accent3" w:themeFillTint="99"/>
          </w:tcPr>
          <w:p w14:paraId="6D57AA6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C9C9C9" w:themeFill="accent3" w:themeFillTint="99"/>
          </w:tcPr>
          <w:p w14:paraId="57300B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C9C9C9" w:themeFill="accent3" w:themeFillTint="99"/>
          </w:tcPr>
          <w:p w14:paraId="6939ED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C9C9C9" w:themeFill="accent3" w:themeFillTint="99"/>
          </w:tcPr>
          <w:p w14:paraId="6E6BAA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37D79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9457038" w14:textId="77777777" w:rsidTr="007934B1">
        <w:tc>
          <w:tcPr>
            <w:tcW w:w="746" w:type="pct"/>
            <w:vMerge/>
          </w:tcPr>
          <w:p w14:paraId="1693D39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0285F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7E3CA8C"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28DE47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 Williams Button Smith SHs</w:t>
            </w:r>
          </w:p>
        </w:tc>
        <w:tc>
          <w:tcPr>
            <w:tcW w:w="607" w:type="pct"/>
            <w:shd w:val="clear" w:color="auto" w:fill="auto"/>
          </w:tcPr>
          <w:p w14:paraId="7257E6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Nithianden Willey Munodawafa Schmied </w:t>
            </w:r>
          </w:p>
        </w:tc>
        <w:tc>
          <w:tcPr>
            <w:tcW w:w="607" w:type="pct"/>
            <w:shd w:val="clear" w:color="auto" w:fill="auto"/>
          </w:tcPr>
          <w:p w14:paraId="3132D2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Megnin</w:t>
            </w:r>
          </w:p>
        </w:tc>
        <w:tc>
          <w:tcPr>
            <w:tcW w:w="561" w:type="pct"/>
            <w:shd w:val="clear" w:color="auto" w:fill="auto"/>
          </w:tcPr>
          <w:p w14:paraId="05C571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Boyd Gannan Pinero Segre Hansotte</w:t>
            </w:r>
          </w:p>
        </w:tc>
        <w:tc>
          <w:tcPr>
            <w:tcW w:w="513" w:type="pct"/>
            <w:vMerge/>
          </w:tcPr>
          <w:p w14:paraId="029B42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7825D89" w14:textId="77777777" w:rsidTr="007934B1">
        <w:tc>
          <w:tcPr>
            <w:tcW w:w="746" w:type="pct"/>
            <w:vMerge w:val="restart"/>
          </w:tcPr>
          <w:p w14:paraId="17EEC19B"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Open and honest communication (n = 11) Communication</w:t>
            </w:r>
          </w:p>
        </w:tc>
        <w:tc>
          <w:tcPr>
            <w:tcW w:w="695" w:type="pct"/>
            <w:vMerge w:val="restart"/>
          </w:tcPr>
          <w:p w14:paraId="3D8616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and healthcare professionals being able to speak openly and honestly without fear of judgement – aids implementation . Women like to be informed of what will he happening, and for HCPs to listen to them this aids access</w:t>
            </w:r>
          </w:p>
        </w:tc>
        <w:tc>
          <w:tcPr>
            <w:tcW w:w="690" w:type="pct"/>
            <w:vMerge w:val="restart"/>
          </w:tcPr>
          <w:p w14:paraId="5C219E21"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Doering Shakespeare Williams Vik Shorey Boyd Willey Gannan </w:t>
            </w:r>
            <w:r w:rsidRPr="007934B1">
              <w:rPr>
                <w:rFonts w:ascii="Times New Roman" w:hAnsi="Times New Roman" w:cs="Times New Roman"/>
                <w:noProof/>
                <w:color w:val="000000"/>
                <w:sz w:val="16"/>
                <w:szCs w:val="16"/>
              </w:rPr>
              <w:t>Brealey et al., 2010; Forde et al., 2020; Hadfield &amp; Wittkowski, 2017; Hewitt et al., 2009 Stakeholder</w:t>
            </w:r>
          </w:p>
        </w:tc>
        <w:tc>
          <w:tcPr>
            <w:tcW w:w="580" w:type="pct"/>
            <w:shd w:val="clear" w:color="auto" w:fill="C9C9C9" w:themeFill="accent3" w:themeFillTint="99"/>
          </w:tcPr>
          <w:p w14:paraId="10BC2E4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C9C9C9" w:themeFill="accent3" w:themeFillTint="99"/>
          </w:tcPr>
          <w:p w14:paraId="1E4949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C9C9C9" w:themeFill="accent3" w:themeFillTint="99"/>
          </w:tcPr>
          <w:p w14:paraId="7C9FBF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C9C9C9" w:themeFill="accent3" w:themeFillTint="99"/>
          </w:tcPr>
          <w:p w14:paraId="17811B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EFDBE8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 relevant everywhere  &amp; real life example from SH</w:t>
            </w:r>
          </w:p>
        </w:tc>
      </w:tr>
      <w:tr w:rsidR="007934B1" w:rsidRPr="007934B1" w14:paraId="58B70397" w14:textId="77777777" w:rsidTr="007934B1">
        <w:tc>
          <w:tcPr>
            <w:tcW w:w="746" w:type="pct"/>
            <w:vMerge/>
          </w:tcPr>
          <w:p w14:paraId="5F4B4894"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662C40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ABA817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006AB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Shakespeare Williams Brealey Forde Hadfield Hewitt</w:t>
            </w:r>
          </w:p>
        </w:tc>
        <w:tc>
          <w:tcPr>
            <w:tcW w:w="607" w:type="pct"/>
            <w:shd w:val="clear" w:color="auto" w:fill="auto"/>
          </w:tcPr>
          <w:p w14:paraId="4AF3AFD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Vik Doering Boyd Willey Ganann</w:t>
            </w:r>
          </w:p>
        </w:tc>
        <w:tc>
          <w:tcPr>
            <w:tcW w:w="607" w:type="pct"/>
            <w:shd w:val="clear" w:color="auto" w:fill="auto"/>
          </w:tcPr>
          <w:p w14:paraId="01AE596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Shorey</w:t>
            </w:r>
          </w:p>
        </w:tc>
        <w:tc>
          <w:tcPr>
            <w:tcW w:w="561" w:type="pct"/>
            <w:shd w:val="clear" w:color="auto" w:fill="auto"/>
          </w:tcPr>
          <w:p w14:paraId="18A772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AD3C19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AECB9F4" w14:textId="77777777" w:rsidTr="007934B1">
        <w:tc>
          <w:tcPr>
            <w:tcW w:w="746" w:type="pct"/>
            <w:vMerge/>
          </w:tcPr>
          <w:p w14:paraId="00119F30"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3F1494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380CFF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FB696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2AAD75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B90E20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03D03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FB5C25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9BF19C3" w14:textId="77777777" w:rsidTr="007934B1">
        <w:tc>
          <w:tcPr>
            <w:tcW w:w="746" w:type="pct"/>
            <w:vMerge/>
          </w:tcPr>
          <w:p w14:paraId="06A68A47"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3E1387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E53846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50AC7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Shakespeare Williams Brealey Forde Hadfield Hewitt</w:t>
            </w:r>
          </w:p>
        </w:tc>
        <w:tc>
          <w:tcPr>
            <w:tcW w:w="607" w:type="pct"/>
            <w:shd w:val="clear" w:color="auto" w:fill="auto"/>
          </w:tcPr>
          <w:p w14:paraId="7998E9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Vik Willey </w:t>
            </w:r>
          </w:p>
        </w:tc>
        <w:tc>
          <w:tcPr>
            <w:tcW w:w="607" w:type="pct"/>
            <w:shd w:val="clear" w:color="auto" w:fill="auto"/>
          </w:tcPr>
          <w:p w14:paraId="7A49F7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2A31F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Boyd Gannan</w:t>
            </w:r>
          </w:p>
        </w:tc>
        <w:tc>
          <w:tcPr>
            <w:tcW w:w="513" w:type="pct"/>
            <w:vMerge/>
          </w:tcPr>
          <w:p w14:paraId="4700EE3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576D803" w14:textId="77777777" w:rsidTr="007934B1">
        <w:tc>
          <w:tcPr>
            <w:tcW w:w="746" w:type="pct"/>
            <w:vMerge w:val="restart"/>
          </w:tcPr>
          <w:p w14:paraId="034C024B"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Information provision</w:t>
            </w:r>
          </w:p>
        </w:tc>
        <w:tc>
          <w:tcPr>
            <w:tcW w:w="695" w:type="pct"/>
            <w:vMerge w:val="restart"/>
          </w:tcPr>
          <w:p w14:paraId="1600B06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like to have information shared with them, this aids access</w:t>
            </w:r>
          </w:p>
        </w:tc>
        <w:tc>
          <w:tcPr>
            <w:tcW w:w="690" w:type="pct"/>
            <w:vMerge w:val="restart"/>
          </w:tcPr>
          <w:p w14:paraId="337CC30E"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Dennis Hadfield Megnin Jones 19 Randall Morrell Slade Sorsa</w:t>
            </w:r>
          </w:p>
        </w:tc>
        <w:tc>
          <w:tcPr>
            <w:tcW w:w="580" w:type="pct"/>
            <w:shd w:val="clear" w:color="auto" w:fill="A5A5A5" w:themeFill="accent3"/>
          </w:tcPr>
          <w:p w14:paraId="5453B3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A2660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D610B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EF7E9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7C2565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most relevant or partially </w:t>
            </w:r>
          </w:p>
        </w:tc>
      </w:tr>
      <w:tr w:rsidR="007934B1" w:rsidRPr="007934B1" w14:paraId="45A1EA50" w14:textId="77777777" w:rsidTr="007934B1">
        <w:tc>
          <w:tcPr>
            <w:tcW w:w="746" w:type="pct"/>
            <w:vMerge/>
          </w:tcPr>
          <w:p w14:paraId="6B49E2E6"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0C927C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ABE35F3"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E289F1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Slade</w:t>
            </w:r>
          </w:p>
        </w:tc>
        <w:tc>
          <w:tcPr>
            <w:tcW w:w="607" w:type="pct"/>
            <w:shd w:val="clear" w:color="auto" w:fill="auto"/>
          </w:tcPr>
          <w:p w14:paraId="176D14B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Randll Morrell Sorsa</w:t>
            </w:r>
          </w:p>
        </w:tc>
        <w:tc>
          <w:tcPr>
            <w:tcW w:w="607" w:type="pct"/>
            <w:shd w:val="clear" w:color="auto" w:fill="auto"/>
          </w:tcPr>
          <w:p w14:paraId="4EBFBF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D21FB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Megnin Jones 19</w:t>
            </w:r>
          </w:p>
        </w:tc>
        <w:tc>
          <w:tcPr>
            <w:tcW w:w="513" w:type="pct"/>
            <w:vMerge/>
          </w:tcPr>
          <w:p w14:paraId="0BBBFB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15C719F" w14:textId="77777777" w:rsidTr="007934B1">
        <w:tc>
          <w:tcPr>
            <w:tcW w:w="746" w:type="pct"/>
            <w:vMerge/>
          </w:tcPr>
          <w:p w14:paraId="6FA6DDC5"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6F96BF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531483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4EAC2D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E504D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9A81DE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18ED86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01143A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C717BCB" w14:textId="77777777" w:rsidTr="007934B1">
        <w:tc>
          <w:tcPr>
            <w:tcW w:w="746" w:type="pct"/>
            <w:vMerge/>
          </w:tcPr>
          <w:p w14:paraId="127FBD73"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4993B2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23B79A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7EB6184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Slade</w:t>
            </w:r>
          </w:p>
        </w:tc>
        <w:tc>
          <w:tcPr>
            <w:tcW w:w="607" w:type="pct"/>
            <w:shd w:val="clear" w:color="auto" w:fill="auto"/>
          </w:tcPr>
          <w:p w14:paraId="2ACF947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Morrell Sorsa</w:t>
            </w:r>
          </w:p>
        </w:tc>
        <w:tc>
          <w:tcPr>
            <w:tcW w:w="607" w:type="pct"/>
            <w:shd w:val="clear" w:color="auto" w:fill="auto"/>
          </w:tcPr>
          <w:p w14:paraId="787EBC1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Randall Dennis Megnin Jones 19</w:t>
            </w:r>
          </w:p>
        </w:tc>
        <w:tc>
          <w:tcPr>
            <w:tcW w:w="561" w:type="pct"/>
            <w:shd w:val="clear" w:color="auto" w:fill="auto"/>
          </w:tcPr>
          <w:p w14:paraId="3102C7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29A170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F66DCCB" w14:textId="77777777" w:rsidTr="007934B1">
        <w:tc>
          <w:tcPr>
            <w:tcW w:w="746" w:type="pct"/>
            <w:vMerge w:val="restart"/>
          </w:tcPr>
          <w:p w14:paraId="28A7134F"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Shared decision making</w:t>
            </w:r>
          </w:p>
        </w:tc>
        <w:tc>
          <w:tcPr>
            <w:tcW w:w="695" w:type="pct"/>
            <w:vMerge w:val="restart"/>
          </w:tcPr>
          <w:p w14:paraId="2C9C7B3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like to make decisions about their care with HCPs, this aids access</w:t>
            </w:r>
          </w:p>
        </w:tc>
        <w:tc>
          <w:tcPr>
            <w:tcW w:w="690" w:type="pct"/>
            <w:vMerge w:val="restart"/>
          </w:tcPr>
          <w:p w14:paraId="0A2FCBB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Hadfield &amp; Wittkowski, 2017; Megnin-Viggars et al., 2015; Morrell et al., 2016; Randall &amp; Briscoe, 2018; Scope et al., 2017</w:t>
            </w:r>
          </w:p>
        </w:tc>
        <w:tc>
          <w:tcPr>
            <w:tcW w:w="580" w:type="pct"/>
            <w:shd w:val="clear" w:color="auto" w:fill="A5A5A5" w:themeFill="accent3"/>
          </w:tcPr>
          <w:p w14:paraId="66A60F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BAF94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9E68A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C6ACD2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84C3A5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03B33041" w14:textId="77777777" w:rsidTr="007934B1">
        <w:tc>
          <w:tcPr>
            <w:tcW w:w="746" w:type="pct"/>
            <w:vMerge/>
          </w:tcPr>
          <w:p w14:paraId="083132A3"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627057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AD4041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2AEC6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05FCEB5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Morrell Randall Scope </w:t>
            </w:r>
          </w:p>
        </w:tc>
        <w:tc>
          <w:tcPr>
            <w:tcW w:w="607" w:type="pct"/>
            <w:shd w:val="clear" w:color="auto" w:fill="auto"/>
          </w:tcPr>
          <w:p w14:paraId="52DCAD9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6FB590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239419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16D7EC9" w14:textId="77777777" w:rsidTr="007934B1">
        <w:tc>
          <w:tcPr>
            <w:tcW w:w="746" w:type="pct"/>
            <w:vMerge/>
          </w:tcPr>
          <w:p w14:paraId="0C4EE5F6"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49D8D8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EFB25D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3E6F63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6E8102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64838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BA17D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7D5C852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D7B43B3" w14:textId="77777777" w:rsidTr="007934B1">
        <w:tc>
          <w:tcPr>
            <w:tcW w:w="746" w:type="pct"/>
            <w:vMerge/>
          </w:tcPr>
          <w:p w14:paraId="40A5DFD4"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368896B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109D380"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6103AF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6561CE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Morrell Scope</w:t>
            </w:r>
          </w:p>
        </w:tc>
        <w:tc>
          <w:tcPr>
            <w:tcW w:w="607" w:type="pct"/>
            <w:shd w:val="clear" w:color="auto" w:fill="auto"/>
          </w:tcPr>
          <w:p w14:paraId="7442358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Megnin Randll</w:t>
            </w:r>
          </w:p>
        </w:tc>
        <w:tc>
          <w:tcPr>
            <w:tcW w:w="561" w:type="pct"/>
            <w:shd w:val="clear" w:color="auto" w:fill="auto"/>
          </w:tcPr>
          <w:p w14:paraId="2B0BAFB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7A5FEFB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CA698A4" w14:textId="77777777" w:rsidTr="007934B1">
        <w:tc>
          <w:tcPr>
            <w:tcW w:w="746" w:type="pct"/>
            <w:vMerge w:val="restart"/>
          </w:tcPr>
          <w:p w14:paraId="0CE101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Privacy and confidentiality (n = 8)</w:t>
            </w:r>
          </w:p>
        </w:tc>
        <w:tc>
          <w:tcPr>
            <w:tcW w:w="695" w:type="pct"/>
            <w:vMerge w:val="restart"/>
          </w:tcPr>
          <w:p w14:paraId="2EF6B1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and healthcare professionals being able to interact in privacy.</w:t>
            </w:r>
          </w:p>
        </w:tc>
        <w:tc>
          <w:tcPr>
            <w:tcW w:w="690" w:type="pct"/>
            <w:vMerge w:val="restart"/>
          </w:tcPr>
          <w:p w14:paraId="491698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Feinberg Higgins Jallo Masood Omahen Pineros-Leano Pugh</w:t>
            </w:r>
          </w:p>
        </w:tc>
        <w:tc>
          <w:tcPr>
            <w:tcW w:w="580" w:type="pct"/>
            <w:shd w:val="clear" w:color="auto" w:fill="A5A5A5" w:themeFill="accent3"/>
          </w:tcPr>
          <w:p w14:paraId="02D677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8B87F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90628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C5BDA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AD8078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650670BF" w14:textId="77777777" w:rsidTr="007934B1">
        <w:tc>
          <w:tcPr>
            <w:tcW w:w="746" w:type="pct"/>
            <w:vMerge/>
          </w:tcPr>
          <w:p w14:paraId="7E3AC5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FB4345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F480C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7A0BB5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 OMahen</w:t>
            </w:r>
          </w:p>
        </w:tc>
        <w:tc>
          <w:tcPr>
            <w:tcW w:w="607" w:type="pct"/>
            <w:shd w:val="clear" w:color="auto" w:fill="auto"/>
          </w:tcPr>
          <w:p w14:paraId="2E310C8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Feinberg Higgins Pineros Pugh</w:t>
            </w:r>
          </w:p>
        </w:tc>
        <w:tc>
          <w:tcPr>
            <w:tcW w:w="607" w:type="pct"/>
            <w:shd w:val="clear" w:color="auto" w:fill="auto"/>
          </w:tcPr>
          <w:p w14:paraId="2AB996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CCB58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01DDF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D47418D" w14:textId="77777777" w:rsidTr="007934B1">
        <w:tc>
          <w:tcPr>
            <w:tcW w:w="746" w:type="pct"/>
            <w:vMerge/>
          </w:tcPr>
          <w:p w14:paraId="432035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5A6530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8CCEBE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08837A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6F2E81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FBE88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B9047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91888D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C8E5EC5" w14:textId="77777777" w:rsidTr="007934B1">
        <w:tc>
          <w:tcPr>
            <w:tcW w:w="746" w:type="pct"/>
            <w:vMerge/>
          </w:tcPr>
          <w:p w14:paraId="11AAB2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C7DE2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46B497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2EF6A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 OMahen</w:t>
            </w:r>
          </w:p>
        </w:tc>
        <w:tc>
          <w:tcPr>
            <w:tcW w:w="607" w:type="pct"/>
            <w:shd w:val="clear" w:color="auto" w:fill="auto"/>
          </w:tcPr>
          <w:p w14:paraId="35CCD0C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Higgins Pugh</w:t>
            </w:r>
          </w:p>
        </w:tc>
        <w:tc>
          <w:tcPr>
            <w:tcW w:w="607" w:type="pct"/>
            <w:shd w:val="clear" w:color="auto" w:fill="auto"/>
          </w:tcPr>
          <w:p w14:paraId="0D732C5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6796E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Feinberg Pineros</w:t>
            </w:r>
          </w:p>
        </w:tc>
        <w:tc>
          <w:tcPr>
            <w:tcW w:w="513" w:type="pct"/>
            <w:vMerge/>
          </w:tcPr>
          <w:p w14:paraId="4B8D735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634862E" w14:textId="77777777" w:rsidTr="007934B1">
        <w:tc>
          <w:tcPr>
            <w:tcW w:w="746" w:type="pct"/>
            <w:vMerge w:val="restart"/>
          </w:tcPr>
          <w:p w14:paraId="4CD66B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Trusting relationship (n = 15) Relationship and rapport</w:t>
            </w:r>
          </w:p>
        </w:tc>
        <w:tc>
          <w:tcPr>
            <w:tcW w:w="695" w:type="pct"/>
            <w:vMerge w:val="restart"/>
          </w:tcPr>
          <w:p w14:paraId="58EEC4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feeling safe with healthcare professionals to be able to be open and honest about their feelings this aided implementation and access.</w:t>
            </w:r>
          </w:p>
        </w:tc>
        <w:tc>
          <w:tcPr>
            <w:tcW w:w="690" w:type="pct"/>
            <w:vMerge w:val="restart"/>
          </w:tcPr>
          <w:p w14:paraId="5B013308"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Atif 2016 Doering Feinberg Gannan Hadfield Higgins Kerker Leger Noonan Shakespeare Shorey Vik Willey Williams Young </w:t>
            </w:r>
            <w:r w:rsidRPr="007934B1">
              <w:rPr>
                <w:rFonts w:ascii="Times New Roman" w:hAnsi="Times New Roman" w:cs="Times New Roman"/>
                <w:noProof/>
                <w:color w:val="000000"/>
                <w:sz w:val="16"/>
                <w:szCs w:val="16"/>
              </w:rPr>
              <w:t>Bina, 2020; Brealey et al., 2010; Dennis &amp; Chung-Lee, 2006; Hadfield &amp; Wittkowski, 2017; Hewitt et al., 2009; Megnin-Viggars et al., 2015; Morrell et al., 2016; Scope et al., 2017; Slade et al., 2020; Tobin et al., 2018</w:t>
            </w:r>
          </w:p>
        </w:tc>
        <w:tc>
          <w:tcPr>
            <w:tcW w:w="580" w:type="pct"/>
            <w:shd w:val="clear" w:color="auto" w:fill="A5A5A5" w:themeFill="accent3"/>
          </w:tcPr>
          <w:p w14:paraId="580FA1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AA381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D9A31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F651A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4B3865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 </w:t>
            </w:r>
            <w:r w:rsidRPr="007934B1">
              <w:rPr>
                <w:rFonts w:ascii="Times New Roman" w:hAnsi="Times New Roman" w:cs="Times New Roman"/>
                <w:sz w:val="16"/>
                <w:szCs w:val="16"/>
              </w:rPr>
              <w:t xml:space="preserve"> most relevant or partially &amp; real life evidence </w:t>
            </w:r>
          </w:p>
        </w:tc>
      </w:tr>
      <w:tr w:rsidR="007934B1" w:rsidRPr="007934B1" w14:paraId="5E9B75DC" w14:textId="77777777" w:rsidTr="007934B1">
        <w:trPr>
          <w:trHeight w:val="290"/>
        </w:trPr>
        <w:tc>
          <w:tcPr>
            <w:tcW w:w="746" w:type="pct"/>
            <w:vMerge/>
          </w:tcPr>
          <w:p w14:paraId="780C41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93579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37E9FB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val="restart"/>
            <w:shd w:val="clear" w:color="auto" w:fill="auto"/>
          </w:tcPr>
          <w:p w14:paraId="0BC1CD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Shakespeare Williams Brealey Hadfield Hewitt Slade Stakeholder</w:t>
            </w:r>
          </w:p>
        </w:tc>
        <w:tc>
          <w:tcPr>
            <w:tcW w:w="607" w:type="pct"/>
            <w:vMerge w:val="restart"/>
            <w:shd w:val="clear" w:color="auto" w:fill="auto"/>
          </w:tcPr>
          <w:p w14:paraId="24EDE8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Feinberg Gannan Higgins Kerker Leger Noonan Wik Willey Young Bina Morrell Scope Tobin</w:t>
            </w:r>
          </w:p>
        </w:tc>
        <w:tc>
          <w:tcPr>
            <w:tcW w:w="607" w:type="pct"/>
            <w:vMerge w:val="restart"/>
            <w:shd w:val="clear" w:color="auto" w:fill="auto"/>
          </w:tcPr>
          <w:p w14:paraId="55EC15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Atif </w:t>
            </w:r>
          </w:p>
        </w:tc>
        <w:tc>
          <w:tcPr>
            <w:tcW w:w="561" w:type="pct"/>
            <w:vMerge w:val="restart"/>
            <w:shd w:val="clear" w:color="auto" w:fill="auto"/>
          </w:tcPr>
          <w:p w14:paraId="5D0E87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Megnin</w:t>
            </w:r>
          </w:p>
        </w:tc>
        <w:tc>
          <w:tcPr>
            <w:tcW w:w="513" w:type="pct"/>
            <w:vMerge/>
          </w:tcPr>
          <w:p w14:paraId="117C0A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B1166F4" w14:textId="77777777" w:rsidTr="007934B1">
        <w:trPr>
          <w:trHeight w:val="290"/>
        </w:trPr>
        <w:tc>
          <w:tcPr>
            <w:tcW w:w="746" w:type="pct"/>
            <w:vMerge/>
          </w:tcPr>
          <w:p w14:paraId="0D05558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0AF2FB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BC6CCE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shd w:val="clear" w:color="auto" w:fill="auto"/>
          </w:tcPr>
          <w:p w14:paraId="14B0C8E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5D1875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0E6552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uto"/>
          </w:tcPr>
          <w:p w14:paraId="602BBC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8FA72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C1109FD" w14:textId="77777777" w:rsidTr="007934B1">
        <w:tc>
          <w:tcPr>
            <w:tcW w:w="746" w:type="pct"/>
            <w:vMerge/>
            <w:shd w:val="clear" w:color="auto" w:fill="auto"/>
          </w:tcPr>
          <w:p w14:paraId="35A756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shd w:val="clear" w:color="auto" w:fill="auto"/>
          </w:tcPr>
          <w:p w14:paraId="6FA9F3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shd w:val="clear" w:color="auto" w:fill="auto"/>
          </w:tcPr>
          <w:p w14:paraId="65E3C03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6D5121E4"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C8E1EF6"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346BC60"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BB59620"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shd w:val="clear" w:color="auto" w:fill="FFFFFF" w:themeFill="background1"/>
          </w:tcPr>
          <w:p w14:paraId="604D2F0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97C64FA" w14:textId="77777777" w:rsidTr="007934B1">
        <w:tc>
          <w:tcPr>
            <w:tcW w:w="746" w:type="pct"/>
            <w:vMerge/>
            <w:shd w:val="clear" w:color="auto" w:fill="auto"/>
          </w:tcPr>
          <w:p w14:paraId="04B8F3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shd w:val="clear" w:color="auto" w:fill="auto"/>
          </w:tcPr>
          <w:p w14:paraId="466124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shd w:val="clear" w:color="auto" w:fill="auto"/>
          </w:tcPr>
          <w:p w14:paraId="17B4B2A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A376DC5"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Hadfield Shakespeare Williams Brealey Hadfield Hewitt Slade</w:t>
            </w:r>
          </w:p>
        </w:tc>
        <w:tc>
          <w:tcPr>
            <w:tcW w:w="607" w:type="pct"/>
            <w:shd w:val="clear" w:color="auto" w:fill="auto"/>
          </w:tcPr>
          <w:p w14:paraId="0B7AC6A8"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Higgins Noonan Vik Willey Morrell Scope Tobin</w:t>
            </w:r>
          </w:p>
        </w:tc>
        <w:tc>
          <w:tcPr>
            <w:tcW w:w="607" w:type="pct"/>
            <w:shd w:val="clear" w:color="auto" w:fill="auto"/>
          </w:tcPr>
          <w:p w14:paraId="0023D554"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 Dennis Megnin Bina</w:t>
            </w:r>
          </w:p>
        </w:tc>
        <w:tc>
          <w:tcPr>
            <w:tcW w:w="561" w:type="pct"/>
            <w:shd w:val="clear" w:color="auto" w:fill="auto"/>
          </w:tcPr>
          <w:p w14:paraId="79BBB720"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Atif Doering Feinberg Ganna Kerker Leger Young</w:t>
            </w:r>
          </w:p>
        </w:tc>
        <w:tc>
          <w:tcPr>
            <w:tcW w:w="513" w:type="pct"/>
            <w:vMerge/>
            <w:shd w:val="clear" w:color="auto" w:fill="FFFFFF" w:themeFill="background1"/>
          </w:tcPr>
          <w:p w14:paraId="316D4EF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C46D4BE" w14:textId="77777777" w:rsidTr="007934B1">
        <w:tc>
          <w:tcPr>
            <w:tcW w:w="746" w:type="pct"/>
            <w:shd w:val="clear" w:color="auto" w:fill="EDEDED" w:themeFill="accent3" w:themeFillTint="33"/>
          </w:tcPr>
          <w:p w14:paraId="443AAA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Medication</w:t>
            </w:r>
          </w:p>
        </w:tc>
        <w:tc>
          <w:tcPr>
            <w:tcW w:w="695" w:type="pct"/>
            <w:shd w:val="clear" w:color="auto" w:fill="EDEDED" w:themeFill="accent3" w:themeFillTint="33"/>
          </w:tcPr>
          <w:p w14:paraId="19AECE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shd w:val="clear" w:color="auto" w:fill="EDEDED" w:themeFill="accent3" w:themeFillTint="33"/>
          </w:tcPr>
          <w:p w14:paraId="624247E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E7E6E6" w:themeFill="background2"/>
          </w:tcPr>
          <w:p w14:paraId="23CE3AEC" w14:textId="77777777" w:rsidR="000B75EB" w:rsidRPr="007934B1" w:rsidRDefault="000B75EB" w:rsidP="007934B1">
            <w:pPr>
              <w:spacing w:line="240" w:lineRule="auto"/>
              <w:ind w:firstLine="0"/>
              <w:rPr>
                <w:rFonts w:ascii="Times New Roman" w:hAnsi="Times New Roman" w:cs="Times New Roman"/>
                <w:sz w:val="16"/>
                <w:szCs w:val="16"/>
              </w:rPr>
            </w:pPr>
          </w:p>
        </w:tc>
        <w:tc>
          <w:tcPr>
            <w:tcW w:w="607" w:type="pct"/>
            <w:shd w:val="clear" w:color="auto" w:fill="E7E6E6" w:themeFill="background2"/>
          </w:tcPr>
          <w:p w14:paraId="39B731D2" w14:textId="77777777" w:rsidR="000B75EB" w:rsidRPr="007934B1" w:rsidRDefault="000B75EB" w:rsidP="007934B1">
            <w:pPr>
              <w:spacing w:line="240" w:lineRule="auto"/>
              <w:ind w:firstLine="0"/>
              <w:rPr>
                <w:rFonts w:ascii="Times New Roman" w:hAnsi="Times New Roman" w:cs="Times New Roman"/>
                <w:sz w:val="16"/>
                <w:szCs w:val="16"/>
              </w:rPr>
            </w:pPr>
          </w:p>
        </w:tc>
        <w:tc>
          <w:tcPr>
            <w:tcW w:w="607" w:type="pct"/>
            <w:shd w:val="clear" w:color="auto" w:fill="E7E6E6" w:themeFill="background2"/>
          </w:tcPr>
          <w:p w14:paraId="43FF2712" w14:textId="77777777" w:rsidR="000B75EB" w:rsidRPr="007934B1" w:rsidRDefault="000B75EB" w:rsidP="007934B1">
            <w:pPr>
              <w:spacing w:line="240" w:lineRule="auto"/>
              <w:ind w:firstLine="0"/>
              <w:rPr>
                <w:rFonts w:ascii="Times New Roman" w:hAnsi="Times New Roman" w:cs="Times New Roman"/>
                <w:sz w:val="16"/>
                <w:szCs w:val="16"/>
              </w:rPr>
            </w:pPr>
          </w:p>
        </w:tc>
        <w:tc>
          <w:tcPr>
            <w:tcW w:w="561" w:type="pct"/>
            <w:shd w:val="clear" w:color="auto" w:fill="E7E6E6" w:themeFill="background2"/>
          </w:tcPr>
          <w:p w14:paraId="2E8AB8F4" w14:textId="77777777" w:rsidR="000B75EB" w:rsidRPr="007934B1" w:rsidRDefault="000B75EB" w:rsidP="007934B1">
            <w:pPr>
              <w:spacing w:line="240" w:lineRule="auto"/>
              <w:ind w:firstLine="0"/>
              <w:rPr>
                <w:rFonts w:ascii="Times New Roman" w:hAnsi="Times New Roman" w:cs="Times New Roman"/>
                <w:sz w:val="16"/>
                <w:szCs w:val="16"/>
              </w:rPr>
            </w:pPr>
          </w:p>
        </w:tc>
        <w:tc>
          <w:tcPr>
            <w:tcW w:w="513" w:type="pct"/>
            <w:shd w:val="clear" w:color="auto" w:fill="EDEDED" w:themeFill="accent3" w:themeFillTint="33"/>
          </w:tcPr>
          <w:p w14:paraId="1AE6333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F4C6309" w14:textId="77777777" w:rsidTr="007934B1">
        <w:tc>
          <w:tcPr>
            <w:tcW w:w="746" w:type="pct"/>
            <w:vMerge w:val="restart"/>
          </w:tcPr>
          <w:p w14:paraId="145C2C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HCPs reluctance</w:t>
            </w:r>
          </w:p>
        </w:tc>
        <w:tc>
          <w:tcPr>
            <w:tcW w:w="695" w:type="pct"/>
            <w:vMerge w:val="restart"/>
          </w:tcPr>
          <w:p w14:paraId="2F2DB6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Healthcare professionals having little confidence in prescribing medication or knowing which medications are safe during pregnancy and breastfeeding</w:t>
            </w:r>
          </w:p>
        </w:tc>
        <w:tc>
          <w:tcPr>
            <w:tcW w:w="690" w:type="pct"/>
            <w:vMerge w:val="restart"/>
          </w:tcPr>
          <w:p w14:paraId="07C472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Ganann Byatt Higgins Noonan</w:t>
            </w:r>
          </w:p>
        </w:tc>
        <w:tc>
          <w:tcPr>
            <w:tcW w:w="580" w:type="pct"/>
            <w:shd w:val="clear" w:color="auto" w:fill="A5A5A5" w:themeFill="accent3"/>
          </w:tcPr>
          <w:p w14:paraId="167683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BB156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3D59CA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8AE3D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0F67E1C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Moderrate - </w:t>
            </w:r>
            <w:r w:rsidRPr="007934B1">
              <w:rPr>
                <w:rFonts w:ascii="Times New Roman" w:hAnsi="Times New Roman" w:cs="Times New Roman"/>
                <w:sz w:val="16"/>
                <w:szCs w:val="16"/>
              </w:rPr>
              <w:t xml:space="preserve"> no direct relevance but some partial </w:t>
            </w:r>
          </w:p>
        </w:tc>
      </w:tr>
      <w:tr w:rsidR="007934B1" w:rsidRPr="007934B1" w14:paraId="6766FF9D" w14:textId="77777777" w:rsidTr="007934B1">
        <w:tc>
          <w:tcPr>
            <w:tcW w:w="746" w:type="pct"/>
            <w:vMerge/>
          </w:tcPr>
          <w:p w14:paraId="508013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C754D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B18F3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275500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03090A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Gannan Byatt Higgins Noonan</w:t>
            </w:r>
          </w:p>
        </w:tc>
        <w:tc>
          <w:tcPr>
            <w:tcW w:w="607" w:type="pct"/>
            <w:shd w:val="clear" w:color="auto" w:fill="auto"/>
          </w:tcPr>
          <w:p w14:paraId="0CEE50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D8A76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3E4B0F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DC4877E" w14:textId="77777777" w:rsidTr="007934B1">
        <w:tc>
          <w:tcPr>
            <w:tcW w:w="746" w:type="pct"/>
            <w:vMerge/>
          </w:tcPr>
          <w:p w14:paraId="75690B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9EA3C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A3163B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23CC10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6697F8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F219E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7C968F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4CD947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1B8FDC7" w14:textId="77777777" w:rsidTr="007934B1">
        <w:tc>
          <w:tcPr>
            <w:tcW w:w="746" w:type="pct"/>
            <w:vMerge/>
          </w:tcPr>
          <w:p w14:paraId="578EE1C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F79B7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B8B8D7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3BE7E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4DFF02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Higgins Noonan</w:t>
            </w:r>
          </w:p>
        </w:tc>
        <w:tc>
          <w:tcPr>
            <w:tcW w:w="607" w:type="pct"/>
            <w:shd w:val="clear" w:color="auto" w:fill="auto"/>
          </w:tcPr>
          <w:p w14:paraId="4B1BFF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C2175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Ganann Byatt</w:t>
            </w:r>
          </w:p>
        </w:tc>
        <w:tc>
          <w:tcPr>
            <w:tcW w:w="513" w:type="pct"/>
            <w:vMerge/>
          </w:tcPr>
          <w:p w14:paraId="7AAB1E5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B234855" w14:textId="77777777" w:rsidTr="007934B1">
        <w:tc>
          <w:tcPr>
            <w:tcW w:w="746" w:type="pct"/>
            <w:vMerge w:val="restart"/>
          </w:tcPr>
          <w:p w14:paraId="00EC781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Women’s reluctance</w:t>
            </w:r>
          </w:p>
        </w:tc>
        <w:tc>
          <w:tcPr>
            <w:tcW w:w="695" w:type="pct"/>
            <w:vMerge w:val="restart"/>
          </w:tcPr>
          <w:p w14:paraId="0AC6BD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Women not wanting to take medication affects implementation of care and access. </w:t>
            </w:r>
          </w:p>
        </w:tc>
        <w:tc>
          <w:tcPr>
            <w:tcW w:w="690" w:type="pct"/>
            <w:vMerge w:val="restart"/>
          </w:tcPr>
          <w:p w14:paraId="055540FF"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Ganan Doering Williamns Young Dennis, Tobin, Jones &amp; Sorsa, Megnin Viggers, Hadfield, Bina and Button</w:t>
            </w:r>
          </w:p>
        </w:tc>
        <w:tc>
          <w:tcPr>
            <w:tcW w:w="580" w:type="pct"/>
            <w:shd w:val="clear" w:color="auto" w:fill="A5A5A5" w:themeFill="accent3"/>
          </w:tcPr>
          <w:p w14:paraId="32AB32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CAD8E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93E13F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D9213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80E641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697697E9" w14:textId="77777777" w:rsidTr="007934B1">
        <w:trPr>
          <w:trHeight w:val="290"/>
        </w:trPr>
        <w:tc>
          <w:tcPr>
            <w:tcW w:w="746" w:type="pct"/>
            <w:vMerge/>
          </w:tcPr>
          <w:p w14:paraId="239ACDA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4CF70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526739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val="restart"/>
            <w:shd w:val="clear" w:color="auto" w:fill="auto"/>
          </w:tcPr>
          <w:p w14:paraId="4F2D0D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Williams Hadfield Button</w:t>
            </w:r>
          </w:p>
        </w:tc>
        <w:tc>
          <w:tcPr>
            <w:tcW w:w="607" w:type="pct"/>
            <w:vMerge w:val="restart"/>
            <w:shd w:val="clear" w:color="auto" w:fill="auto"/>
          </w:tcPr>
          <w:p w14:paraId="0E6D75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Gannan Doering Young Tobin Sorsa Bina</w:t>
            </w:r>
          </w:p>
        </w:tc>
        <w:tc>
          <w:tcPr>
            <w:tcW w:w="607" w:type="pct"/>
            <w:vMerge w:val="restart"/>
            <w:shd w:val="clear" w:color="auto" w:fill="auto"/>
          </w:tcPr>
          <w:p w14:paraId="183BA7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val="restart"/>
            <w:shd w:val="clear" w:color="auto" w:fill="auto"/>
          </w:tcPr>
          <w:p w14:paraId="439E86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Jones 19 Megnin</w:t>
            </w:r>
          </w:p>
        </w:tc>
        <w:tc>
          <w:tcPr>
            <w:tcW w:w="513" w:type="pct"/>
            <w:vMerge/>
          </w:tcPr>
          <w:p w14:paraId="33AC06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41FFAE1" w14:textId="77777777" w:rsidTr="007934B1">
        <w:trPr>
          <w:trHeight w:val="290"/>
        </w:trPr>
        <w:tc>
          <w:tcPr>
            <w:tcW w:w="746" w:type="pct"/>
            <w:vMerge/>
          </w:tcPr>
          <w:p w14:paraId="05AEA72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84E5C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140821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shd w:val="clear" w:color="auto" w:fill="auto"/>
          </w:tcPr>
          <w:p w14:paraId="72CB2D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77A536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182B53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uto"/>
          </w:tcPr>
          <w:p w14:paraId="5128CB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502B6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D56A2A3" w14:textId="77777777" w:rsidTr="007934B1">
        <w:tc>
          <w:tcPr>
            <w:tcW w:w="746" w:type="pct"/>
            <w:vMerge/>
          </w:tcPr>
          <w:p w14:paraId="09E8744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5C1F9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D96FD6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54857E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2052624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391AB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67753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AD876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DF0E42D" w14:textId="77777777" w:rsidTr="007934B1">
        <w:tc>
          <w:tcPr>
            <w:tcW w:w="746" w:type="pct"/>
            <w:vMerge/>
          </w:tcPr>
          <w:p w14:paraId="1FAA00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7E080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A9BE86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A3088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Williams Hadfield Button</w:t>
            </w:r>
          </w:p>
        </w:tc>
        <w:tc>
          <w:tcPr>
            <w:tcW w:w="607" w:type="pct"/>
            <w:shd w:val="clear" w:color="auto" w:fill="auto"/>
          </w:tcPr>
          <w:p w14:paraId="22F7F7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Tobin Sorsa</w:t>
            </w:r>
          </w:p>
        </w:tc>
        <w:tc>
          <w:tcPr>
            <w:tcW w:w="607" w:type="pct"/>
            <w:shd w:val="clear" w:color="auto" w:fill="auto"/>
          </w:tcPr>
          <w:p w14:paraId="1DE326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19 Megnin Bina</w:t>
            </w:r>
          </w:p>
        </w:tc>
        <w:tc>
          <w:tcPr>
            <w:tcW w:w="561" w:type="pct"/>
            <w:shd w:val="clear" w:color="auto" w:fill="auto"/>
          </w:tcPr>
          <w:p w14:paraId="2E4F1F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Ganann Doering  Young</w:t>
            </w:r>
          </w:p>
        </w:tc>
        <w:tc>
          <w:tcPr>
            <w:tcW w:w="513" w:type="pct"/>
            <w:vMerge/>
          </w:tcPr>
          <w:p w14:paraId="2C7560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EE4538A" w14:textId="77777777" w:rsidTr="007934B1">
        <w:tc>
          <w:tcPr>
            <w:tcW w:w="746" w:type="pct"/>
            <w:shd w:val="clear" w:color="auto" w:fill="EDEDED" w:themeFill="accent3" w:themeFillTint="33"/>
          </w:tcPr>
          <w:p w14:paraId="0D6E55B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Ideal care </w:t>
            </w:r>
          </w:p>
        </w:tc>
        <w:tc>
          <w:tcPr>
            <w:tcW w:w="695" w:type="pct"/>
            <w:shd w:val="clear" w:color="auto" w:fill="EDEDED" w:themeFill="accent3" w:themeFillTint="33"/>
          </w:tcPr>
          <w:p w14:paraId="5CDAE5E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shd w:val="clear" w:color="auto" w:fill="EDEDED" w:themeFill="accent3" w:themeFillTint="33"/>
          </w:tcPr>
          <w:p w14:paraId="54B2D75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E7E6E6" w:themeFill="background2"/>
          </w:tcPr>
          <w:p w14:paraId="6BFCDBB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7E6E6" w:themeFill="background2"/>
          </w:tcPr>
          <w:p w14:paraId="5E858F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7E6E6" w:themeFill="background2"/>
          </w:tcPr>
          <w:p w14:paraId="44D2F5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E7E6E6" w:themeFill="background2"/>
          </w:tcPr>
          <w:p w14:paraId="6C244A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shd w:val="clear" w:color="auto" w:fill="EDEDED" w:themeFill="accent3" w:themeFillTint="33"/>
          </w:tcPr>
          <w:p w14:paraId="4749A2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AA0BF2C" w14:textId="77777777" w:rsidTr="007934B1">
        <w:tc>
          <w:tcPr>
            <w:tcW w:w="746" w:type="pct"/>
            <w:vMerge w:val="restart"/>
          </w:tcPr>
          <w:p w14:paraId="4865C0B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Appropriateness </w:t>
            </w:r>
            <w:r w:rsidRPr="007934B1">
              <w:rPr>
                <w:rFonts w:ascii="Times New Roman" w:hAnsi="Times New Roman" w:cs="Times New Roman"/>
                <w:sz w:val="16"/>
                <w:szCs w:val="16"/>
              </w:rPr>
              <w:t xml:space="preserve">Appropriateness of care (n = 6) Appropriateness </w:t>
            </w:r>
          </w:p>
        </w:tc>
        <w:tc>
          <w:tcPr>
            <w:tcW w:w="695" w:type="pct"/>
            <w:vMerge w:val="restart"/>
          </w:tcPr>
          <w:p w14:paraId="029F997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Care sensitively designed to fit women’s needs improved implementation and access</w:t>
            </w:r>
          </w:p>
        </w:tc>
        <w:tc>
          <w:tcPr>
            <w:tcW w:w="690" w:type="pct"/>
            <w:vMerge w:val="restart"/>
          </w:tcPr>
          <w:p w14:paraId="3FCFCB77"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Chartier Gannan Nithianden Noonan Shakespeare Evans Megnin Scope</w:t>
            </w:r>
          </w:p>
        </w:tc>
        <w:tc>
          <w:tcPr>
            <w:tcW w:w="580" w:type="pct"/>
            <w:shd w:val="clear" w:color="auto" w:fill="A5A5A5" w:themeFill="accent3"/>
          </w:tcPr>
          <w:p w14:paraId="21BD6E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B45D0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05A36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FEF4F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AD3639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 only one supporting study and it is about screening</w:t>
            </w:r>
          </w:p>
        </w:tc>
      </w:tr>
      <w:tr w:rsidR="007934B1" w:rsidRPr="007934B1" w14:paraId="1ECC3FF5" w14:textId="77777777" w:rsidTr="007934B1">
        <w:trPr>
          <w:trHeight w:val="290"/>
        </w:trPr>
        <w:tc>
          <w:tcPr>
            <w:tcW w:w="746" w:type="pct"/>
            <w:vMerge/>
          </w:tcPr>
          <w:p w14:paraId="23D2C5B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7F6CE7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25ADFA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val="restart"/>
            <w:shd w:val="clear" w:color="auto" w:fill="auto"/>
          </w:tcPr>
          <w:p w14:paraId="7341F2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Shakespeare</w:t>
            </w:r>
          </w:p>
        </w:tc>
        <w:tc>
          <w:tcPr>
            <w:tcW w:w="607" w:type="pct"/>
            <w:vMerge w:val="restart"/>
            <w:shd w:val="clear" w:color="auto" w:fill="auto"/>
          </w:tcPr>
          <w:p w14:paraId="440B03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Gannan Nithianden Noonan Evans Scope</w:t>
            </w:r>
          </w:p>
        </w:tc>
        <w:tc>
          <w:tcPr>
            <w:tcW w:w="607" w:type="pct"/>
            <w:vMerge w:val="restart"/>
            <w:shd w:val="clear" w:color="auto" w:fill="auto"/>
          </w:tcPr>
          <w:p w14:paraId="758F3C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val="restart"/>
            <w:shd w:val="clear" w:color="auto" w:fill="auto"/>
          </w:tcPr>
          <w:p w14:paraId="130719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127B49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5BA44C3" w14:textId="77777777" w:rsidTr="007934B1">
        <w:trPr>
          <w:trHeight w:val="290"/>
        </w:trPr>
        <w:tc>
          <w:tcPr>
            <w:tcW w:w="746" w:type="pct"/>
            <w:vMerge/>
          </w:tcPr>
          <w:p w14:paraId="1CBE49B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4B1F7F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27782EB"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shd w:val="clear" w:color="auto" w:fill="auto"/>
          </w:tcPr>
          <w:p w14:paraId="0DE62C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5253FC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7B10F2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uto"/>
          </w:tcPr>
          <w:p w14:paraId="5436018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6E5B76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5777C6E" w14:textId="77777777" w:rsidTr="007934B1">
        <w:trPr>
          <w:trHeight w:val="290"/>
        </w:trPr>
        <w:tc>
          <w:tcPr>
            <w:tcW w:w="746" w:type="pct"/>
            <w:vMerge/>
          </w:tcPr>
          <w:p w14:paraId="75ECAB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389C1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6C4ECA3"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vMerge/>
            <w:shd w:val="clear" w:color="auto" w:fill="auto"/>
          </w:tcPr>
          <w:p w14:paraId="6BB6E4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626556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uto"/>
          </w:tcPr>
          <w:p w14:paraId="64BA1B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uto"/>
          </w:tcPr>
          <w:p w14:paraId="52C3F7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306C3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F7A2B39" w14:textId="77777777" w:rsidTr="007934B1">
        <w:tc>
          <w:tcPr>
            <w:tcW w:w="746" w:type="pct"/>
            <w:vMerge/>
          </w:tcPr>
          <w:p w14:paraId="03ED8C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B3FBCF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741FCF1"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69918A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F89D81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632E7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9E640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7151F03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FE83B6A" w14:textId="77777777" w:rsidTr="007934B1">
        <w:tc>
          <w:tcPr>
            <w:tcW w:w="746" w:type="pct"/>
            <w:vMerge/>
          </w:tcPr>
          <w:p w14:paraId="3CD92C9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2911C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4083DC0"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0B35C6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Shakespeare</w:t>
            </w:r>
          </w:p>
        </w:tc>
        <w:tc>
          <w:tcPr>
            <w:tcW w:w="607" w:type="pct"/>
            <w:shd w:val="clear" w:color="auto" w:fill="auto"/>
          </w:tcPr>
          <w:p w14:paraId="290C9E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Chartoer Nithianden Nooan</w:t>
            </w:r>
          </w:p>
        </w:tc>
        <w:tc>
          <w:tcPr>
            <w:tcW w:w="607" w:type="pct"/>
            <w:shd w:val="clear" w:color="auto" w:fill="auto"/>
          </w:tcPr>
          <w:p w14:paraId="641BF1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61" w:type="pct"/>
            <w:shd w:val="clear" w:color="auto" w:fill="auto"/>
          </w:tcPr>
          <w:p w14:paraId="1F0C58E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Ganann</w:t>
            </w:r>
          </w:p>
        </w:tc>
        <w:tc>
          <w:tcPr>
            <w:tcW w:w="513" w:type="pct"/>
            <w:vMerge/>
          </w:tcPr>
          <w:p w14:paraId="37BA44A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F2503D0" w14:textId="77777777" w:rsidTr="007934B1">
        <w:tc>
          <w:tcPr>
            <w:tcW w:w="746" w:type="pct"/>
            <w:vMerge w:val="restart"/>
          </w:tcPr>
          <w:p w14:paraId="0B3C4A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Culturally appropriate</w:t>
            </w:r>
          </w:p>
        </w:tc>
        <w:tc>
          <w:tcPr>
            <w:tcW w:w="695" w:type="pct"/>
            <w:vMerge w:val="restart"/>
          </w:tcPr>
          <w:p w14:paraId="230951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 line with this care needed to be culturally appropriate to fit to women’s individual cultural needs</w:t>
            </w:r>
          </w:p>
        </w:tc>
        <w:tc>
          <w:tcPr>
            <w:tcW w:w="690" w:type="pct"/>
            <w:vMerge w:val="restart"/>
          </w:tcPr>
          <w:p w14:paraId="377610EC"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sz w:val="16"/>
                <w:szCs w:val="16"/>
              </w:rPr>
              <w:t>Button Dennis Hadfield Jones 19 Schmied Smith Tobin Watson</w:t>
            </w:r>
          </w:p>
        </w:tc>
        <w:tc>
          <w:tcPr>
            <w:tcW w:w="580" w:type="pct"/>
            <w:shd w:val="clear" w:color="auto" w:fill="A5A5A5" w:themeFill="accent3"/>
          </w:tcPr>
          <w:p w14:paraId="4773FAF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77079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0FD88A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97097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F6D4CB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6F518F5F" w14:textId="77777777" w:rsidTr="007934B1">
        <w:tc>
          <w:tcPr>
            <w:tcW w:w="746" w:type="pct"/>
            <w:vMerge/>
          </w:tcPr>
          <w:p w14:paraId="3A101B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701AE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68BC1D7" w14:textId="77777777" w:rsidR="000B75EB" w:rsidRPr="007934B1" w:rsidRDefault="000B75EB" w:rsidP="007934B1">
            <w:pPr>
              <w:spacing w:line="240" w:lineRule="auto"/>
              <w:ind w:firstLine="0"/>
              <w:rPr>
                <w:rFonts w:ascii="Times New Roman" w:hAnsi="Times New Roman" w:cs="Times New Roman"/>
                <w:noProof/>
                <w:color w:val="000000"/>
                <w:sz w:val="16"/>
                <w:szCs w:val="16"/>
                <w:highlight w:val="yellow"/>
              </w:rPr>
            </w:pPr>
          </w:p>
        </w:tc>
        <w:tc>
          <w:tcPr>
            <w:tcW w:w="580" w:type="pct"/>
            <w:shd w:val="clear" w:color="auto" w:fill="auto"/>
          </w:tcPr>
          <w:p w14:paraId="2A981F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Hadfield Smith Watson</w:t>
            </w:r>
          </w:p>
        </w:tc>
        <w:tc>
          <w:tcPr>
            <w:tcW w:w="607" w:type="pct"/>
            <w:shd w:val="clear" w:color="auto" w:fill="auto"/>
          </w:tcPr>
          <w:p w14:paraId="290086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Tobin Schmied</w:t>
            </w:r>
          </w:p>
        </w:tc>
        <w:tc>
          <w:tcPr>
            <w:tcW w:w="607" w:type="pct"/>
            <w:shd w:val="clear" w:color="auto" w:fill="auto"/>
          </w:tcPr>
          <w:p w14:paraId="1425474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52CFC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9E989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EDECA46" w14:textId="77777777" w:rsidTr="007934B1">
        <w:tc>
          <w:tcPr>
            <w:tcW w:w="746" w:type="pct"/>
            <w:vMerge/>
          </w:tcPr>
          <w:p w14:paraId="26F61D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AE80F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3B8D636"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4FEB5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A95220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64843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D4C025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801F9F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E968D02" w14:textId="77777777" w:rsidTr="007934B1">
        <w:tc>
          <w:tcPr>
            <w:tcW w:w="746" w:type="pct"/>
            <w:vMerge/>
          </w:tcPr>
          <w:p w14:paraId="7402C7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9BDC4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026E790"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F8E73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Button Hadfield Smith Watson</w:t>
            </w:r>
          </w:p>
        </w:tc>
        <w:tc>
          <w:tcPr>
            <w:tcW w:w="607" w:type="pct"/>
            <w:shd w:val="clear" w:color="auto" w:fill="auto"/>
          </w:tcPr>
          <w:p w14:paraId="36EFF19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Tobin Schmied</w:t>
            </w:r>
          </w:p>
        </w:tc>
        <w:tc>
          <w:tcPr>
            <w:tcW w:w="607" w:type="pct"/>
            <w:shd w:val="clear" w:color="auto" w:fill="auto"/>
          </w:tcPr>
          <w:p w14:paraId="2E1446D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19</w:t>
            </w:r>
          </w:p>
        </w:tc>
        <w:tc>
          <w:tcPr>
            <w:tcW w:w="561" w:type="pct"/>
            <w:shd w:val="clear" w:color="auto" w:fill="auto"/>
          </w:tcPr>
          <w:p w14:paraId="5AEF3C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6E9B37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FB95087" w14:textId="77777777" w:rsidTr="007934B1">
        <w:tc>
          <w:tcPr>
            <w:tcW w:w="746" w:type="pct"/>
            <w:vMerge w:val="restart"/>
          </w:tcPr>
          <w:p w14:paraId="20AC691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Woman-centred </w:t>
            </w:r>
            <w:r w:rsidRPr="007934B1">
              <w:rPr>
                <w:rFonts w:ascii="Times New Roman" w:hAnsi="Times New Roman" w:cs="Times New Roman"/>
                <w:sz w:val="16"/>
                <w:szCs w:val="16"/>
              </w:rPr>
              <w:t>Choice (n = 6)</w:t>
            </w:r>
          </w:p>
        </w:tc>
        <w:tc>
          <w:tcPr>
            <w:tcW w:w="695" w:type="pct"/>
            <w:vMerge w:val="restart"/>
          </w:tcPr>
          <w:p w14:paraId="11481F1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being able to choose their care improved implementation</w:t>
            </w:r>
          </w:p>
        </w:tc>
        <w:tc>
          <w:tcPr>
            <w:tcW w:w="690" w:type="pct"/>
            <w:vMerge w:val="restart"/>
          </w:tcPr>
          <w:p w14:paraId="16DCEA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Doering Ganann Ormsby Vik Segre Stakeholders</w:t>
            </w:r>
          </w:p>
        </w:tc>
        <w:tc>
          <w:tcPr>
            <w:tcW w:w="580" w:type="pct"/>
            <w:shd w:val="clear" w:color="auto" w:fill="A5A5A5" w:themeFill="accent3"/>
          </w:tcPr>
          <w:p w14:paraId="341FFE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A8523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0A9CA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CBB06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E020CF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Mild- </w:t>
            </w:r>
            <w:r w:rsidRPr="007934B1">
              <w:rPr>
                <w:rFonts w:ascii="Times New Roman" w:hAnsi="Times New Roman" w:cs="Times New Roman"/>
                <w:sz w:val="16"/>
                <w:szCs w:val="16"/>
              </w:rPr>
              <w:t xml:space="preserve"> no direct relevance, only partial but evidence from SHs</w:t>
            </w:r>
          </w:p>
        </w:tc>
      </w:tr>
      <w:tr w:rsidR="007934B1" w:rsidRPr="007934B1" w14:paraId="15DD347B" w14:textId="77777777" w:rsidTr="007934B1">
        <w:tc>
          <w:tcPr>
            <w:tcW w:w="746" w:type="pct"/>
            <w:vMerge/>
          </w:tcPr>
          <w:p w14:paraId="635326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7F441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075A22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7BD9C8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w:t>
            </w:r>
          </w:p>
        </w:tc>
        <w:tc>
          <w:tcPr>
            <w:tcW w:w="607" w:type="pct"/>
            <w:shd w:val="clear" w:color="auto" w:fill="auto"/>
          </w:tcPr>
          <w:p w14:paraId="6CDD2C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Doering Ganann Ormsby Vik Segre</w:t>
            </w:r>
          </w:p>
        </w:tc>
        <w:tc>
          <w:tcPr>
            <w:tcW w:w="607" w:type="pct"/>
            <w:shd w:val="clear" w:color="auto" w:fill="auto"/>
          </w:tcPr>
          <w:p w14:paraId="7C044C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BF525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6A6BE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1EB1044" w14:textId="77777777" w:rsidTr="007934B1">
        <w:tc>
          <w:tcPr>
            <w:tcW w:w="746" w:type="pct"/>
            <w:vMerge/>
          </w:tcPr>
          <w:p w14:paraId="623311F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5C46502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07D02CB"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26E0E2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C5BC1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71A10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DEB8A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0330F9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43A904F" w14:textId="77777777" w:rsidTr="007934B1">
        <w:tc>
          <w:tcPr>
            <w:tcW w:w="746" w:type="pct"/>
            <w:vMerge/>
          </w:tcPr>
          <w:p w14:paraId="11DBE1D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3B72AB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92EE26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6B07B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4B9141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Vik Ormsby</w:t>
            </w:r>
          </w:p>
        </w:tc>
        <w:tc>
          <w:tcPr>
            <w:tcW w:w="607" w:type="pct"/>
            <w:shd w:val="clear" w:color="auto" w:fill="auto"/>
          </w:tcPr>
          <w:p w14:paraId="1E9CB5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CF01EC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Gannan Segre</w:t>
            </w:r>
          </w:p>
        </w:tc>
        <w:tc>
          <w:tcPr>
            <w:tcW w:w="513" w:type="pct"/>
            <w:vMerge/>
          </w:tcPr>
          <w:p w14:paraId="22DA855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0B4DF31" w14:textId="77777777" w:rsidTr="007934B1">
        <w:tc>
          <w:tcPr>
            <w:tcW w:w="746" w:type="pct"/>
            <w:vMerge w:val="restart"/>
          </w:tcPr>
          <w:p w14:paraId="45BEEC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Fitting in with women’s lifestyle (n = 3)</w:t>
            </w:r>
          </w:p>
        </w:tc>
        <w:tc>
          <w:tcPr>
            <w:tcW w:w="695" w:type="pct"/>
            <w:vMerge w:val="restart"/>
          </w:tcPr>
          <w:p w14:paraId="488502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Interventions that fit easily into women’s lifestyles aided implementation.</w:t>
            </w:r>
          </w:p>
        </w:tc>
        <w:tc>
          <w:tcPr>
            <w:tcW w:w="690" w:type="pct"/>
            <w:vMerge w:val="restart"/>
          </w:tcPr>
          <w:p w14:paraId="31B76A6B"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Chartier Omahen Pugh</w:t>
            </w:r>
          </w:p>
        </w:tc>
        <w:tc>
          <w:tcPr>
            <w:tcW w:w="580" w:type="pct"/>
            <w:shd w:val="clear" w:color="auto" w:fill="A5A5A5" w:themeFill="accent3"/>
          </w:tcPr>
          <w:p w14:paraId="647A68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6FAA5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8B904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CF7CC7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96C744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1A426803" w14:textId="77777777" w:rsidTr="007934B1">
        <w:tc>
          <w:tcPr>
            <w:tcW w:w="746" w:type="pct"/>
            <w:vMerge/>
          </w:tcPr>
          <w:p w14:paraId="65E3451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ADFAC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1F7D57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BC4B9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w:t>
            </w:r>
          </w:p>
        </w:tc>
        <w:tc>
          <w:tcPr>
            <w:tcW w:w="607" w:type="pct"/>
            <w:shd w:val="clear" w:color="auto" w:fill="auto"/>
          </w:tcPr>
          <w:p w14:paraId="3505A9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Pugh</w:t>
            </w:r>
          </w:p>
        </w:tc>
        <w:tc>
          <w:tcPr>
            <w:tcW w:w="607" w:type="pct"/>
            <w:shd w:val="clear" w:color="auto" w:fill="auto"/>
          </w:tcPr>
          <w:p w14:paraId="355677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137D1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55F76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4BDAFA6" w14:textId="77777777" w:rsidTr="007934B1">
        <w:tc>
          <w:tcPr>
            <w:tcW w:w="746" w:type="pct"/>
            <w:vMerge/>
          </w:tcPr>
          <w:p w14:paraId="009D07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327D7E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A9395D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1AE8FA7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76DC97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7A214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006395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9D1E7F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F0C3E21" w14:textId="77777777" w:rsidTr="007934B1">
        <w:tc>
          <w:tcPr>
            <w:tcW w:w="746" w:type="pct"/>
            <w:vMerge/>
          </w:tcPr>
          <w:p w14:paraId="3C084B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55378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E3B67C9"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80951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w:t>
            </w:r>
          </w:p>
        </w:tc>
        <w:tc>
          <w:tcPr>
            <w:tcW w:w="607" w:type="pct"/>
            <w:shd w:val="clear" w:color="auto" w:fill="auto"/>
          </w:tcPr>
          <w:p w14:paraId="3896DF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Pugh</w:t>
            </w:r>
          </w:p>
        </w:tc>
        <w:tc>
          <w:tcPr>
            <w:tcW w:w="607" w:type="pct"/>
            <w:shd w:val="clear" w:color="auto" w:fill="auto"/>
          </w:tcPr>
          <w:p w14:paraId="0F0E1A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B28DE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9E270B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8E1414D" w14:textId="77777777" w:rsidTr="007934B1">
        <w:tc>
          <w:tcPr>
            <w:tcW w:w="746" w:type="pct"/>
            <w:vMerge w:val="restart"/>
          </w:tcPr>
          <w:p w14:paraId="73B863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Flexibility (n = 13)</w:t>
            </w:r>
          </w:p>
        </w:tc>
        <w:tc>
          <w:tcPr>
            <w:tcW w:w="695" w:type="pct"/>
            <w:vMerge w:val="restart"/>
          </w:tcPr>
          <w:p w14:paraId="03D424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Flexibility of care improved implementation</w:t>
            </w:r>
          </w:p>
        </w:tc>
        <w:tc>
          <w:tcPr>
            <w:tcW w:w="690" w:type="pct"/>
            <w:vMerge w:val="restart"/>
          </w:tcPr>
          <w:p w14:paraId="7C98C24D"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Bina Doering Eappen Ganann Hadfield Judd Munoda Nithian Omahen Pugh Shorey Williams Atif 2020 Scope</w:t>
            </w:r>
          </w:p>
        </w:tc>
        <w:tc>
          <w:tcPr>
            <w:tcW w:w="580" w:type="pct"/>
            <w:shd w:val="clear" w:color="auto" w:fill="A5A5A5" w:themeFill="accent3"/>
          </w:tcPr>
          <w:p w14:paraId="0B6305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0C3A2B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C4759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84ABEA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68073A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seems to be quite a universal desire</w:t>
            </w:r>
          </w:p>
        </w:tc>
      </w:tr>
      <w:tr w:rsidR="007934B1" w:rsidRPr="007934B1" w14:paraId="16BAD6B2" w14:textId="77777777" w:rsidTr="007934B1">
        <w:tc>
          <w:tcPr>
            <w:tcW w:w="746" w:type="pct"/>
            <w:vMerge/>
          </w:tcPr>
          <w:p w14:paraId="2493284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C7DD9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2FDBC9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B37DA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O’Mageb Williams</w:t>
            </w:r>
          </w:p>
        </w:tc>
        <w:tc>
          <w:tcPr>
            <w:tcW w:w="607" w:type="pct"/>
            <w:shd w:val="clear" w:color="auto" w:fill="auto"/>
          </w:tcPr>
          <w:p w14:paraId="48C703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Ganann Judd Nithianden Pugh Scope</w:t>
            </w:r>
          </w:p>
        </w:tc>
        <w:tc>
          <w:tcPr>
            <w:tcW w:w="607" w:type="pct"/>
            <w:shd w:val="clear" w:color="auto" w:fill="auto"/>
          </w:tcPr>
          <w:p w14:paraId="15F031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Eappen Munodawafa Shorey Atif 20</w:t>
            </w:r>
          </w:p>
        </w:tc>
        <w:tc>
          <w:tcPr>
            <w:tcW w:w="561" w:type="pct"/>
            <w:shd w:val="clear" w:color="auto" w:fill="auto"/>
          </w:tcPr>
          <w:p w14:paraId="3A9EAD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748468F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1FC5BF3" w14:textId="77777777" w:rsidTr="007934B1">
        <w:tc>
          <w:tcPr>
            <w:tcW w:w="746" w:type="pct"/>
            <w:vMerge/>
          </w:tcPr>
          <w:p w14:paraId="18CB28E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4EE0A2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B075B6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644A0F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8418B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586EED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48650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FB8074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38788F5" w14:textId="77777777" w:rsidTr="007934B1">
        <w:tc>
          <w:tcPr>
            <w:tcW w:w="746" w:type="pct"/>
            <w:vMerge/>
          </w:tcPr>
          <w:p w14:paraId="796070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3D0E4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FE0180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307BEE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O’Mageb Williams</w:t>
            </w:r>
          </w:p>
        </w:tc>
        <w:tc>
          <w:tcPr>
            <w:tcW w:w="607" w:type="pct"/>
            <w:shd w:val="clear" w:color="auto" w:fill="auto"/>
          </w:tcPr>
          <w:p w14:paraId="6B34956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Judd  Nithianden Pugh Munodawafa Shorey Scope</w:t>
            </w:r>
          </w:p>
        </w:tc>
        <w:tc>
          <w:tcPr>
            <w:tcW w:w="607" w:type="pct"/>
            <w:shd w:val="clear" w:color="auto" w:fill="auto"/>
          </w:tcPr>
          <w:p w14:paraId="5B53EA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Eappen</w:t>
            </w:r>
          </w:p>
        </w:tc>
        <w:tc>
          <w:tcPr>
            <w:tcW w:w="561" w:type="pct"/>
            <w:shd w:val="clear" w:color="auto" w:fill="auto"/>
          </w:tcPr>
          <w:p w14:paraId="3D58344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Gannan Atif</w:t>
            </w:r>
          </w:p>
        </w:tc>
        <w:tc>
          <w:tcPr>
            <w:tcW w:w="513" w:type="pct"/>
            <w:vMerge/>
          </w:tcPr>
          <w:p w14:paraId="7BDB34D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CDEFE43" w14:textId="77777777" w:rsidTr="007934B1">
        <w:tc>
          <w:tcPr>
            <w:tcW w:w="746" w:type="pct"/>
            <w:vMerge w:val="restart"/>
          </w:tcPr>
          <w:p w14:paraId="219DD8E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Relevance to women (n = 2)</w:t>
            </w:r>
          </w:p>
        </w:tc>
        <w:tc>
          <w:tcPr>
            <w:tcW w:w="695" w:type="pct"/>
            <w:vMerge w:val="restart"/>
          </w:tcPr>
          <w:p w14:paraId="3F97BF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Being aware of patient’s needs and providing care with women at the centre aided implementation and access Relevance to women improved implementation</w:t>
            </w:r>
          </w:p>
        </w:tc>
        <w:tc>
          <w:tcPr>
            <w:tcW w:w="690" w:type="pct"/>
            <w:vMerge w:val="restart"/>
          </w:tcPr>
          <w:p w14:paraId="3B90310C"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Omahen Pugh</w:t>
            </w:r>
          </w:p>
        </w:tc>
        <w:tc>
          <w:tcPr>
            <w:tcW w:w="580" w:type="pct"/>
            <w:shd w:val="clear" w:color="auto" w:fill="A5A5A5" w:themeFill="accent3"/>
          </w:tcPr>
          <w:p w14:paraId="25B661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0C4FB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FFE9ED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662013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79A7D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0115EB88" w14:textId="77777777" w:rsidTr="007934B1">
        <w:tc>
          <w:tcPr>
            <w:tcW w:w="746" w:type="pct"/>
            <w:vMerge/>
          </w:tcPr>
          <w:p w14:paraId="11CD3D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9C356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5E70C7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BD4DD1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 Mahen</w:t>
            </w:r>
          </w:p>
        </w:tc>
        <w:tc>
          <w:tcPr>
            <w:tcW w:w="607" w:type="pct"/>
            <w:shd w:val="clear" w:color="auto" w:fill="auto"/>
          </w:tcPr>
          <w:p w14:paraId="20334C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Pugh</w:t>
            </w:r>
          </w:p>
        </w:tc>
        <w:tc>
          <w:tcPr>
            <w:tcW w:w="607" w:type="pct"/>
            <w:shd w:val="clear" w:color="auto" w:fill="auto"/>
          </w:tcPr>
          <w:p w14:paraId="6B0694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680F1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BC9357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AB36CCA" w14:textId="77777777" w:rsidTr="007934B1">
        <w:tc>
          <w:tcPr>
            <w:tcW w:w="746" w:type="pct"/>
            <w:vMerge/>
          </w:tcPr>
          <w:p w14:paraId="40F982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F047E1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A656FE7"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1082B1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0F1D0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7EA0F6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95D0E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1F9796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986311D" w14:textId="77777777" w:rsidTr="007934B1">
        <w:tc>
          <w:tcPr>
            <w:tcW w:w="746" w:type="pct"/>
            <w:vMerge/>
          </w:tcPr>
          <w:p w14:paraId="40614B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F9406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CD590C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82120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w:t>
            </w:r>
          </w:p>
        </w:tc>
        <w:tc>
          <w:tcPr>
            <w:tcW w:w="607" w:type="pct"/>
            <w:shd w:val="clear" w:color="auto" w:fill="auto"/>
          </w:tcPr>
          <w:p w14:paraId="39F43C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pUGH</w:t>
            </w:r>
          </w:p>
        </w:tc>
        <w:tc>
          <w:tcPr>
            <w:tcW w:w="607" w:type="pct"/>
            <w:shd w:val="clear" w:color="auto" w:fill="auto"/>
          </w:tcPr>
          <w:p w14:paraId="69D046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62D70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838E3C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0AEC4B3" w14:textId="77777777" w:rsidTr="007934B1">
        <w:tc>
          <w:tcPr>
            <w:tcW w:w="746" w:type="pct"/>
            <w:vMerge w:val="restart"/>
          </w:tcPr>
          <w:p w14:paraId="3C1702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Individualised </w:t>
            </w:r>
          </w:p>
        </w:tc>
        <w:tc>
          <w:tcPr>
            <w:tcW w:w="695" w:type="pct"/>
            <w:vMerge/>
          </w:tcPr>
          <w:p w14:paraId="59D131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496D8C5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Evans et al., 2020; Hadfield &amp; Wittkowski, 2017; Megnin-Viggars et al., 2015; Morrell et al., 2016; Schmied et al., 2017; Scope et al., 2017; Slade et al., 2020; Sorsa et al., 2021; Viveiros &amp; </w:t>
            </w:r>
            <w:r w:rsidRPr="007934B1">
              <w:rPr>
                <w:rFonts w:ascii="Times New Roman" w:hAnsi="Times New Roman" w:cs="Times New Roman"/>
                <w:noProof/>
                <w:color w:val="000000"/>
                <w:sz w:val="16"/>
                <w:szCs w:val="16"/>
              </w:rPr>
              <w:lastRenderedPageBreak/>
              <w:t>Darling, 2018; Watson et al., 2019</w:t>
            </w:r>
          </w:p>
        </w:tc>
        <w:tc>
          <w:tcPr>
            <w:tcW w:w="580" w:type="pct"/>
            <w:shd w:val="clear" w:color="auto" w:fill="A5A5A5" w:themeFill="accent3"/>
          </w:tcPr>
          <w:p w14:paraId="0AAD51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362047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F6AA3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915BF9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26325D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24E83CC2" w14:textId="77777777" w:rsidTr="007934B1">
        <w:tc>
          <w:tcPr>
            <w:tcW w:w="746" w:type="pct"/>
            <w:vMerge/>
          </w:tcPr>
          <w:p w14:paraId="5BBCF7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B80CE7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77E678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7558E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Slade Viveiros Watson</w:t>
            </w:r>
          </w:p>
        </w:tc>
        <w:tc>
          <w:tcPr>
            <w:tcW w:w="607" w:type="pct"/>
            <w:shd w:val="clear" w:color="auto" w:fill="auto"/>
          </w:tcPr>
          <w:p w14:paraId="584733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Morrell Schmied Scope Sorsa</w:t>
            </w:r>
          </w:p>
        </w:tc>
        <w:tc>
          <w:tcPr>
            <w:tcW w:w="607" w:type="pct"/>
            <w:shd w:val="clear" w:color="auto" w:fill="auto"/>
          </w:tcPr>
          <w:p w14:paraId="3E8E13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6B92DD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7C50054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8777EA2" w14:textId="77777777" w:rsidTr="007934B1">
        <w:tc>
          <w:tcPr>
            <w:tcW w:w="746" w:type="pct"/>
            <w:vMerge/>
          </w:tcPr>
          <w:p w14:paraId="7C6F939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F7E4C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B48630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730C99D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57625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07703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0DDEC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CC0B89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CCC8442" w14:textId="77777777" w:rsidTr="007934B1">
        <w:tc>
          <w:tcPr>
            <w:tcW w:w="746" w:type="pct"/>
            <w:vMerge/>
          </w:tcPr>
          <w:p w14:paraId="5B41E2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9A66C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0A4D888"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5F13BA8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Slade Viveiros Watson</w:t>
            </w:r>
          </w:p>
        </w:tc>
        <w:tc>
          <w:tcPr>
            <w:tcW w:w="607" w:type="pct"/>
            <w:shd w:val="clear" w:color="auto" w:fill="auto"/>
          </w:tcPr>
          <w:p w14:paraId="12E71D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Morrell Schmied Scope Sorsa</w:t>
            </w:r>
          </w:p>
        </w:tc>
        <w:tc>
          <w:tcPr>
            <w:tcW w:w="607" w:type="pct"/>
            <w:shd w:val="clear" w:color="auto" w:fill="auto"/>
          </w:tcPr>
          <w:p w14:paraId="4750EB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61" w:type="pct"/>
            <w:shd w:val="clear" w:color="auto" w:fill="auto"/>
          </w:tcPr>
          <w:p w14:paraId="067057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ED998E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8CE4AD1" w14:textId="77777777" w:rsidTr="007934B1">
        <w:tc>
          <w:tcPr>
            <w:tcW w:w="746" w:type="pct"/>
            <w:vMerge w:val="restart"/>
          </w:tcPr>
          <w:p w14:paraId="6CFA88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Length</w:t>
            </w:r>
          </w:p>
        </w:tc>
        <w:tc>
          <w:tcPr>
            <w:tcW w:w="695" w:type="pct"/>
            <w:vMerge w:val="restart"/>
          </w:tcPr>
          <w:p w14:paraId="624ED8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Care needed to be at an appropriate length for women, not to finish too early to aid access</w:t>
            </w:r>
          </w:p>
        </w:tc>
        <w:tc>
          <w:tcPr>
            <w:tcW w:w="690" w:type="pct"/>
            <w:vMerge w:val="restart"/>
          </w:tcPr>
          <w:p w14:paraId="05C5B983"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Hadfield &amp; Wittkowski, 2017; Morrell et al., 2016; Schmied et al., 2017; Watson et al., 2019</w:t>
            </w:r>
          </w:p>
        </w:tc>
        <w:tc>
          <w:tcPr>
            <w:tcW w:w="580" w:type="pct"/>
            <w:shd w:val="clear" w:color="auto" w:fill="A5A5A5" w:themeFill="accent3"/>
          </w:tcPr>
          <w:p w14:paraId="0D6A9C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DFFC0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77BD8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52AF7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C69FAF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6E153814" w14:textId="77777777" w:rsidTr="007934B1">
        <w:tc>
          <w:tcPr>
            <w:tcW w:w="746" w:type="pct"/>
            <w:vMerge/>
          </w:tcPr>
          <w:p w14:paraId="1D1939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BC93E1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2609D5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F805B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Watson</w:t>
            </w:r>
          </w:p>
        </w:tc>
        <w:tc>
          <w:tcPr>
            <w:tcW w:w="607" w:type="pct"/>
            <w:shd w:val="clear" w:color="auto" w:fill="auto"/>
          </w:tcPr>
          <w:p w14:paraId="2A3E9D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Morrell Schmied</w:t>
            </w:r>
          </w:p>
        </w:tc>
        <w:tc>
          <w:tcPr>
            <w:tcW w:w="607" w:type="pct"/>
            <w:shd w:val="clear" w:color="auto" w:fill="auto"/>
          </w:tcPr>
          <w:p w14:paraId="3F2B90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54821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B274F2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55D4A8C" w14:textId="77777777" w:rsidTr="007934B1">
        <w:tc>
          <w:tcPr>
            <w:tcW w:w="746" w:type="pct"/>
            <w:vMerge/>
          </w:tcPr>
          <w:p w14:paraId="3F1543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DBB8B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EE42FB5"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6306E3A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A597B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5E3CFE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FAC2BD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B1B677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DE633FA" w14:textId="77777777" w:rsidTr="007934B1">
        <w:tc>
          <w:tcPr>
            <w:tcW w:w="746" w:type="pct"/>
            <w:vMerge/>
          </w:tcPr>
          <w:p w14:paraId="1701C2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990EE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814610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0DA8F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Watson</w:t>
            </w:r>
          </w:p>
        </w:tc>
        <w:tc>
          <w:tcPr>
            <w:tcW w:w="607" w:type="pct"/>
            <w:shd w:val="clear" w:color="auto" w:fill="auto"/>
          </w:tcPr>
          <w:p w14:paraId="2BADB8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Morrell Schmied</w:t>
            </w:r>
          </w:p>
        </w:tc>
        <w:tc>
          <w:tcPr>
            <w:tcW w:w="607" w:type="pct"/>
            <w:shd w:val="clear" w:color="auto" w:fill="auto"/>
          </w:tcPr>
          <w:p w14:paraId="4285AF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DA32B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7B6E11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4CD958E" w14:textId="77777777" w:rsidTr="007934B1">
        <w:tc>
          <w:tcPr>
            <w:tcW w:w="746" w:type="pct"/>
            <w:vMerge w:val="restart"/>
          </w:tcPr>
          <w:p w14:paraId="6364EA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Timing (n = 5)</w:t>
            </w:r>
          </w:p>
        </w:tc>
        <w:tc>
          <w:tcPr>
            <w:tcW w:w="695" w:type="pct"/>
            <w:vMerge w:val="restart"/>
          </w:tcPr>
          <w:p w14:paraId="3197DE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Implementation was aided when the timing fitted in with women’s needs</w:t>
            </w:r>
          </w:p>
        </w:tc>
        <w:tc>
          <w:tcPr>
            <w:tcW w:w="690" w:type="pct"/>
            <w:vMerge w:val="restart"/>
          </w:tcPr>
          <w:p w14:paraId="2A475D5C"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Pugh Segre Leger Masood </w:t>
            </w:r>
          </w:p>
        </w:tc>
        <w:tc>
          <w:tcPr>
            <w:tcW w:w="580" w:type="pct"/>
            <w:shd w:val="clear" w:color="auto" w:fill="A5A5A5" w:themeFill="accent3"/>
          </w:tcPr>
          <w:p w14:paraId="0ED54E3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8266BE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505265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19C0F9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2B0F4B6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w:t>
            </w:r>
          </w:p>
        </w:tc>
      </w:tr>
      <w:tr w:rsidR="007934B1" w:rsidRPr="007934B1" w14:paraId="279F88E6" w14:textId="77777777" w:rsidTr="007934B1">
        <w:tc>
          <w:tcPr>
            <w:tcW w:w="746" w:type="pct"/>
            <w:vMerge/>
          </w:tcPr>
          <w:p w14:paraId="5DEF0C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6CCDD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C636DA1"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3D71AE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w:t>
            </w:r>
          </w:p>
        </w:tc>
        <w:tc>
          <w:tcPr>
            <w:tcW w:w="607" w:type="pct"/>
            <w:shd w:val="clear" w:color="auto" w:fill="auto"/>
          </w:tcPr>
          <w:p w14:paraId="4D49DFE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Pugh Segre Leger</w:t>
            </w:r>
          </w:p>
        </w:tc>
        <w:tc>
          <w:tcPr>
            <w:tcW w:w="607" w:type="pct"/>
            <w:shd w:val="clear" w:color="auto" w:fill="auto"/>
          </w:tcPr>
          <w:p w14:paraId="262081A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61" w:type="pct"/>
            <w:shd w:val="clear" w:color="auto" w:fill="auto"/>
          </w:tcPr>
          <w:p w14:paraId="481BD05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6E149B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AF7C2AD" w14:textId="77777777" w:rsidTr="007934B1">
        <w:tc>
          <w:tcPr>
            <w:tcW w:w="746" w:type="pct"/>
            <w:vMerge/>
          </w:tcPr>
          <w:p w14:paraId="2E53A6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A39092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921ED1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0590B0B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AD7586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266788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02A8D1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3B74629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8A44D4E" w14:textId="77777777" w:rsidTr="007934B1">
        <w:tc>
          <w:tcPr>
            <w:tcW w:w="746" w:type="pct"/>
            <w:vMerge/>
          </w:tcPr>
          <w:p w14:paraId="0DF4560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195AC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61129E7"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B8148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w:t>
            </w:r>
          </w:p>
        </w:tc>
        <w:tc>
          <w:tcPr>
            <w:tcW w:w="607" w:type="pct"/>
            <w:shd w:val="clear" w:color="auto" w:fill="auto"/>
          </w:tcPr>
          <w:p w14:paraId="19D9724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Pugh Leger</w:t>
            </w:r>
          </w:p>
        </w:tc>
        <w:tc>
          <w:tcPr>
            <w:tcW w:w="607" w:type="pct"/>
            <w:shd w:val="clear" w:color="auto" w:fill="auto"/>
          </w:tcPr>
          <w:p w14:paraId="460268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655EE5D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Segre</w:t>
            </w:r>
          </w:p>
        </w:tc>
        <w:tc>
          <w:tcPr>
            <w:tcW w:w="513" w:type="pct"/>
            <w:vMerge/>
          </w:tcPr>
          <w:p w14:paraId="04A4FDA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D2A2AAB" w14:textId="77777777" w:rsidTr="007934B1">
        <w:tc>
          <w:tcPr>
            <w:tcW w:w="746" w:type="pct"/>
            <w:vMerge w:val="restart"/>
          </w:tcPr>
          <w:p w14:paraId="62368E6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How and where delivered </w:t>
            </w:r>
            <w:r w:rsidRPr="007934B1">
              <w:rPr>
                <w:rFonts w:ascii="Times New Roman" w:hAnsi="Times New Roman" w:cs="Times New Roman"/>
                <w:sz w:val="16"/>
                <w:szCs w:val="16"/>
              </w:rPr>
              <w:t>Delivery in a healthcare setting (n = 12)</w:t>
            </w:r>
          </w:p>
        </w:tc>
        <w:tc>
          <w:tcPr>
            <w:tcW w:w="695" w:type="pct"/>
            <w:vMerge w:val="restart"/>
          </w:tcPr>
          <w:p w14:paraId="620253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Generally women prefer treatment at their homes. Healthcare settings were seen by women as being too busy. Implementation was aided when services acted as a “one stop shop”</w:t>
            </w:r>
          </w:p>
        </w:tc>
        <w:tc>
          <w:tcPr>
            <w:tcW w:w="690" w:type="pct"/>
            <w:vMerge w:val="restart"/>
          </w:tcPr>
          <w:p w14:paraId="0E4ECFC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20 Bina Boyd Cox Kerker Munodawafa Ormsby</w:t>
            </w:r>
          </w:p>
        </w:tc>
        <w:tc>
          <w:tcPr>
            <w:tcW w:w="580" w:type="pct"/>
            <w:shd w:val="clear" w:color="auto" w:fill="A5A5A5" w:themeFill="accent3"/>
          </w:tcPr>
          <w:p w14:paraId="0086F1E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53FAB2C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3A9A5A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E440A4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034AF1C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some partially releavant</w:t>
            </w:r>
          </w:p>
        </w:tc>
      </w:tr>
      <w:tr w:rsidR="007934B1" w:rsidRPr="007934B1" w14:paraId="68B5A1EA" w14:textId="77777777" w:rsidTr="007934B1">
        <w:tc>
          <w:tcPr>
            <w:tcW w:w="746" w:type="pct"/>
            <w:vMerge/>
          </w:tcPr>
          <w:p w14:paraId="05B3D7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F71C4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A92EA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61383FA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07" w:type="pct"/>
            <w:shd w:val="clear" w:color="auto" w:fill="auto"/>
          </w:tcPr>
          <w:p w14:paraId="45EF8EC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Cox Kerker Ormsby</w:t>
            </w:r>
          </w:p>
        </w:tc>
        <w:tc>
          <w:tcPr>
            <w:tcW w:w="607" w:type="pct"/>
            <w:shd w:val="clear" w:color="auto" w:fill="auto"/>
          </w:tcPr>
          <w:p w14:paraId="1245A5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20 Bina Munodawafa</w:t>
            </w:r>
          </w:p>
        </w:tc>
        <w:tc>
          <w:tcPr>
            <w:tcW w:w="561" w:type="pct"/>
            <w:shd w:val="clear" w:color="auto" w:fill="auto"/>
          </w:tcPr>
          <w:p w14:paraId="14D9395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6C7893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AB1042E" w14:textId="77777777" w:rsidTr="007934B1">
        <w:tc>
          <w:tcPr>
            <w:tcW w:w="746" w:type="pct"/>
            <w:vMerge/>
          </w:tcPr>
          <w:p w14:paraId="1B11798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087022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0FAE973"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4DABAB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638F0F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18022D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BC4A0E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515D130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D3F0B88" w14:textId="77777777" w:rsidTr="007934B1">
        <w:tc>
          <w:tcPr>
            <w:tcW w:w="746" w:type="pct"/>
            <w:vMerge/>
          </w:tcPr>
          <w:p w14:paraId="73FA61D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6787EB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4601767"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56EC3F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07" w:type="pct"/>
            <w:shd w:val="clear" w:color="auto" w:fill="auto"/>
          </w:tcPr>
          <w:p w14:paraId="156032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Ormsby Munodawafa</w:t>
            </w:r>
          </w:p>
        </w:tc>
        <w:tc>
          <w:tcPr>
            <w:tcW w:w="607" w:type="pct"/>
            <w:shd w:val="clear" w:color="auto" w:fill="auto"/>
          </w:tcPr>
          <w:p w14:paraId="268F367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5F2886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20 Boyd Cox Kerker</w:t>
            </w:r>
          </w:p>
        </w:tc>
        <w:tc>
          <w:tcPr>
            <w:tcW w:w="513" w:type="pct"/>
            <w:vMerge/>
          </w:tcPr>
          <w:p w14:paraId="30C2D3A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B070CD3" w14:textId="77777777" w:rsidTr="007934B1">
        <w:tc>
          <w:tcPr>
            <w:tcW w:w="746" w:type="pct"/>
            <w:vMerge w:val="restart"/>
          </w:tcPr>
          <w:p w14:paraId="36AA34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Delivery in home setting (n = 5) </w:t>
            </w:r>
          </w:p>
        </w:tc>
        <w:tc>
          <w:tcPr>
            <w:tcW w:w="695" w:type="pct"/>
            <w:vMerge/>
          </w:tcPr>
          <w:p w14:paraId="3A9ABF4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5DA976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Ammerman Beeber Judd Munodawafa Myors Leger Hadfield Hansotte Jones 19 Praetorius Sorsa </w:t>
            </w:r>
          </w:p>
        </w:tc>
        <w:tc>
          <w:tcPr>
            <w:tcW w:w="580" w:type="pct"/>
            <w:shd w:val="clear" w:color="auto" w:fill="A5A5A5" w:themeFill="accent3"/>
          </w:tcPr>
          <w:p w14:paraId="493096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7F761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86474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60C69B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E4B54F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 only one supporting study</w:t>
            </w:r>
          </w:p>
        </w:tc>
      </w:tr>
      <w:tr w:rsidR="007934B1" w:rsidRPr="007934B1" w14:paraId="126CF834" w14:textId="77777777" w:rsidTr="007934B1">
        <w:tc>
          <w:tcPr>
            <w:tcW w:w="746" w:type="pct"/>
            <w:vMerge/>
          </w:tcPr>
          <w:p w14:paraId="0883E1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68120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2BEBDF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4A8BA07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Hadfield </w:t>
            </w:r>
          </w:p>
        </w:tc>
        <w:tc>
          <w:tcPr>
            <w:tcW w:w="607" w:type="pct"/>
            <w:shd w:val="clear" w:color="auto" w:fill="auto"/>
          </w:tcPr>
          <w:p w14:paraId="69973A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Beeber Judd Myors Leger Hansotte Praetorius Sorsa</w:t>
            </w:r>
          </w:p>
        </w:tc>
        <w:tc>
          <w:tcPr>
            <w:tcW w:w="607" w:type="pct"/>
            <w:shd w:val="clear" w:color="auto" w:fill="auto"/>
          </w:tcPr>
          <w:p w14:paraId="69A018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Munodawafa</w:t>
            </w:r>
          </w:p>
        </w:tc>
        <w:tc>
          <w:tcPr>
            <w:tcW w:w="561" w:type="pct"/>
            <w:shd w:val="clear" w:color="auto" w:fill="auto"/>
          </w:tcPr>
          <w:p w14:paraId="3DCC87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19</w:t>
            </w:r>
          </w:p>
        </w:tc>
        <w:tc>
          <w:tcPr>
            <w:tcW w:w="513" w:type="pct"/>
            <w:vMerge/>
          </w:tcPr>
          <w:p w14:paraId="6A6DD40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99F962E" w14:textId="77777777" w:rsidTr="007934B1">
        <w:tc>
          <w:tcPr>
            <w:tcW w:w="746" w:type="pct"/>
            <w:vMerge/>
          </w:tcPr>
          <w:p w14:paraId="797A9191"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6E2F6E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C9F89D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7F774E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F02BF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477882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531CC3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12747B0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A94FA48" w14:textId="77777777" w:rsidTr="007934B1">
        <w:tc>
          <w:tcPr>
            <w:tcW w:w="746" w:type="pct"/>
            <w:vMerge/>
          </w:tcPr>
          <w:p w14:paraId="1A511AC3"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347C593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177A3E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5D746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2EC80D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Judd Myors Sorsa</w:t>
            </w:r>
          </w:p>
        </w:tc>
        <w:tc>
          <w:tcPr>
            <w:tcW w:w="607" w:type="pct"/>
            <w:shd w:val="clear" w:color="auto" w:fill="auto"/>
          </w:tcPr>
          <w:p w14:paraId="4BB6B0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3AA6FC5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Beeber Leger Hansotte Praetorius</w:t>
            </w:r>
          </w:p>
        </w:tc>
        <w:tc>
          <w:tcPr>
            <w:tcW w:w="513" w:type="pct"/>
            <w:vMerge/>
          </w:tcPr>
          <w:p w14:paraId="332C03A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C643534" w14:textId="77777777" w:rsidTr="007934B1">
        <w:tc>
          <w:tcPr>
            <w:tcW w:w="746" w:type="pct"/>
            <w:vMerge w:val="restart"/>
          </w:tcPr>
          <w:p w14:paraId="0052631E"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Location </w:t>
            </w:r>
          </w:p>
        </w:tc>
        <w:tc>
          <w:tcPr>
            <w:tcW w:w="695" w:type="pct"/>
            <w:vMerge/>
          </w:tcPr>
          <w:p w14:paraId="73B129E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val="restart"/>
          </w:tcPr>
          <w:p w14:paraId="6EA138A4" w14:textId="77777777" w:rsidR="000B75EB" w:rsidRPr="007934B1" w:rsidRDefault="000B75EB" w:rsidP="007934B1">
            <w:pPr>
              <w:spacing w:line="240" w:lineRule="auto"/>
              <w:ind w:firstLine="0"/>
              <w:rPr>
                <w:rFonts w:ascii="Times New Roman" w:hAnsi="Times New Roman" w:cs="Times New Roman"/>
                <w:noProof/>
                <w:color w:val="000000"/>
                <w:sz w:val="16"/>
                <w:szCs w:val="16"/>
                <w:highlight w:val="magenta"/>
              </w:rPr>
            </w:pPr>
            <w:r w:rsidRPr="007934B1">
              <w:rPr>
                <w:rFonts w:ascii="Times New Roman" w:hAnsi="Times New Roman" w:cs="Times New Roman"/>
                <w:noProof/>
                <w:color w:val="000000"/>
                <w:sz w:val="16"/>
                <w:szCs w:val="16"/>
              </w:rPr>
              <w:t xml:space="preserve">Ganann Judd Leger Ormsby Jones et al., 2014; Mollard et al., 2016; Newman et al., 2019; </w:t>
            </w:r>
          </w:p>
        </w:tc>
        <w:tc>
          <w:tcPr>
            <w:tcW w:w="580" w:type="pct"/>
            <w:shd w:val="clear" w:color="auto" w:fill="A5A5A5" w:themeFill="accent3"/>
          </w:tcPr>
          <w:p w14:paraId="3A06DC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45703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91B4E6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79C78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8BE021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no direct relevance but all partial </w:t>
            </w:r>
          </w:p>
        </w:tc>
      </w:tr>
      <w:tr w:rsidR="007934B1" w:rsidRPr="007934B1" w14:paraId="437C7060" w14:textId="77777777" w:rsidTr="007934B1">
        <w:tc>
          <w:tcPr>
            <w:tcW w:w="746" w:type="pct"/>
            <w:vMerge/>
          </w:tcPr>
          <w:p w14:paraId="6B59F2D7"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74C611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DAC5EA3"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8B783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03439CC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Gannan Judd Leger Ormsby Jones 14 Mollard Newman</w:t>
            </w:r>
          </w:p>
        </w:tc>
        <w:tc>
          <w:tcPr>
            <w:tcW w:w="607" w:type="pct"/>
            <w:shd w:val="clear" w:color="auto" w:fill="auto"/>
          </w:tcPr>
          <w:p w14:paraId="53E24D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BCC54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8BF71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5A25B4D" w14:textId="77777777" w:rsidTr="007934B1">
        <w:tc>
          <w:tcPr>
            <w:tcW w:w="746" w:type="pct"/>
            <w:vMerge/>
          </w:tcPr>
          <w:p w14:paraId="17EFFC9A"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6CBA5EB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4D13461" w14:textId="77777777" w:rsidR="000B75EB" w:rsidRPr="007934B1" w:rsidRDefault="000B75EB" w:rsidP="007934B1">
            <w:pPr>
              <w:spacing w:line="240" w:lineRule="auto"/>
              <w:ind w:firstLine="0"/>
              <w:rPr>
                <w:rFonts w:ascii="Times New Roman" w:hAnsi="Times New Roman" w:cs="Times New Roman"/>
                <w:noProof/>
                <w:color w:val="000000"/>
                <w:sz w:val="16"/>
                <w:szCs w:val="16"/>
                <w:highlight w:val="magenta"/>
              </w:rPr>
            </w:pPr>
          </w:p>
        </w:tc>
        <w:tc>
          <w:tcPr>
            <w:tcW w:w="580" w:type="pct"/>
            <w:shd w:val="clear" w:color="auto" w:fill="A5A5A5" w:themeFill="accent3"/>
          </w:tcPr>
          <w:p w14:paraId="28D33E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B076B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6A850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322447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4C71CA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5AE9FCE" w14:textId="77777777" w:rsidTr="007934B1">
        <w:tc>
          <w:tcPr>
            <w:tcW w:w="746" w:type="pct"/>
            <w:vMerge/>
          </w:tcPr>
          <w:p w14:paraId="50957AC1" w14:textId="77777777" w:rsidR="000B75EB" w:rsidRPr="007934B1" w:rsidRDefault="000B75EB" w:rsidP="007934B1">
            <w:pPr>
              <w:spacing w:line="240" w:lineRule="auto"/>
              <w:ind w:firstLine="0"/>
              <w:rPr>
                <w:rFonts w:ascii="Times New Roman" w:hAnsi="Times New Roman" w:cs="Times New Roman"/>
                <w:sz w:val="16"/>
                <w:szCs w:val="16"/>
              </w:rPr>
            </w:pPr>
          </w:p>
        </w:tc>
        <w:tc>
          <w:tcPr>
            <w:tcW w:w="695" w:type="pct"/>
            <w:vMerge/>
          </w:tcPr>
          <w:p w14:paraId="119319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3471A99" w14:textId="77777777" w:rsidR="000B75EB" w:rsidRPr="007934B1" w:rsidRDefault="000B75EB" w:rsidP="007934B1">
            <w:pPr>
              <w:spacing w:line="240" w:lineRule="auto"/>
              <w:ind w:firstLine="0"/>
              <w:rPr>
                <w:rFonts w:ascii="Times New Roman" w:hAnsi="Times New Roman" w:cs="Times New Roman"/>
                <w:noProof/>
                <w:color w:val="000000"/>
                <w:sz w:val="16"/>
                <w:szCs w:val="16"/>
                <w:highlight w:val="magenta"/>
              </w:rPr>
            </w:pPr>
          </w:p>
        </w:tc>
        <w:tc>
          <w:tcPr>
            <w:tcW w:w="580" w:type="pct"/>
            <w:shd w:val="clear" w:color="auto" w:fill="auto"/>
          </w:tcPr>
          <w:p w14:paraId="69D42F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0C21E7A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Judd Ormsby Jones 14 Newman</w:t>
            </w:r>
          </w:p>
        </w:tc>
        <w:tc>
          <w:tcPr>
            <w:tcW w:w="607" w:type="pct"/>
            <w:shd w:val="clear" w:color="auto" w:fill="auto"/>
          </w:tcPr>
          <w:p w14:paraId="0BBFB3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45BCEE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Gannan Leger Mollard</w:t>
            </w:r>
          </w:p>
        </w:tc>
        <w:tc>
          <w:tcPr>
            <w:tcW w:w="513" w:type="pct"/>
            <w:vMerge/>
          </w:tcPr>
          <w:p w14:paraId="611E625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8105F3C" w14:textId="77777777" w:rsidTr="007934B1">
        <w:tc>
          <w:tcPr>
            <w:tcW w:w="746" w:type="pct"/>
            <w:vMerge w:val="restart"/>
          </w:tcPr>
          <w:p w14:paraId="77358EA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Face to face delivery (n = 4)</w:t>
            </w:r>
          </w:p>
        </w:tc>
        <w:tc>
          <w:tcPr>
            <w:tcW w:w="695" w:type="pct"/>
            <w:vMerge w:val="restart"/>
          </w:tcPr>
          <w:p w14:paraId="5CADACC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Provision of face to face care, as opposed to over the phone or online improved implementation. </w:t>
            </w:r>
          </w:p>
        </w:tc>
        <w:tc>
          <w:tcPr>
            <w:tcW w:w="690" w:type="pct"/>
            <w:vMerge w:val="restart"/>
          </w:tcPr>
          <w:p w14:paraId="0DCB071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 Doering Shorey Pugh Stakeholder</w:t>
            </w:r>
          </w:p>
        </w:tc>
        <w:tc>
          <w:tcPr>
            <w:tcW w:w="580" w:type="pct"/>
            <w:shd w:val="clear" w:color="auto" w:fill="A5A5A5" w:themeFill="accent3"/>
          </w:tcPr>
          <w:p w14:paraId="40DCF1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71C24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DA4EF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B8C6A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24E1DE0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 xml:space="preserve">seems universal &amp; evidence from SH meeting </w:t>
            </w:r>
          </w:p>
        </w:tc>
      </w:tr>
      <w:tr w:rsidR="007934B1" w:rsidRPr="007934B1" w14:paraId="6A52B564" w14:textId="77777777" w:rsidTr="007934B1">
        <w:tc>
          <w:tcPr>
            <w:tcW w:w="746" w:type="pct"/>
            <w:vMerge/>
          </w:tcPr>
          <w:p w14:paraId="772231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5CC18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1C7242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3FC399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 Stakeholder</w:t>
            </w:r>
          </w:p>
        </w:tc>
        <w:tc>
          <w:tcPr>
            <w:tcW w:w="607" w:type="pct"/>
            <w:shd w:val="clear" w:color="auto" w:fill="auto"/>
          </w:tcPr>
          <w:p w14:paraId="4DD1A0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Pugh</w:t>
            </w:r>
          </w:p>
        </w:tc>
        <w:tc>
          <w:tcPr>
            <w:tcW w:w="607" w:type="pct"/>
            <w:shd w:val="clear" w:color="auto" w:fill="auto"/>
          </w:tcPr>
          <w:p w14:paraId="7DFC4A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Shorey</w:t>
            </w:r>
          </w:p>
        </w:tc>
        <w:tc>
          <w:tcPr>
            <w:tcW w:w="561" w:type="pct"/>
            <w:shd w:val="clear" w:color="auto" w:fill="auto"/>
          </w:tcPr>
          <w:p w14:paraId="52C4E4A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6683D3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6535F5A" w14:textId="77777777" w:rsidTr="007934B1">
        <w:tc>
          <w:tcPr>
            <w:tcW w:w="746" w:type="pct"/>
            <w:vMerge/>
          </w:tcPr>
          <w:p w14:paraId="0205B1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F7331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12CC25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5D2985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CEFF15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C09D1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FB209A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C28DA8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3870C03" w14:textId="77777777" w:rsidTr="007934B1">
        <w:tc>
          <w:tcPr>
            <w:tcW w:w="746" w:type="pct"/>
            <w:vMerge/>
          </w:tcPr>
          <w:p w14:paraId="577DED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508EC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2591B7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F7F89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w:t>
            </w:r>
          </w:p>
        </w:tc>
        <w:tc>
          <w:tcPr>
            <w:tcW w:w="607" w:type="pct"/>
            <w:shd w:val="clear" w:color="auto" w:fill="auto"/>
          </w:tcPr>
          <w:p w14:paraId="5AB7F75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Pugh Shorey</w:t>
            </w:r>
          </w:p>
        </w:tc>
        <w:tc>
          <w:tcPr>
            <w:tcW w:w="607" w:type="pct"/>
            <w:shd w:val="clear" w:color="auto" w:fill="auto"/>
          </w:tcPr>
          <w:p w14:paraId="5E98370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w:t>
            </w:r>
          </w:p>
        </w:tc>
        <w:tc>
          <w:tcPr>
            <w:tcW w:w="561" w:type="pct"/>
            <w:shd w:val="clear" w:color="auto" w:fill="auto"/>
          </w:tcPr>
          <w:p w14:paraId="10847F8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61E4D4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763D944" w14:textId="77777777" w:rsidTr="007934B1">
        <w:tc>
          <w:tcPr>
            <w:tcW w:w="746" w:type="pct"/>
            <w:vMerge w:val="restart"/>
          </w:tcPr>
          <w:p w14:paraId="3EE48E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Groups/peer support</w:t>
            </w:r>
          </w:p>
        </w:tc>
        <w:tc>
          <w:tcPr>
            <w:tcW w:w="695" w:type="pct"/>
            <w:vMerge w:val="restart"/>
          </w:tcPr>
          <w:p w14:paraId="613DB1A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Some women want group/peer support, others don’t </w:t>
            </w:r>
          </w:p>
        </w:tc>
        <w:tc>
          <w:tcPr>
            <w:tcW w:w="690" w:type="pct"/>
            <w:vMerge w:val="restart"/>
          </w:tcPr>
          <w:p w14:paraId="16D54C3B"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Hadfield 2019 Masood 2015 Nakku </w:t>
            </w:r>
            <w:r w:rsidRPr="007934B1">
              <w:rPr>
                <w:rFonts w:ascii="Times New Roman" w:hAnsi="Times New Roman" w:cs="Times New Roman"/>
                <w:noProof/>
                <w:color w:val="000000"/>
                <w:sz w:val="16"/>
                <w:szCs w:val="16"/>
              </w:rPr>
              <w:t xml:space="preserve">Dennis Evans Hadfield Jones 14 Megnin Morrell Schmied Scope Slade Tobin Watson Stakeholder </w:t>
            </w:r>
          </w:p>
        </w:tc>
        <w:tc>
          <w:tcPr>
            <w:tcW w:w="580" w:type="pct"/>
            <w:shd w:val="clear" w:color="auto" w:fill="A5A5A5" w:themeFill="accent3"/>
          </w:tcPr>
          <w:p w14:paraId="0FDA30E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091D91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3643224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886B11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7245B5F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 most relevant or partially plus real life evidence  </w:t>
            </w:r>
          </w:p>
        </w:tc>
      </w:tr>
      <w:tr w:rsidR="007934B1" w:rsidRPr="007934B1" w14:paraId="7A697DC5" w14:textId="77777777" w:rsidTr="007934B1">
        <w:tc>
          <w:tcPr>
            <w:tcW w:w="746" w:type="pct"/>
            <w:vMerge/>
          </w:tcPr>
          <w:p w14:paraId="4C92F9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D7EFC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B9F81D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144A1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Masood Hadfield sr Slade Watson SH</w:t>
            </w:r>
          </w:p>
        </w:tc>
        <w:tc>
          <w:tcPr>
            <w:tcW w:w="607" w:type="pct"/>
            <w:shd w:val="clear" w:color="auto" w:fill="auto"/>
          </w:tcPr>
          <w:p w14:paraId="00FED0C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Evans Jones 14 Morrell Schmied Scope Tobin</w:t>
            </w:r>
          </w:p>
        </w:tc>
        <w:tc>
          <w:tcPr>
            <w:tcW w:w="607" w:type="pct"/>
            <w:shd w:val="clear" w:color="auto" w:fill="auto"/>
          </w:tcPr>
          <w:p w14:paraId="4A9CC7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Nakku</w:t>
            </w:r>
          </w:p>
        </w:tc>
        <w:tc>
          <w:tcPr>
            <w:tcW w:w="561" w:type="pct"/>
            <w:shd w:val="clear" w:color="auto" w:fill="auto"/>
          </w:tcPr>
          <w:p w14:paraId="7B9E45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Megnin</w:t>
            </w:r>
          </w:p>
        </w:tc>
        <w:tc>
          <w:tcPr>
            <w:tcW w:w="513" w:type="pct"/>
            <w:vMerge/>
          </w:tcPr>
          <w:p w14:paraId="01DC45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39E6EAD" w14:textId="77777777" w:rsidTr="007934B1">
        <w:tc>
          <w:tcPr>
            <w:tcW w:w="746" w:type="pct"/>
            <w:vMerge/>
          </w:tcPr>
          <w:p w14:paraId="3C0AE7C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96B90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E8D56E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0F4B10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DD4C1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6195C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60284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9963C9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1B3CAFC" w14:textId="77777777" w:rsidTr="007934B1">
        <w:tc>
          <w:tcPr>
            <w:tcW w:w="746" w:type="pct"/>
            <w:vMerge/>
          </w:tcPr>
          <w:p w14:paraId="3008C1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AE7F5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FCF7481"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24B537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Hadfield Masood Hadfield sr Slade Watson </w:t>
            </w:r>
          </w:p>
        </w:tc>
        <w:tc>
          <w:tcPr>
            <w:tcW w:w="607" w:type="pct"/>
            <w:shd w:val="clear" w:color="auto" w:fill="auto"/>
          </w:tcPr>
          <w:p w14:paraId="5713A4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Evans Jones 14 Morrell Schmied Scope Tobin</w:t>
            </w:r>
          </w:p>
        </w:tc>
        <w:tc>
          <w:tcPr>
            <w:tcW w:w="607" w:type="pct"/>
            <w:shd w:val="clear" w:color="auto" w:fill="auto"/>
          </w:tcPr>
          <w:p w14:paraId="279B92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Megnin</w:t>
            </w:r>
          </w:p>
        </w:tc>
        <w:tc>
          <w:tcPr>
            <w:tcW w:w="561" w:type="pct"/>
            <w:shd w:val="clear" w:color="auto" w:fill="auto"/>
          </w:tcPr>
          <w:p w14:paraId="16497E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C8E7F3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4017FE7" w14:textId="77777777" w:rsidTr="007934B1">
        <w:tc>
          <w:tcPr>
            <w:tcW w:w="746" w:type="pct"/>
            <w:vMerge w:val="restart"/>
          </w:tcPr>
          <w:p w14:paraId="097EE3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Validation</w:t>
            </w:r>
          </w:p>
        </w:tc>
        <w:tc>
          <w:tcPr>
            <w:tcW w:w="695" w:type="pct"/>
            <w:vMerge w:val="restart"/>
          </w:tcPr>
          <w:p w14:paraId="63DC9B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And this provided them with validation for their feelings</w:t>
            </w:r>
          </w:p>
        </w:tc>
        <w:tc>
          <w:tcPr>
            <w:tcW w:w="690" w:type="pct"/>
            <w:vMerge w:val="restart"/>
          </w:tcPr>
          <w:p w14:paraId="214237D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Jones et al., 2014; Morrell et al., 2016; Schmied et al., 2017; Slade et al., 2020; Praetorius</w:t>
            </w:r>
          </w:p>
        </w:tc>
        <w:tc>
          <w:tcPr>
            <w:tcW w:w="580" w:type="pct"/>
            <w:shd w:val="clear" w:color="auto" w:fill="A5A5A5" w:themeFill="accent3"/>
          </w:tcPr>
          <w:p w14:paraId="046474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1CC679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52C8FE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99A6E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495058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 heavily partially relevant, only one direct</w:t>
            </w:r>
          </w:p>
        </w:tc>
      </w:tr>
      <w:tr w:rsidR="007934B1" w:rsidRPr="007934B1" w14:paraId="7AC060F9" w14:textId="77777777" w:rsidTr="007934B1">
        <w:tc>
          <w:tcPr>
            <w:tcW w:w="746" w:type="pct"/>
            <w:vMerge/>
          </w:tcPr>
          <w:p w14:paraId="7894B0C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B4EF0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E61C4F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27CF36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Slade</w:t>
            </w:r>
          </w:p>
        </w:tc>
        <w:tc>
          <w:tcPr>
            <w:tcW w:w="607" w:type="pct"/>
            <w:shd w:val="clear" w:color="auto" w:fill="auto"/>
          </w:tcPr>
          <w:p w14:paraId="5377A5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14 Morrell Schmied Praetorius</w:t>
            </w:r>
          </w:p>
        </w:tc>
        <w:tc>
          <w:tcPr>
            <w:tcW w:w="607" w:type="pct"/>
            <w:shd w:val="clear" w:color="auto" w:fill="auto"/>
          </w:tcPr>
          <w:p w14:paraId="30161A9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B05DD1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AFF2F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8B9049C" w14:textId="77777777" w:rsidTr="007934B1">
        <w:tc>
          <w:tcPr>
            <w:tcW w:w="746" w:type="pct"/>
            <w:vMerge/>
          </w:tcPr>
          <w:p w14:paraId="41553C0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DED81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B8D45D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15BC3F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71E6F7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44B982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BCC13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7F194D5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388FD2A" w14:textId="77777777" w:rsidTr="007934B1">
        <w:tc>
          <w:tcPr>
            <w:tcW w:w="746" w:type="pct"/>
            <w:vMerge/>
          </w:tcPr>
          <w:p w14:paraId="3CF28DD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03861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E06F066"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7B4163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Slade</w:t>
            </w:r>
          </w:p>
        </w:tc>
        <w:tc>
          <w:tcPr>
            <w:tcW w:w="607" w:type="pct"/>
            <w:shd w:val="clear" w:color="auto" w:fill="auto"/>
          </w:tcPr>
          <w:p w14:paraId="169CAF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Morrell Schmied</w:t>
            </w:r>
          </w:p>
        </w:tc>
        <w:tc>
          <w:tcPr>
            <w:tcW w:w="607" w:type="pct"/>
            <w:shd w:val="clear" w:color="auto" w:fill="auto"/>
          </w:tcPr>
          <w:p w14:paraId="140FC5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3C0B1F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Praetorius</w:t>
            </w:r>
          </w:p>
        </w:tc>
        <w:tc>
          <w:tcPr>
            <w:tcW w:w="513" w:type="pct"/>
            <w:vMerge/>
          </w:tcPr>
          <w:p w14:paraId="11C6D29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6B2988C" w14:textId="77777777" w:rsidTr="007934B1">
        <w:tc>
          <w:tcPr>
            <w:tcW w:w="746" w:type="pct"/>
            <w:vMerge w:val="restart"/>
          </w:tcPr>
          <w:p w14:paraId="0964EAB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Content </w:t>
            </w:r>
            <w:r w:rsidRPr="007934B1">
              <w:rPr>
                <w:rFonts w:ascii="Times New Roman" w:hAnsi="Times New Roman" w:cs="Times New Roman"/>
                <w:sz w:val="16"/>
                <w:szCs w:val="16"/>
              </w:rPr>
              <w:t>Manualised therapy (n = 2)</w:t>
            </w:r>
          </w:p>
        </w:tc>
        <w:tc>
          <w:tcPr>
            <w:tcW w:w="695" w:type="pct"/>
            <w:vMerge w:val="restart"/>
          </w:tcPr>
          <w:p w14:paraId="7F8DE3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Interventions performed according to specific guidelines sometimes helped with implementation but could feel too rigid.</w:t>
            </w:r>
          </w:p>
        </w:tc>
        <w:tc>
          <w:tcPr>
            <w:tcW w:w="690" w:type="pct"/>
            <w:vMerge w:val="restart"/>
          </w:tcPr>
          <w:p w14:paraId="0168D71D"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Atif 2020</w:t>
            </w:r>
          </w:p>
        </w:tc>
        <w:tc>
          <w:tcPr>
            <w:tcW w:w="580" w:type="pct"/>
            <w:shd w:val="clear" w:color="auto" w:fill="A5A5A5" w:themeFill="accent3"/>
          </w:tcPr>
          <w:p w14:paraId="2E112A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396A9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25FD77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7E5FC2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D07FE4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Severe: </w:t>
            </w:r>
            <w:r w:rsidRPr="007934B1">
              <w:rPr>
                <w:rFonts w:ascii="Times New Roman" w:hAnsi="Times New Roman" w:cs="Times New Roman"/>
                <w:sz w:val="16"/>
                <w:szCs w:val="16"/>
              </w:rPr>
              <w:t xml:space="preserve"> carried out in LMIC country</w:t>
            </w:r>
          </w:p>
        </w:tc>
      </w:tr>
      <w:tr w:rsidR="007934B1" w:rsidRPr="007934B1" w14:paraId="5055C56A" w14:textId="77777777" w:rsidTr="007934B1">
        <w:tc>
          <w:tcPr>
            <w:tcW w:w="746" w:type="pct"/>
            <w:vMerge/>
          </w:tcPr>
          <w:p w14:paraId="1C9319E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254E9F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E9F792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66F876C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64F1C2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29CA2A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20</w:t>
            </w:r>
          </w:p>
        </w:tc>
        <w:tc>
          <w:tcPr>
            <w:tcW w:w="561" w:type="pct"/>
            <w:shd w:val="clear" w:color="auto" w:fill="auto"/>
          </w:tcPr>
          <w:p w14:paraId="4BC3D0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232578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E52E6F2" w14:textId="77777777" w:rsidTr="007934B1">
        <w:tc>
          <w:tcPr>
            <w:tcW w:w="746" w:type="pct"/>
            <w:vMerge/>
          </w:tcPr>
          <w:p w14:paraId="058363C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1C969A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8ABAA0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CA7F2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6220CEB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FA611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40F7541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B62F4B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F249932" w14:textId="77777777" w:rsidTr="007934B1">
        <w:tc>
          <w:tcPr>
            <w:tcW w:w="746" w:type="pct"/>
            <w:vMerge/>
          </w:tcPr>
          <w:p w14:paraId="5D72C36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16C033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69499DB"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DDF5E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2D3706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330F49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6C77AE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20</w:t>
            </w:r>
          </w:p>
        </w:tc>
        <w:tc>
          <w:tcPr>
            <w:tcW w:w="513" w:type="pct"/>
            <w:vMerge/>
          </w:tcPr>
          <w:p w14:paraId="4678B0D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6F516F4" w14:textId="77777777" w:rsidTr="007934B1">
        <w:tc>
          <w:tcPr>
            <w:tcW w:w="746" w:type="pct"/>
            <w:vMerge w:val="restart"/>
          </w:tcPr>
          <w:p w14:paraId="5A15E76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Techniques women found useful (n = 4)</w:t>
            </w:r>
          </w:p>
        </w:tc>
        <w:tc>
          <w:tcPr>
            <w:tcW w:w="695" w:type="pct"/>
            <w:vMerge w:val="restart"/>
          </w:tcPr>
          <w:p w14:paraId="155A7A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Most women found personalised therapy that challenged their thoughts and beliefs (e.g. CBT approaches) useful therefore aiding implementation</w:t>
            </w:r>
          </w:p>
        </w:tc>
        <w:tc>
          <w:tcPr>
            <w:tcW w:w="690" w:type="pct"/>
            <w:vMerge w:val="restart"/>
          </w:tcPr>
          <w:p w14:paraId="4B2359DC"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Omahen Masood Pugh Hadfield</w:t>
            </w:r>
          </w:p>
        </w:tc>
        <w:tc>
          <w:tcPr>
            <w:tcW w:w="580" w:type="pct"/>
            <w:shd w:val="clear" w:color="auto" w:fill="A5A5A5" w:themeFill="accent3"/>
          </w:tcPr>
          <w:p w14:paraId="263B256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6171AD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F6D80F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6F8B1C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2DC8446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 xml:space="preserve"> majority have direct relevance</w:t>
            </w:r>
          </w:p>
        </w:tc>
      </w:tr>
      <w:tr w:rsidR="007934B1" w:rsidRPr="007934B1" w14:paraId="1601D1E5" w14:textId="77777777" w:rsidTr="007934B1">
        <w:tc>
          <w:tcPr>
            <w:tcW w:w="746" w:type="pct"/>
            <w:vMerge/>
          </w:tcPr>
          <w:p w14:paraId="337E924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9BF00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F7A134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94399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OmAHEN Masood Hadfield</w:t>
            </w:r>
          </w:p>
        </w:tc>
        <w:tc>
          <w:tcPr>
            <w:tcW w:w="607" w:type="pct"/>
            <w:shd w:val="clear" w:color="auto" w:fill="auto"/>
          </w:tcPr>
          <w:p w14:paraId="5152D83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Pugh</w:t>
            </w:r>
          </w:p>
        </w:tc>
        <w:tc>
          <w:tcPr>
            <w:tcW w:w="607" w:type="pct"/>
            <w:shd w:val="clear" w:color="auto" w:fill="auto"/>
          </w:tcPr>
          <w:p w14:paraId="723DB00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61" w:type="pct"/>
            <w:shd w:val="clear" w:color="auto" w:fill="auto"/>
          </w:tcPr>
          <w:p w14:paraId="4397455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1D4C5FB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2BCA464" w14:textId="77777777" w:rsidTr="007934B1">
        <w:tc>
          <w:tcPr>
            <w:tcW w:w="746" w:type="pct"/>
            <w:vMerge/>
          </w:tcPr>
          <w:p w14:paraId="5EDDF7C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478B4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5A5762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57B33C9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227649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C49B2A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2571E9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633E292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3A99820" w14:textId="77777777" w:rsidTr="007934B1">
        <w:tc>
          <w:tcPr>
            <w:tcW w:w="746" w:type="pct"/>
            <w:vMerge/>
          </w:tcPr>
          <w:p w14:paraId="79FB73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E7DB5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7B34AA9"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4443E8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OmAHEN Masood Hadfield</w:t>
            </w:r>
          </w:p>
        </w:tc>
        <w:tc>
          <w:tcPr>
            <w:tcW w:w="607" w:type="pct"/>
            <w:shd w:val="clear" w:color="auto" w:fill="auto"/>
          </w:tcPr>
          <w:p w14:paraId="391F11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Pugh</w:t>
            </w:r>
          </w:p>
        </w:tc>
        <w:tc>
          <w:tcPr>
            <w:tcW w:w="607" w:type="pct"/>
            <w:shd w:val="clear" w:color="auto" w:fill="auto"/>
          </w:tcPr>
          <w:p w14:paraId="77DC8FB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61" w:type="pct"/>
            <w:shd w:val="clear" w:color="auto" w:fill="auto"/>
          </w:tcPr>
          <w:p w14:paraId="6382EB7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30915D0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85847AC" w14:textId="77777777" w:rsidTr="007934B1">
        <w:tc>
          <w:tcPr>
            <w:tcW w:w="746" w:type="pct"/>
            <w:vMerge w:val="restart"/>
          </w:tcPr>
          <w:p w14:paraId="2C3DD6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Opportunity to talk</w:t>
            </w:r>
          </w:p>
        </w:tc>
        <w:tc>
          <w:tcPr>
            <w:tcW w:w="695" w:type="pct"/>
            <w:vMerge w:val="restart"/>
          </w:tcPr>
          <w:p w14:paraId="5B51FC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Having someone to talk to about their difficulties was a facilitator to access</w:t>
            </w:r>
          </w:p>
        </w:tc>
        <w:tc>
          <w:tcPr>
            <w:tcW w:w="690" w:type="pct"/>
            <w:vMerge w:val="restart"/>
          </w:tcPr>
          <w:p w14:paraId="734994C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Dennis &amp; Chung-Lee, 2006; Evans et al., 2020; Hadfield &amp; Wittkowski, 2017; Jones, 2019; Kassam, 2019; Morrell et al., 2016; Praetorius et al., 2020; Staneva et al., 2015 Megnin</w:t>
            </w:r>
          </w:p>
        </w:tc>
        <w:tc>
          <w:tcPr>
            <w:tcW w:w="580" w:type="pct"/>
            <w:shd w:val="clear" w:color="auto" w:fill="A5A5A5" w:themeFill="accent3"/>
          </w:tcPr>
          <w:p w14:paraId="68DE73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9003A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8CE492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CD94A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6FA388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Moderater - </w:t>
            </w:r>
            <w:r w:rsidRPr="007934B1">
              <w:rPr>
                <w:rFonts w:ascii="Times New Roman" w:hAnsi="Times New Roman" w:cs="Times New Roman"/>
                <w:sz w:val="16"/>
                <w:szCs w:val="16"/>
              </w:rPr>
              <w:t xml:space="preserve"> only 1 relevant</w:t>
            </w:r>
          </w:p>
        </w:tc>
      </w:tr>
      <w:tr w:rsidR="007934B1" w:rsidRPr="007934B1" w14:paraId="3405651E" w14:textId="77777777" w:rsidTr="007934B1">
        <w:tc>
          <w:tcPr>
            <w:tcW w:w="746" w:type="pct"/>
            <w:vMerge/>
          </w:tcPr>
          <w:p w14:paraId="2DC272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7A1B5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1ABBC1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45BAE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6C48E1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Kassam Morrell Praetorius Staneva</w:t>
            </w:r>
          </w:p>
        </w:tc>
        <w:tc>
          <w:tcPr>
            <w:tcW w:w="607" w:type="pct"/>
            <w:shd w:val="clear" w:color="auto" w:fill="auto"/>
          </w:tcPr>
          <w:p w14:paraId="42EE0D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18241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19 Megnin</w:t>
            </w:r>
          </w:p>
        </w:tc>
        <w:tc>
          <w:tcPr>
            <w:tcW w:w="513" w:type="pct"/>
            <w:vMerge/>
          </w:tcPr>
          <w:p w14:paraId="3D16F01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FBDA6AA" w14:textId="77777777" w:rsidTr="007934B1">
        <w:tc>
          <w:tcPr>
            <w:tcW w:w="746" w:type="pct"/>
            <w:vMerge/>
          </w:tcPr>
          <w:p w14:paraId="4E0503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16A93C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0B53A1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2383B3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E9828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E4799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BDABF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1E5962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0943281" w14:textId="77777777" w:rsidTr="007934B1">
        <w:tc>
          <w:tcPr>
            <w:tcW w:w="746" w:type="pct"/>
            <w:vMerge/>
          </w:tcPr>
          <w:p w14:paraId="39AF9B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0EB86D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6A177F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7B843A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w:t>
            </w:r>
          </w:p>
        </w:tc>
        <w:tc>
          <w:tcPr>
            <w:tcW w:w="607" w:type="pct"/>
            <w:shd w:val="clear" w:color="auto" w:fill="auto"/>
          </w:tcPr>
          <w:p w14:paraId="1AD6CF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Kassam Morrell Staneva</w:t>
            </w:r>
          </w:p>
        </w:tc>
        <w:tc>
          <w:tcPr>
            <w:tcW w:w="607" w:type="pct"/>
            <w:shd w:val="clear" w:color="auto" w:fill="auto"/>
          </w:tcPr>
          <w:p w14:paraId="3DDD7D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Praetorius Megnin</w:t>
            </w:r>
          </w:p>
        </w:tc>
        <w:tc>
          <w:tcPr>
            <w:tcW w:w="561" w:type="pct"/>
            <w:shd w:val="clear" w:color="auto" w:fill="auto"/>
          </w:tcPr>
          <w:p w14:paraId="752073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78F7AC2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F40CDF9" w14:textId="77777777" w:rsidTr="007934B1">
        <w:tc>
          <w:tcPr>
            <w:tcW w:w="746" w:type="pct"/>
            <w:vMerge w:val="restart"/>
          </w:tcPr>
          <w:p w14:paraId="60624C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Information provision</w:t>
            </w:r>
          </w:p>
        </w:tc>
        <w:tc>
          <w:tcPr>
            <w:tcW w:w="695" w:type="pct"/>
            <w:vMerge w:val="restart"/>
          </w:tcPr>
          <w:p w14:paraId="3625D7C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valued care that provided information about PNMH and options available for help and support, thus aiding access</w:t>
            </w:r>
          </w:p>
        </w:tc>
        <w:tc>
          <w:tcPr>
            <w:tcW w:w="690" w:type="pct"/>
            <w:vMerge w:val="restart"/>
          </w:tcPr>
          <w:p w14:paraId="64D2E7B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Forde et al., 2020; Hadfield &amp; Wittkowski, 2017; A. Jones, 2014; Megnin-Viggars et al., 2015; Morrell et al., 2016; Schmied et al., 2017; Scope et al., 2017; Slade </w:t>
            </w:r>
            <w:r w:rsidRPr="007934B1">
              <w:rPr>
                <w:rFonts w:ascii="Times New Roman" w:hAnsi="Times New Roman" w:cs="Times New Roman"/>
                <w:noProof/>
                <w:color w:val="000000"/>
                <w:sz w:val="16"/>
                <w:szCs w:val="16"/>
              </w:rPr>
              <w:lastRenderedPageBreak/>
              <w:t>et al., 2020; Sorsa et al., 2021 Tobin</w:t>
            </w:r>
          </w:p>
        </w:tc>
        <w:tc>
          <w:tcPr>
            <w:tcW w:w="580" w:type="pct"/>
            <w:shd w:val="clear" w:color="auto" w:fill="A5A5A5" w:themeFill="accent3"/>
          </w:tcPr>
          <w:p w14:paraId="0A0F76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0E488A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FFA72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60BD9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F94EC7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 s </w:t>
            </w:r>
          </w:p>
        </w:tc>
      </w:tr>
      <w:tr w:rsidR="007934B1" w:rsidRPr="007934B1" w14:paraId="2B81D139" w14:textId="77777777" w:rsidTr="007934B1">
        <w:tc>
          <w:tcPr>
            <w:tcW w:w="746" w:type="pct"/>
            <w:vMerge/>
          </w:tcPr>
          <w:p w14:paraId="242AB8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5F4E7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F6EAE5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42349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Forde Hadfield Slade</w:t>
            </w:r>
          </w:p>
        </w:tc>
        <w:tc>
          <w:tcPr>
            <w:tcW w:w="607" w:type="pct"/>
            <w:shd w:val="clear" w:color="auto" w:fill="auto"/>
          </w:tcPr>
          <w:p w14:paraId="58BDE9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14 Morrell Schmied Scope Sorsa Tobin</w:t>
            </w:r>
          </w:p>
        </w:tc>
        <w:tc>
          <w:tcPr>
            <w:tcW w:w="607" w:type="pct"/>
            <w:shd w:val="clear" w:color="auto" w:fill="auto"/>
          </w:tcPr>
          <w:p w14:paraId="08B977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E2A16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3F9E00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C1BB84C" w14:textId="77777777" w:rsidTr="007934B1">
        <w:tc>
          <w:tcPr>
            <w:tcW w:w="746" w:type="pct"/>
            <w:vMerge/>
          </w:tcPr>
          <w:p w14:paraId="2E4449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CD126D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ECC550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0FE7EE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FB38E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681584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B236F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9667ED0"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B14A696" w14:textId="77777777" w:rsidTr="007934B1">
        <w:tc>
          <w:tcPr>
            <w:tcW w:w="746" w:type="pct"/>
            <w:vMerge/>
          </w:tcPr>
          <w:p w14:paraId="3E7A01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987D1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A81C8E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000547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Forde Hadfield Slade</w:t>
            </w:r>
          </w:p>
        </w:tc>
        <w:tc>
          <w:tcPr>
            <w:tcW w:w="607" w:type="pct"/>
            <w:shd w:val="clear" w:color="auto" w:fill="auto"/>
          </w:tcPr>
          <w:p w14:paraId="659C42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14 Morrell Schmied Scope Sorsa Tobin</w:t>
            </w:r>
          </w:p>
        </w:tc>
        <w:tc>
          <w:tcPr>
            <w:tcW w:w="607" w:type="pct"/>
            <w:shd w:val="clear" w:color="auto" w:fill="auto"/>
          </w:tcPr>
          <w:p w14:paraId="36A52D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9DF745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C7E79D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5433D77" w14:textId="77777777" w:rsidTr="007934B1">
        <w:tc>
          <w:tcPr>
            <w:tcW w:w="746" w:type="pct"/>
            <w:vMerge w:val="restart"/>
          </w:tcPr>
          <w:p w14:paraId="1247A9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Technology (n = 11)</w:t>
            </w:r>
          </w:p>
        </w:tc>
        <w:tc>
          <w:tcPr>
            <w:tcW w:w="695" w:type="pct"/>
            <w:vMerge w:val="restart"/>
          </w:tcPr>
          <w:p w14:paraId="624DBB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The use of technology to provide care and treatment such as reminders on screens, completing assessment questionnaires on tablets, communicating via Whatsapp, or completing therapy online aided implementation </w:t>
            </w:r>
            <w:r w:rsidRPr="007934B1">
              <w:rPr>
                <w:rFonts w:ascii="Times New Roman" w:hAnsi="Times New Roman" w:cs="Times New Roman"/>
                <w:b/>
                <w:bCs/>
                <w:sz w:val="16"/>
                <w:szCs w:val="16"/>
              </w:rPr>
              <w:t xml:space="preserve">when it was working. </w:t>
            </w:r>
          </w:p>
        </w:tc>
        <w:tc>
          <w:tcPr>
            <w:tcW w:w="690" w:type="pct"/>
            <w:vMerge w:val="restart"/>
          </w:tcPr>
          <w:p w14:paraId="5B1E8991"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Feinberg Fernandez Jallo Kim Lind Noonan Pinero-leano Shorey Willey Williams Doering Stakeholder</w:t>
            </w:r>
          </w:p>
        </w:tc>
        <w:tc>
          <w:tcPr>
            <w:tcW w:w="580" w:type="pct"/>
            <w:shd w:val="clear" w:color="auto" w:fill="A5A5A5" w:themeFill="accent3"/>
          </w:tcPr>
          <w:p w14:paraId="3D9073B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9B5015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0020F3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A0FC22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5997F29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although only one study supports, we have real life evidence from the stakeholders – this came across strongly in multiple stakeholder groups</w:t>
            </w:r>
          </w:p>
        </w:tc>
      </w:tr>
      <w:tr w:rsidR="007934B1" w:rsidRPr="007934B1" w14:paraId="0FEEAE2C" w14:textId="77777777" w:rsidTr="007934B1">
        <w:tc>
          <w:tcPr>
            <w:tcW w:w="746" w:type="pct"/>
            <w:vMerge/>
          </w:tcPr>
          <w:p w14:paraId="6F99BC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7D5AC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B409DD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8F3B8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Williams SH</w:t>
            </w:r>
          </w:p>
        </w:tc>
        <w:tc>
          <w:tcPr>
            <w:tcW w:w="607" w:type="pct"/>
            <w:shd w:val="clear" w:color="auto" w:fill="auto"/>
          </w:tcPr>
          <w:p w14:paraId="18F3B1C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Feinberg Fernandez Jallo Kim Lind Noonan Pineros Willey Doering</w:t>
            </w:r>
          </w:p>
        </w:tc>
        <w:tc>
          <w:tcPr>
            <w:tcW w:w="607" w:type="pct"/>
            <w:shd w:val="clear" w:color="auto" w:fill="auto"/>
          </w:tcPr>
          <w:p w14:paraId="57F806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Shorey</w:t>
            </w:r>
          </w:p>
        </w:tc>
        <w:tc>
          <w:tcPr>
            <w:tcW w:w="561" w:type="pct"/>
            <w:shd w:val="clear" w:color="auto" w:fill="auto"/>
          </w:tcPr>
          <w:p w14:paraId="6128877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6AE28A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1F5BF1E" w14:textId="77777777" w:rsidTr="007934B1">
        <w:tc>
          <w:tcPr>
            <w:tcW w:w="746" w:type="pct"/>
            <w:vMerge/>
          </w:tcPr>
          <w:p w14:paraId="529C7E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8B7E2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16D6C7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7DE6AB9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55230C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D250EB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1B1671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6DCC4EB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59439C8" w14:textId="77777777" w:rsidTr="007934B1">
        <w:tc>
          <w:tcPr>
            <w:tcW w:w="746" w:type="pct"/>
            <w:vMerge/>
          </w:tcPr>
          <w:p w14:paraId="5BB1B1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AF524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9963C2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38DF2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Williams SH</w:t>
            </w:r>
          </w:p>
        </w:tc>
        <w:tc>
          <w:tcPr>
            <w:tcW w:w="607" w:type="pct"/>
            <w:shd w:val="clear" w:color="auto" w:fill="auto"/>
          </w:tcPr>
          <w:p w14:paraId="07A534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Noonan Willey Shorey</w:t>
            </w:r>
          </w:p>
        </w:tc>
        <w:tc>
          <w:tcPr>
            <w:tcW w:w="607" w:type="pct"/>
            <w:shd w:val="clear" w:color="auto" w:fill="auto"/>
          </w:tcPr>
          <w:p w14:paraId="67E803B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61" w:type="pct"/>
            <w:shd w:val="clear" w:color="auto" w:fill="auto"/>
          </w:tcPr>
          <w:p w14:paraId="4AE2D8B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Feinberg Fernandez Jallo Kim Lind Pinero Doering</w:t>
            </w:r>
          </w:p>
        </w:tc>
        <w:tc>
          <w:tcPr>
            <w:tcW w:w="513" w:type="pct"/>
            <w:vMerge/>
          </w:tcPr>
          <w:p w14:paraId="7BA0095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68E28BC" w14:textId="77777777" w:rsidTr="007934B1">
        <w:tc>
          <w:tcPr>
            <w:tcW w:w="746" w:type="pct"/>
            <w:vMerge w:val="restart"/>
          </w:tcPr>
          <w:p w14:paraId="6279976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Organisational aspects </w:t>
            </w:r>
            <w:r w:rsidRPr="007934B1">
              <w:rPr>
                <w:rFonts w:ascii="Times New Roman" w:hAnsi="Times New Roman" w:cs="Times New Roman"/>
                <w:sz w:val="16"/>
                <w:szCs w:val="16"/>
              </w:rPr>
              <w:t>Open inclusion criteria (n = 2)</w:t>
            </w:r>
          </w:p>
        </w:tc>
        <w:tc>
          <w:tcPr>
            <w:tcW w:w="695" w:type="pct"/>
            <w:vMerge w:val="restart"/>
          </w:tcPr>
          <w:p w14:paraId="6DB149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Open inclusion criteria was useful for implementation .</w:t>
            </w:r>
          </w:p>
        </w:tc>
        <w:tc>
          <w:tcPr>
            <w:tcW w:w="690" w:type="pct"/>
            <w:vMerge w:val="restart"/>
          </w:tcPr>
          <w:p w14:paraId="455963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Judd Young</w:t>
            </w:r>
          </w:p>
        </w:tc>
        <w:tc>
          <w:tcPr>
            <w:tcW w:w="580" w:type="pct"/>
            <w:shd w:val="clear" w:color="auto" w:fill="A5A5A5" w:themeFill="accent3"/>
          </w:tcPr>
          <w:p w14:paraId="114784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FA540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1A77B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13EE4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4D766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none are directly relevant, but have partial relevance </w:t>
            </w:r>
          </w:p>
        </w:tc>
      </w:tr>
      <w:tr w:rsidR="007934B1" w:rsidRPr="007934B1" w14:paraId="236BCF06" w14:textId="77777777" w:rsidTr="007934B1">
        <w:tc>
          <w:tcPr>
            <w:tcW w:w="746" w:type="pct"/>
            <w:vMerge/>
          </w:tcPr>
          <w:p w14:paraId="56BD86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FF022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A700CD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37AA39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187EEE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Judd Young</w:t>
            </w:r>
          </w:p>
        </w:tc>
        <w:tc>
          <w:tcPr>
            <w:tcW w:w="607" w:type="pct"/>
            <w:shd w:val="clear" w:color="auto" w:fill="auto"/>
          </w:tcPr>
          <w:p w14:paraId="58939D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321D5D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B8EE17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E8A18CF" w14:textId="77777777" w:rsidTr="007934B1">
        <w:tc>
          <w:tcPr>
            <w:tcW w:w="746" w:type="pct"/>
            <w:vMerge/>
          </w:tcPr>
          <w:p w14:paraId="79F1CF4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4CA9B62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5BEBF0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21B351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7757D7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FF9427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877A1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07E763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AEC0E3C" w14:textId="77777777" w:rsidTr="007934B1">
        <w:tc>
          <w:tcPr>
            <w:tcW w:w="746" w:type="pct"/>
            <w:vMerge/>
          </w:tcPr>
          <w:p w14:paraId="22E6AE9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06C3C3B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F37676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B865E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5CE2CD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Judd</w:t>
            </w:r>
          </w:p>
        </w:tc>
        <w:tc>
          <w:tcPr>
            <w:tcW w:w="607" w:type="pct"/>
            <w:shd w:val="clear" w:color="auto" w:fill="auto"/>
          </w:tcPr>
          <w:p w14:paraId="03FB31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6B598B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Young</w:t>
            </w:r>
          </w:p>
        </w:tc>
        <w:tc>
          <w:tcPr>
            <w:tcW w:w="513" w:type="pct"/>
            <w:vMerge/>
          </w:tcPr>
          <w:p w14:paraId="0FB0C11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168B41C" w14:textId="77777777" w:rsidTr="007934B1">
        <w:tc>
          <w:tcPr>
            <w:tcW w:w="746" w:type="pct"/>
            <w:vMerge w:val="restart"/>
          </w:tcPr>
          <w:p w14:paraId="1CEAD1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Practical support (n = 10)</w:t>
            </w:r>
          </w:p>
        </w:tc>
        <w:tc>
          <w:tcPr>
            <w:tcW w:w="695" w:type="pct"/>
            <w:vMerge w:val="restart"/>
          </w:tcPr>
          <w:p w14:paraId="7780E7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The provision of support that allowed women to access care, such as providing a creche or paying for travel aided implementation </w:t>
            </w:r>
          </w:p>
        </w:tc>
        <w:tc>
          <w:tcPr>
            <w:tcW w:w="690" w:type="pct"/>
            <w:vMerge w:val="restart"/>
          </w:tcPr>
          <w:p w14:paraId="274C03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Shorey Cox Munodawafa Ganan Hadfield Masood Nakku Nithianden Ormsby Button Forde Jones 19 Newman</w:t>
            </w:r>
          </w:p>
        </w:tc>
        <w:tc>
          <w:tcPr>
            <w:tcW w:w="580" w:type="pct"/>
            <w:shd w:val="clear" w:color="auto" w:fill="A5A5A5" w:themeFill="accent3"/>
          </w:tcPr>
          <w:p w14:paraId="2A2BFCB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48A879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181866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610DD45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6A97ECE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seems pretty universal</w:t>
            </w:r>
          </w:p>
        </w:tc>
      </w:tr>
      <w:tr w:rsidR="007934B1" w:rsidRPr="007934B1" w14:paraId="3CE6BEE0" w14:textId="77777777" w:rsidTr="007934B1">
        <w:tc>
          <w:tcPr>
            <w:tcW w:w="746" w:type="pct"/>
            <w:vMerge/>
          </w:tcPr>
          <w:p w14:paraId="08D26D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BC3F8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83079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76BABD2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Masood Button Forde</w:t>
            </w:r>
          </w:p>
        </w:tc>
        <w:tc>
          <w:tcPr>
            <w:tcW w:w="607" w:type="pct"/>
            <w:shd w:val="clear" w:color="auto" w:fill="auto"/>
          </w:tcPr>
          <w:p w14:paraId="74F80A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Cox Gannan Nithianden Ormsby Newman</w:t>
            </w:r>
          </w:p>
        </w:tc>
        <w:tc>
          <w:tcPr>
            <w:tcW w:w="607" w:type="pct"/>
            <w:shd w:val="clear" w:color="auto" w:fill="auto"/>
          </w:tcPr>
          <w:p w14:paraId="6AB17E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Shorey Munodawafa Nakku</w:t>
            </w:r>
          </w:p>
        </w:tc>
        <w:tc>
          <w:tcPr>
            <w:tcW w:w="561" w:type="pct"/>
            <w:shd w:val="clear" w:color="auto" w:fill="auto"/>
          </w:tcPr>
          <w:p w14:paraId="365C43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 </w:t>
            </w:r>
            <w:r w:rsidRPr="007934B1">
              <w:rPr>
                <w:rFonts w:ascii="Times New Roman" w:hAnsi="Times New Roman" w:cs="Times New Roman"/>
                <w:sz w:val="16"/>
                <w:szCs w:val="16"/>
              </w:rPr>
              <w:t>Jones 19</w:t>
            </w:r>
          </w:p>
        </w:tc>
        <w:tc>
          <w:tcPr>
            <w:tcW w:w="513" w:type="pct"/>
            <w:vMerge/>
          </w:tcPr>
          <w:p w14:paraId="0C97F6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3BE71D0" w14:textId="77777777" w:rsidTr="007934B1">
        <w:tc>
          <w:tcPr>
            <w:tcW w:w="746" w:type="pct"/>
            <w:vMerge/>
          </w:tcPr>
          <w:p w14:paraId="7B3566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AAA0F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913E5C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0B627C8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C50F9D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98ED93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8311BA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3EFFBB3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500B8D7" w14:textId="77777777" w:rsidTr="007934B1">
        <w:tc>
          <w:tcPr>
            <w:tcW w:w="746" w:type="pct"/>
            <w:vMerge/>
          </w:tcPr>
          <w:p w14:paraId="6C213F4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2859D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B028F1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C376CB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Hadfield Masood Button Forde</w:t>
            </w:r>
          </w:p>
        </w:tc>
        <w:tc>
          <w:tcPr>
            <w:tcW w:w="607" w:type="pct"/>
            <w:shd w:val="clear" w:color="auto" w:fill="auto"/>
          </w:tcPr>
          <w:p w14:paraId="5552BE4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Nithinden Ormsby Newman Shorey Munodawafa</w:t>
            </w:r>
          </w:p>
        </w:tc>
        <w:tc>
          <w:tcPr>
            <w:tcW w:w="607" w:type="pct"/>
            <w:shd w:val="clear" w:color="auto" w:fill="auto"/>
          </w:tcPr>
          <w:p w14:paraId="6259EE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Jones 19</w:t>
            </w:r>
          </w:p>
        </w:tc>
        <w:tc>
          <w:tcPr>
            <w:tcW w:w="561" w:type="pct"/>
            <w:shd w:val="clear" w:color="auto" w:fill="auto"/>
          </w:tcPr>
          <w:p w14:paraId="2F0C51C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Cox Gannan Nakku</w:t>
            </w:r>
          </w:p>
        </w:tc>
        <w:tc>
          <w:tcPr>
            <w:tcW w:w="513" w:type="pct"/>
            <w:vMerge/>
          </w:tcPr>
          <w:p w14:paraId="06AA796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B770E90" w14:textId="77777777" w:rsidTr="007934B1">
        <w:tc>
          <w:tcPr>
            <w:tcW w:w="746" w:type="pct"/>
            <w:vMerge w:val="restart"/>
          </w:tcPr>
          <w:p w14:paraId="17BFE81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Perception of care </w:t>
            </w:r>
            <w:r w:rsidRPr="007934B1">
              <w:rPr>
                <w:rFonts w:ascii="Times New Roman" w:hAnsi="Times New Roman" w:cs="Times New Roman"/>
                <w:sz w:val="16"/>
                <w:szCs w:val="16"/>
              </w:rPr>
              <w:t>Healthcare professional’s perception (n = 19)</w:t>
            </w:r>
          </w:p>
        </w:tc>
        <w:tc>
          <w:tcPr>
            <w:tcW w:w="695" w:type="pct"/>
            <w:vMerge w:val="restart"/>
          </w:tcPr>
          <w:p w14:paraId="3836DD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Positive views of care by HCPs aided implementation</w:t>
            </w:r>
          </w:p>
        </w:tc>
        <w:tc>
          <w:tcPr>
            <w:tcW w:w="690" w:type="pct"/>
            <w:vMerge w:val="restart"/>
          </w:tcPr>
          <w:p w14:paraId="2BE88E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Atifd 2016 Atif 2020 Bina Boyd Chartier Dierubg Drozd Feinberg Kim Leger McKenzieMc Munodowafa Nakku Nithian Ormsby Reed Segre Shorey Vik Willey</w:t>
            </w:r>
          </w:p>
        </w:tc>
        <w:tc>
          <w:tcPr>
            <w:tcW w:w="580" w:type="pct"/>
            <w:shd w:val="clear" w:color="auto" w:fill="A5A5A5" w:themeFill="accent3"/>
          </w:tcPr>
          <w:p w14:paraId="13B4084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7CADA3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2C54B96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958BD1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6C5B090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 only 1 relevant</w:t>
            </w:r>
          </w:p>
        </w:tc>
      </w:tr>
      <w:tr w:rsidR="007934B1" w:rsidRPr="007934B1" w14:paraId="6FF9C76E" w14:textId="77777777" w:rsidTr="007934B1">
        <w:tc>
          <w:tcPr>
            <w:tcW w:w="746" w:type="pct"/>
            <w:vMerge/>
          </w:tcPr>
          <w:p w14:paraId="217698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DBAFB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945D51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370BA8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w:t>
            </w:r>
          </w:p>
        </w:tc>
        <w:tc>
          <w:tcPr>
            <w:tcW w:w="607" w:type="pct"/>
            <w:shd w:val="clear" w:color="auto" w:fill="auto"/>
          </w:tcPr>
          <w:p w14:paraId="554FAAA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Boyd Chartier Doering Drozd Feinberg Kim Leger Nithianden Ormsby Reed Segrey Vik Willey</w:t>
            </w:r>
          </w:p>
        </w:tc>
        <w:tc>
          <w:tcPr>
            <w:tcW w:w="607" w:type="pct"/>
            <w:shd w:val="clear" w:color="auto" w:fill="auto"/>
          </w:tcPr>
          <w:p w14:paraId="6C51D36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16 Atif 20 Bina Munodawafa Nakku Shorey</w:t>
            </w:r>
          </w:p>
        </w:tc>
        <w:tc>
          <w:tcPr>
            <w:tcW w:w="561" w:type="pct"/>
            <w:shd w:val="clear" w:color="auto" w:fill="auto"/>
          </w:tcPr>
          <w:p w14:paraId="1A280C5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0D6ED5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941F9B1" w14:textId="77777777" w:rsidTr="007934B1">
        <w:tc>
          <w:tcPr>
            <w:tcW w:w="746" w:type="pct"/>
            <w:vMerge/>
          </w:tcPr>
          <w:p w14:paraId="5C64CCB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220E1E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2B26AA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61B188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72C75F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5A75D5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0B469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44A163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72E81DE" w14:textId="77777777" w:rsidTr="007934B1">
        <w:tc>
          <w:tcPr>
            <w:tcW w:w="746" w:type="pct"/>
            <w:vMerge/>
          </w:tcPr>
          <w:p w14:paraId="6314D55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95" w:type="pct"/>
            <w:vMerge/>
          </w:tcPr>
          <w:p w14:paraId="314A375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73AB7D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2AA75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w:t>
            </w:r>
          </w:p>
        </w:tc>
        <w:tc>
          <w:tcPr>
            <w:tcW w:w="607" w:type="pct"/>
            <w:shd w:val="clear" w:color="auto" w:fill="auto"/>
          </w:tcPr>
          <w:p w14:paraId="107A53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Drozd Leger Nithianden Ormsby Wik Willey Shorey</w:t>
            </w:r>
          </w:p>
        </w:tc>
        <w:tc>
          <w:tcPr>
            <w:tcW w:w="607" w:type="pct"/>
            <w:shd w:val="clear" w:color="auto" w:fill="auto"/>
          </w:tcPr>
          <w:p w14:paraId="3FD6803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230118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Boyd Doering Feinberg Kim Segre Ati 20 Atif 16 Nakku</w:t>
            </w:r>
          </w:p>
        </w:tc>
        <w:tc>
          <w:tcPr>
            <w:tcW w:w="513" w:type="pct"/>
            <w:vMerge/>
          </w:tcPr>
          <w:p w14:paraId="7C279FE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060B4E1" w14:textId="77777777" w:rsidTr="007934B1">
        <w:tc>
          <w:tcPr>
            <w:tcW w:w="746" w:type="pct"/>
            <w:vMerge w:val="restart"/>
          </w:tcPr>
          <w:p w14:paraId="6E38DB6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Women’s perception of the care (n = 7)</w:t>
            </w:r>
          </w:p>
        </w:tc>
        <w:tc>
          <w:tcPr>
            <w:tcW w:w="695" w:type="pct"/>
            <w:vMerge w:val="restart"/>
          </w:tcPr>
          <w:p w14:paraId="164673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Positive views of women about care aided implementation</w:t>
            </w:r>
          </w:p>
        </w:tc>
        <w:tc>
          <w:tcPr>
            <w:tcW w:w="690" w:type="pct"/>
            <w:vMerge w:val="restart"/>
          </w:tcPr>
          <w:p w14:paraId="27C741F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Ammerman Atif 2016 Atif 2020 McKenzie Ormsby </w:t>
            </w:r>
          </w:p>
        </w:tc>
        <w:tc>
          <w:tcPr>
            <w:tcW w:w="580" w:type="pct"/>
            <w:shd w:val="clear" w:color="auto" w:fill="A5A5A5" w:themeFill="accent3"/>
          </w:tcPr>
          <w:p w14:paraId="223A76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7CDAC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863582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63A94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04FCC6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 </w:t>
            </w:r>
            <w:r w:rsidRPr="007934B1">
              <w:rPr>
                <w:rFonts w:ascii="Times New Roman" w:hAnsi="Times New Roman" w:cs="Times New Roman"/>
                <w:sz w:val="16"/>
                <w:szCs w:val="16"/>
              </w:rPr>
              <w:t xml:space="preserve"> only 1 relevant</w:t>
            </w:r>
          </w:p>
        </w:tc>
      </w:tr>
      <w:tr w:rsidR="007934B1" w:rsidRPr="007934B1" w14:paraId="24D0449A" w14:textId="77777777" w:rsidTr="007934B1">
        <w:tc>
          <w:tcPr>
            <w:tcW w:w="746" w:type="pct"/>
            <w:vMerge/>
          </w:tcPr>
          <w:p w14:paraId="3907D7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CD3151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8DC48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45D925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w:t>
            </w:r>
          </w:p>
        </w:tc>
        <w:tc>
          <w:tcPr>
            <w:tcW w:w="607" w:type="pct"/>
            <w:shd w:val="clear" w:color="auto" w:fill="auto"/>
          </w:tcPr>
          <w:p w14:paraId="3671B1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Ormsby</w:t>
            </w:r>
          </w:p>
        </w:tc>
        <w:tc>
          <w:tcPr>
            <w:tcW w:w="607" w:type="pct"/>
            <w:shd w:val="clear" w:color="auto" w:fill="auto"/>
          </w:tcPr>
          <w:p w14:paraId="42A373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16 Atif 20</w:t>
            </w:r>
          </w:p>
        </w:tc>
        <w:tc>
          <w:tcPr>
            <w:tcW w:w="561" w:type="pct"/>
            <w:shd w:val="clear" w:color="auto" w:fill="auto"/>
          </w:tcPr>
          <w:p w14:paraId="13A165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1B5C1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7034B83" w14:textId="77777777" w:rsidTr="007934B1">
        <w:tc>
          <w:tcPr>
            <w:tcW w:w="746" w:type="pct"/>
            <w:vMerge/>
          </w:tcPr>
          <w:p w14:paraId="64E488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E5F58E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AE1D13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6423C8C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BDB45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36080D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DF4714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55AADD9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1C0FC1F" w14:textId="77777777" w:rsidTr="007934B1">
        <w:tc>
          <w:tcPr>
            <w:tcW w:w="746" w:type="pct"/>
            <w:vMerge/>
          </w:tcPr>
          <w:p w14:paraId="7474A4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9E225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3B298E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5A125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w:t>
            </w:r>
          </w:p>
        </w:tc>
        <w:tc>
          <w:tcPr>
            <w:tcW w:w="607" w:type="pct"/>
            <w:shd w:val="clear" w:color="auto" w:fill="auto"/>
          </w:tcPr>
          <w:p w14:paraId="72160CC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rmsby</w:t>
            </w:r>
          </w:p>
        </w:tc>
        <w:tc>
          <w:tcPr>
            <w:tcW w:w="607" w:type="pct"/>
            <w:shd w:val="clear" w:color="auto" w:fill="auto"/>
          </w:tcPr>
          <w:p w14:paraId="52F41D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A0C87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Atif 16 Atif 20</w:t>
            </w:r>
          </w:p>
        </w:tc>
        <w:tc>
          <w:tcPr>
            <w:tcW w:w="513" w:type="pct"/>
            <w:vMerge/>
          </w:tcPr>
          <w:p w14:paraId="4DC5364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50E24D8" w14:textId="77777777" w:rsidTr="007934B1">
        <w:tc>
          <w:tcPr>
            <w:tcW w:w="746" w:type="pct"/>
            <w:vMerge w:val="restart"/>
          </w:tcPr>
          <w:p w14:paraId="0394E41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Screening and assessment </w:t>
            </w:r>
            <w:r w:rsidRPr="007934B1">
              <w:rPr>
                <w:rFonts w:ascii="Times New Roman" w:hAnsi="Times New Roman" w:cs="Times New Roman"/>
                <w:sz w:val="16"/>
                <w:szCs w:val="16"/>
              </w:rPr>
              <w:t>Wording of assessment tools (n = 3) Wording of screening tools</w:t>
            </w:r>
          </w:p>
        </w:tc>
        <w:tc>
          <w:tcPr>
            <w:tcW w:w="695" w:type="pct"/>
            <w:vMerge w:val="restart"/>
          </w:tcPr>
          <w:p w14:paraId="01FE19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The clarity of the wording of the assessment tools affects implementation and access</w:t>
            </w:r>
          </w:p>
        </w:tc>
        <w:tc>
          <w:tcPr>
            <w:tcW w:w="690" w:type="pct"/>
            <w:vMerge w:val="restart"/>
          </w:tcPr>
          <w:p w14:paraId="0C24F542"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Williams Doering Segre </w:t>
            </w:r>
            <w:r w:rsidRPr="007934B1">
              <w:rPr>
                <w:rFonts w:ascii="Times New Roman" w:hAnsi="Times New Roman" w:cs="Times New Roman"/>
                <w:noProof/>
                <w:color w:val="000000"/>
                <w:sz w:val="16"/>
                <w:szCs w:val="16"/>
              </w:rPr>
              <w:t>Brealey et al., 2010; Hewitt et al., 2009</w:t>
            </w:r>
          </w:p>
        </w:tc>
        <w:tc>
          <w:tcPr>
            <w:tcW w:w="580" w:type="pct"/>
            <w:shd w:val="clear" w:color="auto" w:fill="A5A5A5" w:themeFill="accent3"/>
          </w:tcPr>
          <w:p w14:paraId="00E189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7639C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37E462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E5567F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3D82FC1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 xml:space="preserve"> most are directly relevant</w:t>
            </w:r>
          </w:p>
        </w:tc>
      </w:tr>
      <w:tr w:rsidR="007934B1" w:rsidRPr="007934B1" w14:paraId="1E86FFB7" w14:textId="77777777" w:rsidTr="007934B1">
        <w:tc>
          <w:tcPr>
            <w:tcW w:w="746" w:type="pct"/>
            <w:vMerge/>
          </w:tcPr>
          <w:p w14:paraId="6AA8638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8FF5C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784040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E9A8FF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Hewitt Williams</w:t>
            </w:r>
          </w:p>
        </w:tc>
        <w:tc>
          <w:tcPr>
            <w:tcW w:w="607" w:type="pct"/>
            <w:shd w:val="clear" w:color="auto" w:fill="auto"/>
          </w:tcPr>
          <w:p w14:paraId="0A93309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Segre</w:t>
            </w:r>
          </w:p>
        </w:tc>
        <w:tc>
          <w:tcPr>
            <w:tcW w:w="607" w:type="pct"/>
            <w:shd w:val="clear" w:color="auto" w:fill="auto"/>
          </w:tcPr>
          <w:p w14:paraId="4BBBA3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78713B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B0CA0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8F3BA46" w14:textId="77777777" w:rsidTr="007934B1">
        <w:tc>
          <w:tcPr>
            <w:tcW w:w="746" w:type="pct"/>
            <w:vMerge/>
          </w:tcPr>
          <w:p w14:paraId="3C0CD1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2DC08F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E4FD07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36FDCA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15776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35C603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9E380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7D532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CDBB250" w14:textId="77777777" w:rsidTr="007934B1">
        <w:tc>
          <w:tcPr>
            <w:tcW w:w="746" w:type="pct"/>
            <w:vMerge/>
          </w:tcPr>
          <w:p w14:paraId="193DF0E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85000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031D5E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2E7A6B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Hewitt Williams</w:t>
            </w:r>
          </w:p>
        </w:tc>
        <w:tc>
          <w:tcPr>
            <w:tcW w:w="607" w:type="pct"/>
            <w:shd w:val="clear" w:color="auto" w:fill="auto"/>
          </w:tcPr>
          <w:p w14:paraId="0BF332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0BE6A8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AD0D6F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Doering Segre</w:t>
            </w:r>
          </w:p>
        </w:tc>
        <w:tc>
          <w:tcPr>
            <w:tcW w:w="513" w:type="pct"/>
            <w:vMerge/>
          </w:tcPr>
          <w:p w14:paraId="28D274E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F9E2406" w14:textId="77777777" w:rsidTr="007934B1">
        <w:trPr>
          <w:trHeight w:val="290"/>
        </w:trPr>
        <w:tc>
          <w:tcPr>
            <w:tcW w:w="746" w:type="pct"/>
            <w:vMerge w:val="restart"/>
          </w:tcPr>
          <w:p w14:paraId="03546C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Delivery of screening </w:t>
            </w:r>
          </w:p>
        </w:tc>
        <w:tc>
          <w:tcPr>
            <w:tcW w:w="695" w:type="pct"/>
            <w:vMerge w:val="restart"/>
          </w:tcPr>
          <w:p w14:paraId="58C8934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did not like it when delivery was done in a tick box way with no time for discussion and no explanation beforehand Explaining the purpose of assessment to women.</w:t>
            </w:r>
          </w:p>
        </w:tc>
        <w:tc>
          <w:tcPr>
            <w:tcW w:w="690" w:type="pct"/>
            <w:vMerge w:val="restart"/>
          </w:tcPr>
          <w:p w14:paraId="21C7236D"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Brealey et al., 2010; Button et al., 2017; Evans et al., 2020; Hewitt et al., 2009; Smith et al., 2019 Nithianden Shakespeare Noonan Segre Vik Williams Doering</w:t>
            </w:r>
          </w:p>
        </w:tc>
        <w:tc>
          <w:tcPr>
            <w:tcW w:w="580" w:type="pct"/>
            <w:vMerge w:val="restart"/>
            <w:shd w:val="clear" w:color="auto" w:fill="A5A5A5" w:themeFill="accent3"/>
          </w:tcPr>
          <w:p w14:paraId="6FA6D72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vMerge w:val="restart"/>
            <w:shd w:val="clear" w:color="auto" w:fill="A5A5A5" w:themeFill="accent3"/>
          </w:tcPr>
          <w:p w14:paraId="6E98C2B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vMerge w:val="restart"/>
            <w:shd w:val="clear" w:color="auto" w:fill="A5A5A5" w:themeFill="accent3"/>
          </w:tcPr>
          <w:p w14:paraId="7573C94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vMerge w:val="restart"/>
            <w:shd w:val="clear" w:color="auto" w:fill="A5A5A5" w:themeFill="accent3"/>
          </w:tcPr>
          <w:p w14:paraId="75FD12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08B1949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 </w:t>
            </w:r>
            <w:r w:rsidRPr="007934B1">
              <w:rPr>
                <w:rFonts w:ascii="Times New Roman" w:hAnsi="Times New Roman" w:cs="Times New Roman"/>
                <w:sz w:val="16"/>
                <w:szCs w:val="16"/>
              </w:rPr>
              <w:t xml:space="preserve"> most relevant or partially s</w:t>
            </w:r>
          </w:p>
        </w:tc>
      </w:tr>
      <w:tr w:rsidR="007934B1" w:rsidRPr="007934B1" w14:paraId="7D60B23B" w14:textId="77777777" w:rsidTr="007934B1">
        <w:trPr>
          <w:trHeight w:val="290"/>
        </w:trPr>
        <w:tc>
          <w:tcPr>
            <w:tcW w:w="746" w:type="pct"/>
            <w:vMerge/>
          </w:tcPr>
          <w:p w14:paraId="10D8B2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43FEF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3D5FCE5"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vMerge/>
            <w:shd w:val="clear" w:color="auto" w:fill="A5A5A5" w:themeFill="accent3"/>
          </w:tcPr>
          <w:p w14:paraId="43539CA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5A5A5" w:themeFill="accent3"/>
          </w:tcPr>
          <w:p w14:paraId="79ADAD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vMerge/>
            <w:shd w:val="clear" w:color="auto" w:fill="A5A5A5" w:themeFill="accent3"/>
          </w:tcPr>
          <w:p w14:paraId="16D690A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vMerge/>
            <w:shd w:val="clear" w:color="auto" w:fill="A5A5A5" w:themeFill="accent3"/>
          </w:tcPr>
          <w:p w14:paraId="4077C7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E2BB2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59EDBDD" w14:textId="77777777" w:rsidTr="007934B1">
        <w:trPr>
          <w:trHeight w:val="537"/>
        </w:trPr>
        <w:tc>
          <w:tcPr>
            <w:tcW w:w="746" w:type="pct"/>
            <w:vMerge/>
          </w:tcPr>
          <w:p w14:paraId="01A281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25CBB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A97AA45"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376BEBA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Button Hewitt Smith Shakespeare Williams</w:t>
            </w:r>
          </w:p>
        </w:tc>
        <w:tc>
          <w:tcPr>
            <w:tcW w:w="607" w:type="pct"/>
            <w:shd w:val="clear" w:color="auto" w:fill="auto"/>
          </w:tcPr>
          <w:p w14:paraId="423BAC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Nithianden Noonan Sgre Vik Doering</w:t>
            </w:r>
          </w:p>
        </w:tc>
        <w:tc>
          <w:tcPr>
            <w:tcW w:w="607" w:type="pct"/>
            <w:shd w:val="clear" w:color="auto" w:fill="auto"/>
          </w:tcPr>
          <w:p w14:paraId="06556DA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65BD6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C3F5B4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D5B7682" w14:textId="77777777" w:rsidTr="007934B1">
        <w:trPr>
          <w:trHeight w:val="537"/>
        </w:trPr>
        <w:tc>
          <w:tcPr>
            <w:tcW w:w="746" w:type="pct"/>
            <w:vMerge/>
          </w:tcPr>
          <w:p w14:paraId="3A6571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0D02CE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D5735F1"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05BD35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6C76A6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B49971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136CE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EA2F9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5F45905" w14:textId="77777777" w:rsidTr="007934B1">
        <w:trPr>
          <w:trHeight w:val="537"/>
        </w:trPr>
        <w:tc>
          <w:tcPr>
            <w:tcW w:w="746" w:type="pct"/>
            <w:vMerge/>
            <w:tcBorders>
              <w:bottom w:val="single" w:sz="4" w:space="0" w:color="BFBFBF" w:themeColor="background1" w:themeShade="BF"/>
            </w:tcBorders>
          </w:tcPr>
          <w:p w14:paraId="78DE24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Borders>
              <w:bottom w:val="single" w:sz="4" w:space="0" w:color="BFBFBF" w:themeColor="background1" w:themeShade="BF"/>
            </w:tcBorders>
          </w:tcPr>
          <w:p w14:paraId="7D198E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Borders>
              <w:bottom w:val="single" w:sz="4" w:space="0" w:color="BFBFBF" w:themeColor="background1" w:themeShade="BF"/>
            </w:tcBorders>
          </w:tcPr>
          <w:p w14:paraId="5888B314"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0F4AE74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Button Hewitt Smith Shakespeare Williams</w:t>
            </w:r>
          </w:p>
        </w:tc>
        <w:tc>
          <w:tcPr>
            <w:tcW w:w="607" w:type="pct"/>
            <w:shd w:val="clear" w:color="auto" w:fill="auto"/>
          </w:tcPr>
          <w:p w14:paraId="4798311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Nithianden Vik Noonan</w:t>
            </w:r>
          </w:p>
        </w:tc>
        <w:tc>
          <w:tcPr>
            <w:tcW w:w="607" w:type="pct"/>
            <w:shd w:val="clear" w:color="auto" w:fill="auto"/>
          </w:tcPr>
          <w:p w14:paraId="349F26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897C7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Segre Doering </w:t>
            </w:r>
          </w:p>
        </w:tc>
        <w:tc>
          <w:tcPr>
            <w:tcW w:w="513" w:type="pct"/>
            <w:vMerge/>
            <w:tcBorders>
              <w:bottom w:val="single" w:sz="4" w:space="0" w:color="BFBFBF" w:themeColor="background1" w:themeShade="BF"/>
            </w:tcBorders>
          </w:tcPr>
          <w:p w14:paraId="51D0E5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6DD3D4C" w14:textId="77777777" w:rsidTr="007934B1">
        <w:tc>
          <w:tcPr>
            <w:tcW w:w="746" w:type="pct"/>
            <w:vMerge w:val="restart"/>
          </w:tcPr>
          <w:p w14:paraId="1A07E9B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Screening acceptability</w:t>
            </w:r>
          </w:p>
        </w:tc>
        <w:tc>
          <w:tcPr>
            <w:tcW w:w="695" w:type="pct"/>
            <w:vMerge w:val="restart"/>
          </w:tcPr>
          <w:p w14:paraId="3C9DBD3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EPDS was generally found to be acceptable to Native/Indigenous women of Canada, South Asian women living in the UK, and Black Caribbean women living in the UK However, certain questions may not elicit true feelings from Vietnamese women living in the UK because of the shame of admitting to these Q10 on the EPDS (‘the thought of harming myself has occurred to me’) was seen as problematic to Arabic, Vietnamese and Black Caribbean mothers living in the UK or USA, </w:t>
            </w:r>
          </w:p>
        </w:tc>
        <w:tc>
          <w:tcPr>
            <w:tcW w:w="690" w:type="pct"/>
            <w:vMerge w:val="restart"/>
          </w:tcPr>
          <w:p w14:paraId="0A71AA00"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Brealey et al., 2010; Button et al., 2017; Evans et al., 2020; Hewitt et al., 2009; Megnin-Viggars et al., 2015; Mollard et al., 2016; Smith et al., 2019 Doeriing Shakespeare  Stakeholder</w:t>
            </w:r>
          </w:p>
        </w:tc>
        <w:tc>
          <w:tcPr>
            <w:tcW w:w="580" w:type="pct"/>
            <w:shd w:val="clear" w:color="auto" w:fill="A5A5A5" w:themeFill="accent3"/>
          </w:tcPr>
          <w:p w14:paraId="459377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55C37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DCA06B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4A704C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132045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None –</w:t>
            </w:r>
            <w:r w:rsidRPr="007934B1">
              <w:rPr>
                <w:rFonts w:ascii="Times New Roman" w:hAnsi="Times New Roman" w:cs="Times New Roman"/>
                <w:sz w:val="16"/>
                <w:szCs w:val="16"/>
              </w:rPr>
              <w:t xml:space="preserve">majority directly related </w:t>
            </w:r>
          </w:p>
        </w:tc>
      </w:tr>
      <w:tr w:rsidR="007934B1" w:rsidRPr="007934B1" w14:paraId="4ADDF56C" w14:textId="77777777" w:rsidTr="007934B1">
        <w:tc>
          <w:tcPr>
            <w:tcW w:w="746" w:type="pct"/>
            <w:vMerge/>
          </w:tcPr>
          <w:p w14:paraId="70854F3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53D03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0BDAA0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1731F4F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Button Hewitt Smith Shakespeare</w:t>
            </w:r>
          </w:p>
        </w:tc>
        <w:tc>
          <w:tcPr>
            <w:tcW w:w="607" w:type="pct"/>
            <w:shd w:val="clear" w:color="auto" w:fill="auto"/>
          </w:tcPr>
          <w:p w14:paraId="72906B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Evans Mollard Doering</w:t>
            </w:r>
          </w:p>
        </w:tc>
        <w:tc>
          <w:tcPr>
            <w:tcW w:w="607" w:type="pct"/>
            <w:shd w:val="clear" w:color="auto" w:fill="auto"/>
          </w:tcPr>
          <w:p w14:paraId="296D3C7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EB5C9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7F03AB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2129D3F" w14:textId="77777777" w:rsidTr="007934B1">
        <w:tc>
          <w:tcPr>
            <w:tcW w:w="746" w:type="pct"/>
            <w:vMerge/>
          </w:tcPr>
          <w:p w14:paraId="401D07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4B690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AE46C82"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08239F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99A92A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9F959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DF5EE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ED8E69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881E1DA" w14:textId="77777777" w:rsidTr="007934B1">
        <w:tc>
          <w:tcPr>
            <w:tcW w:w="746" w:type="pct"/>
            <w:vMerge/>
          </w:tcPr>
          <w:p w14:paraId="2F275FC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492A3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894344F"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8A79E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Button Hewitt Smith Shakespeare</w:t>
            </w:r>
          </w:p>
        </w:tc>
        <w:tc>
          <w:tcPr>
            <w:tcW w:w="607" w:type="pct"/>
            <w:shd w:val="clear" w:color="auto" w:fill="auto"/>
          </w:tcPr>
          <w:p w14:paraId="6186F1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Evan</w:t>
            </w:r>
          </w:p>
        </w:tc>
        <w:tc>
          <w:tcPr>
            <w:tcW w:w="607" w:type="pct"/>
            <w:shd w:val="clear" w:color="auto" w:fill="auto"/>
          </w:tcPr>
          <w:p w14:paraId="10FD242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A602E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Mollard Doering</w:t>
            </w:r>
          </w:p>
        </w:tc>
        <w:tc>
          <w:tcPr>
            <w:tcW w:w="513" w:type="pct"/>
            <w:vMerge/>
          </w:tcPr>
          <w:p w14:paraId="36DC324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05785A1" w14:textId="77777777" w:rsidTr="007934B1">
        <w:tc>
          <w:tcPr>
            <w:tcW w:w="746" w:type="pct"/>
            <w:shd w:val="clear" w:color="auto" w:fill="EDEDED" w:themeFill="accent3" w:themeFillTint="33"/>
          </w:tcPr>
          <w:p w14:paraId="69C23F0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Organisational</w:t>
            </w:r>
          </w:p>
        </w:tc>
        <w:tc>
          <w:tcPr>
            <w:tcW w:w="695" w:type="pct"/>
            <w:shd w:val="clear" w:color="auto" w:fill="EDEDED" w:themeFill="accent3" w:themeFillTint="33"/>
          </w:tcPr>
          <w:p w14:paraId="5BF92A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shd w:val="clear" w:color="auto" w:fill="EDEDED" w:themeFill="accent3" w:themeFillTint="33"/>
          </w:tcPr>
          <w:p w14:paraId="00D17F5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EDEDED" w:themeFill="accent3" w:themeFillTint="33"/>
          </w:tcPr>
          <w:p w14:paraId="000E05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DEDED" w:themeFill="accent3" w:themeFillTint="33"/>
          </w:tcPr>
          <w:p w14:paraId="34FC304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DEDED" w:themeFill="accent3" w:themeFillTint="33"/>
          </w:tcPr>
          <w:p w14:paraId="49D54A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EDEDED" w:themeFill="accent3" w:themeFillTint="33"/>
          </w:tcPr>
          <w:p w14:paraId="169AEC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shd w:val="clear" w:color="auto" w:fill="EDEDED" w:themeFill="accent3" w:themeFillTint="33"/>
          </w:tcPr>
          <w:p w14:paraId="5066BC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8B4BB04" w14:textId="77777777" w:rsidTr="007934B1">
        <w:tc>
          <w:tcPr>
            <w:tcW w:w="746" w:type="pct"/>
            <w:vMerge w:val="restart"/>
          </w:tcPr>
          <w:p w14:paraId="08AE37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Continuity of carer (n = 8)</w:t>
            </w:r>
          </w:p>
        </w:tc>
        <w:tc>
          <w:tcPr>
            <w:tcW w:w="695" w:type="pct"/>
            <w:vMerge w:val="restart"/>
          </w:tcPr>
          <w:p w14:paraId="1E9E68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being able to see the same person across the care pathway was helpful in terms of implementation and access to PNMH care.</w:t>
            </w:r>
          </w:p>
        </w:tc>
        <w:tc>
          <w:tcPr>
            <w:tcW w:w="690" w:type="pct"/>
            <w:vMerge w:val="restart"/>
          </w:tcPr>
          <w:p w14:paraId="3E2CC05D"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Byatt Chartier Higgins Nithianden OMahen Rowan Willey Williams Brealey Button Hadfileld Menin Slade Smith Tobin Viveiros Watson Stakeholder</w:t>
            </w:r>
          </w:p>
        </w:tc>
        <w:tc>
          <w:tcPr>
            <w:tcW w:w="580" w:type="pct"/>
            <w:shd w:val="clear" w:color="auto" w:fill="A5A5A5" w:themeFill="accent3"/>
          </w:tcPr>
          <w:p w14:paraId="55DC8F5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97306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CDF2B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3888BB2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07FFA5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None/v minor - </w:t>
            </w:r>
            <w:r w:rsidRPr="007934B1">
              <w:rPr>
                <w:rFonts w:ascii="Times New Roman" w:hAnsi="Times New Roman" w:cs="Times New Roman"/>
                <w:sz w:val="16"/>
                <w:szCs w:val="16"/>
              </w:rPr>
              <w:t xml:space="preserve"> most studies are directly relevant + evidence from SH meeting </w:t>
            </w:r>
          </w:p>
        </w:tc>
      </w:tr>
      <w:tr w:rsidR="007934B1" w:rsidRPr="007934B1" w14:paraId="0F1E7585" w14:textId="77777777" w:rsidTr="007934B1">
        <w:tc>
          <w:tcPr>
            <w:tcW w:w="746" w:type="pct"/>
            <w:vMerge/>
          </w:tcPr>
          <w:p w14:paraId="487784C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C2CED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2A03E5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88446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Rowan O Mahen Williams  Brealey Button Hadfield Slade Smith Viveiros Watson </w:t>
            </w:r>
          </w:p>
        </w:tc>
        <w:tc>
          <w:tcPr>
            <w:tcW w:w="607" w:type="pct"/>
            <w:shd w:val="clear" w:color="auto" w:fill="auto"/>
          </w:tcPr>
          <w:p w14:paraId="358708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Byatt Chartier Higgins Niithianden Willey Tobin</w:t>
            </w:r>
          </w:p>
        </w:tc>
        <w:tc>
          <w:tcPr>
            <w:tcW w:w="607" w:type="pct"/>
            <w:shd w:val="clear" w:color="auto" w:fill="auto"/>
          </w:tcPr>
          <w:p w14:paraId="186C18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5FF1B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26CFDB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CEFE8BD" w14:textId="77777777" w:rsidTr="007934B1">
        <w:tc>
          <w:tcPr>
            <w:tcW w:w="746" w:type="pct"/>
            <w:vMerge/>
          </w:tcPr>
          <w:p w14:paraId="1E8F2BC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58F87E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E5D6024"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7F3E19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C7737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49C05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08FC0D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5E4933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2A66892E" w14:textId="77777777" w:rsidTr="007934B1">
        <w:tc>
          <w:tcPr>
            <w:tcW w:w="746" w:type="pct"/>
            <w:vMerge/>
          </w:tcPr>
          <w:p w14:paraId="2AC07E8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5C1E2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A2C2DB6"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BE28A1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O Mahen Williams  Brealey Button Hadfield Slade Smith Viveiros Watson SH</w:t>
            </w:r>
          </w:p>
        </w:tc>
        <w:tc>
          <w:tcPr>
            <w:tcW w:w="607" w:type="pct"/>
            <w:shd w:val="clear" w:color="auto" w:fill="auto"/>
          </w:tcPr>
          <w:p w14:paraId="7CD963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Chartier Higgins Nithianden</w:t>
            </w:r>
          </w:p>
        </w:tc>
        <w:tc>
          <w:tcPr>
            <w:tcW w:w="607" w:type="pct"/>
            <w:shd w:val="clear" w:color="auto" w:fill="auto"/>
          </w:tcPr>
          <w:p w14:paraId="3ABA1F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61" w:type="pct"/>
            <w:shd w:val="clear" w:color="auto" w:fill="auto"/>
          </w:tcPr>
          <w:p w14:paraId="114BBE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Byatt </w:t>
            </w:r>
          </w:p>
        </w:tc>
        <w:tc>
          <w:tcPr>
            <w:tcW w:w="513" w:type="pct"/>
            <w:vMerge/>
          </w:tcPr>
          <w:p w14:paraId="21EA08F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0138200" w14:textId="77777777" w:rsidTr="007934B1">
        <w:tc>
          <w:tcPr>
            <w:tcW w:w="746" w:type="pct"/>
            <w:vMerge w:val="restart"/>
          </w:tcPr>
          <w:p w14:paraId="3AA96BF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Organisational structure (n = 5)</w:t>
            </w:r>
          </w:p>
        </w:tc>
        <w:tc>
          <w:tcPr>
            <w:tcW w:w="695" w:type="pct"/>
            <w:vMerge w:val="restart"/>
          </w:tcPr>
          <w:p w14:paraId="109F12A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 structure in which the purpose of each part of the organisation is clear and meets all of women’s needs, ensuring women don’t fall through gaps for implementation</w:t>
            </w:r>
          </w:p>
        </w:tc>
        <w:tc>
          <w:tcPr>
            <w:tcW w:w="690" w:type="pct"/>
            <w:vMerge w:val="restart"/>
          </w:tcPr>
          <w:p w14:paraId="419AA4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Higgins Judd Vik Pugh</w:t>
            </w:r>
          </w:p>
        </w:tc>
        <w:tc>
          <w:tcPr>
            <w:tcW w:w="580" w:type="pct"/>
            <w:shd w:val="clear" w:color="auto" w:fill="A5A5A5" w:themeFill="accent3"/>
          </w:tcPr>
          <w:p w14:paraId="649345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00DD6E9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9E7F7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62FC005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8A6BFA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 most partial relevance  </w:t>
            </w:r>
          </w:p>
        </w:tc>
      </w:tr>
      <w:tr w:rsidR="007934B1" w:rsidRPr="007934B1" w14:paraId="4484C859" w14:textId="77777777" w:rsidTr="007934B1">
        <w:tc>
          <w:tcPr>
            <w:tcW w:w="746" w:type="pct"/>
            <w:vMerge/>
          </w:tcPr>
          <w:p w14:paraId="776EF8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73160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C54D02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1CC1AB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Rowan </w:t>
            </w:r>
          </w:p>
        </w:tc>
        <w:tc>
          <w:tcPr>
            <w:tcW w:w="607" w:type="pct"/>
            <w:shd w:val="clear" w:color="auto" w:fill="auto"/>
          </w:tcPr>
          <w:p w14:paraId="4CEA9B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Higgins Jud Vik Pugh</w:t>
            </w:r>
          </w:p>
        </w:tc>
        <w:tc>
          <w:tcPr>
            <w:tcW w:w="607" w:type="pct"/>
            <w:shd w:val="clear" w:color="auto" w:fill="auto"/>
          </w:tcPr>
          <w:p w14:paraId="5F5EED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57CC3F4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1A510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6BA71BA" w14:textId="77777777" w:rsidTr="007934B1">
        <w:tc>
          <w:tcPr>
            <w:tcW w:w="746" w:type="pct"/>
            <w:vMerge/>
          </w:tcPr>
          <w:p w14:paraId="3506E4E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4888B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56314D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252316E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E33835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942D3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3C57EC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A9E51F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1A96BF0" w14:textId="77777777" w:rsidTr="007934B1">
        <w:tc>
          <w:tcPr>
            <w:tcW w:w="746" w:type="pct"/>
            <w:vMerge/>
          </w:tcPr>
          <w:p w14:paraId="29A9CA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1DCD3E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FBB15A5"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073A40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SH</w:t>
            </w:r>
          </w:p>
        </w:tc>
        <w:tc>
          <w:tcPr>
            <w:tcW w:w="607" w:type="pct"/>
            <w:shd w:val="clear" w:color="auto" w:fill="auto"/>
          </w:tcPr>
          <w:p w14:paraId="60BC9AA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Higgins Jud Vik Pugh</w:t>
            </w:r>
          </w:p>
        </w:tc>
        <w:tc>
          <w:tcPr>
            <w:tcW w:w="607" w:type="pct"/>
            <w:shd w:val="clear" w:color="auto" w:fill="auto"/>
          </w:tcPr>
          <w:p w14:paraId="3E86854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9B4225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E95BE1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85A5313" w14:textId="77777777" w:rsidTr="007934B1">
        <w:tc>
          <w:tcPr>
            <w:tcW w:w="746" w:type="pct"/>
            <w:vMerge w:val="restart"/>
          </w:tcPr>
          <w:p w14:paraId="0B9EC7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Referral pathways (n = 12)</w:t>
            </w:r>
          </w:p>
        </w:tc>
        <w:tc>
          <w:tcPr>
            <w:tcW w:w="695" w:type="pct"/>
            <w:vMerge w:val="restart"/>
          </w:tcPr>
          <w:p w14:paraId="654EE6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Having a clear and easy process to allow for women to be referred to other services helps implement a new service. </w:t>
            </w:r>
          </w:p>
        </w:tc>
        <w:tc>
          <w:tcPr>
            <w:tcW w:w="690" w:type="pct"/>
            <w:vMerge w:val="restart"/>
          </w:tcPr>
          <w:p w14:paraId="1EE20759"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Ammerman Bina Judd Boyd Cox Feinberg Nithianden Kerker Noonan Willey Rowan Stakeholder</w:t>
            </w:r>
          </w:p>
        </w:tc>
        <w:tc>
          <w:tcPr>
            <w:tcW w:w="580" w:type="pct"/>
            <w:shd w:val="clear" w:color="auto" w:fill="A5A5A5" w:themeFill="accent3"/>
          </w:tcPr>
          <w:p w14:paraId="6040AC7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C25F20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6C1EBD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881DBB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48D6ED4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most partial relevance but came up in SH meetings so real life relevance</w:t>
            </w:r>
          </w:p>
        </w:tc>
      </w:tr>
      <w:tr w:rsidR="007934B1" w:rsidRPr="007934B1" w14:paraId="3B2C8E5C" w14:textId="77777777" w:rsidTr="007934B1">
        <w:tc>
          <w:tcPr>
            <w:tcW w:w="746" w:type="pct"/>
            <w:vMerge/>
          </w:tcPr>
          <w:p w14:paraId="3C31F1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301B72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3DC8A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4EBDB5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SH</w:t>
            </w:r>
          </w:p>
        </w:tc>
        <w:tc>
          <w:tcPr>
            <w:tcW w:w="607" w:type="pct"/>
            <w:shd w:val="clear" w:color="auto" w:fill="auto"/>
          </w:tcPr>
          <w:p w14:paraId="5EF6FEE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Judd Boyd Cox Feinberg Nithianden Noonan Willey</w:t>
            </w:r>
          </w:p>
        </w:tc>
        <w:tc>
          <w:tcPr>
            <w:tcW w:w="607" w:type="pct"/>
            <w:shd w:val="clear" w:color="auto" w:fill="auto"/>
          </w:tcPr>
          <w:p w14:paraId="449CF9E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552B9F3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0587860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6F57CC1" w14:textId="77777777" w:rsidTr="007934B1">
        <w:tc>
          <w:tcPr>
            <w:tcW w:w="746" w:type="pct"/>
            <w:vMerge/>
          </w:tcPr>
          <w:p w14:paraId="375E29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26BEC2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1501C7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295FE75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F3A580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C51096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BE3432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4893537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61874C6" w14:textId="77777777" w:rsidTr="007934B1">
        <w:tc>
          <w:tcPr>
            <w:tcW w:w="746" w:type="pct"/>
            <w:vMerge/>
          </w:tcPr>
          <w:p w14:paraId="22BFDC5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575DD5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5B9084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67E818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Rowan SH</w:t>
            </w:r>
          </w:p>
        </w:tc>
        <w:tc>
          <w:tcPr>
            <w:tcW w:w="607" w:type="pct"/>
            <w:shd w:val="clear" w:color="auto" w:fill="auto"/>
          </w:tcPr>
          <w:p w14:paraId="5E3CD33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Judd Nithianden Noonan Willey</w:t>
            </w:r>
          </w:p>
        </w:tc>
        <w:tc>
          <w:tcPr>
            <w:tcW w:w="607" w:type="pct"/>
            <w:shd w:val="clear" w:color="auto" w:fill="auto"/>
          </w:tcPr>
          <w:p w14:paraId="5E7ED7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432D1E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Ammerman Cox Feinberg </w:t>
            </w:r>
          </w:p>
        </w:tc>
        <w:tc>
          <w:tcPr>
            <w:tcW w:w="513" w:type="pct"/>
            <w:vMerge/>
          </w:tcPr>
          <w:p w14:paraId="34F996B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249E44E" w14:textId="77777777" w:rsidTr="007934B1">
        <w:tc>
          <w:tcPr>
            <w:tcW w:w="746" w:type="pct"/>
            <w:vMerge w:val="restart"/>
          </w:tcPr>
          <w:p w14:paraId="5344BE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Workflow procedures (n = 13)</w:t>
            </w:r>
          </w:p>
        </w:tc>
        <w:tc>
          <w:tcPr>
            <w:tcW w:w="695" w:type="pct"/>
            <w:vMerge w:val="restart"/>
          </w:tcPr>
          <w:p w14:paraId="0F5C57C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Knowledge of job roles and processes within the organisation. The understanding of which tasks need to be done by whom, and how to achieve these tasks helps with implementation. Things the organisation has put in place to help with implementation</w:t>
            </w:r>
          </w:p>
        </w:tc>
        <w:tc>
          <w:tcPr>
            <w:tcW w:w="690" w:type="pct"/>
            <w:vMerge w:val="restart"/>
          </w:tcPr>
          <w:p w14:paraId="649FEE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Feinberg Fernandez Kim Lind Mckenzie Segre Munodawafa Nithaianden Doering Noonan Gannan Pugh Stakeholder</w:t>
            </w:r>
          </w:p>
        </w:tc>
        <w:tc>
          <w:tcPr>
            <w:tcW w:w="580" w:type="pct"/>
            <w:shd w:val="clear" w:color="auto" w:fill="A5A5A5" w:themeFill="accent3"/>
          </w:tcPr>
          <w:p w14:paraId="6695CDA0"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1BFE6997"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A258001"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BAC580A"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DBA61E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 </w:t>
            </w:r>
            <w:r w:rsidRPr="007934B1">
              <w:rPr>
                <w:rFonts w:ascii="Times New Roman" w:hAnsi="Times New Roman" w:cs="Times New Roman"/>
                <w:sz w:val="16"/>
                <w:szCs w:val="16"/>
              </w:rPr>
              <w:t xml:space="preserve"> most partial relevance but came up in SH meetings so real life relevance</w:t>
            </w:r>
          </w:p>
        </w:tc>
      </w:tr>
      <w:tr w:rsidR="007934B1" w:rsidRPr="007934B1" w14:paraId="14964789" w14:textId="77777777" w:rsidTr="007934B1">
        <w:tc>
          <w:tcPr>
            <w:tcW w:w="746" w:type="pct"/>
            <w:vMerge/>
          </w:tcPr>
          <w:p w14:paraId="17C870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F7DD75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9BA09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10FA34A2"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McKNZIE SH</w:t>
            </w:r>
          </w:p>
        </w:tc>
        <w:tc>
          <w:tcPr>
            <w:tcW w:w="607" w:type="pct"/>
            <w:shd w:val="clear" w:color="auto" w:fill="auto"/>
          </w:tcPr>
          <w:p w14:paraId="69C1D675"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Feinberg Fernandez Kim Lind Segre Nithianden Doering Noonan Gannan Pugh</w:t>
            </w:r>
          </w:p>
        </w:tc>
        <w:tc>
          <w:tcPr>
            <w:tcW w:w="607" w:type="pct"/>
            <w:shd w:val="clear" w:color="auto" w:fill="auto"/>
          </w:tcPr>
          <w:p w14:paraId="4C4D3BC4"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Munodawafa</w:t>
            </w:r>
          </w:p>
        </w:tc>
        <w:tc>
          <w:tcPr>
            <w:tcW w:w="561" w:type="pct"/>
            <w:shd w:val="clear" w:color="auto" w:fill="auto"/>
          </w:tcPr>
          <w:p w14:paraId="49FAB24F"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p>
        </w:tc>
        <w:tc>
          <w:tcPr>
            <w:tcW w:w="513" w:type="pct"/>
            <w:vMerge/>
          </w:tcPr>
          <w:p w14:paraId="31974DF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BE4E5B8" w14:textId="77777777" w:rsidTr="007934B1">
        <w:tc>
          <w:tcPr>
            <w:tcW w:w="746" w:type="pct"/>
            <w:vMerge/>
          </w:tcPr>
          <w:p w14:paraId="6443079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A872E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F05695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7DA8368D"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3941C5A5"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B481FB0"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8F46720"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2324F55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B5A5188" w14:textId="77777777" w:rsidTr="007934B1">
        <w:tc>
          <w:tcPr>
            <w:tcW w:w="746" w:type="pct"/>
            <w:vMerge/>
          </w:tcPr>
          <w:p w14:paraId="774D98E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6EF1C8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E26156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610BADC"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 SH</w:t>
            </w:r>
          </w:p>
        </w:tc>
        <w:tc>
          <w:tcPr>
            <w:tcW w:w="607" w:type="pct"/>
            <w:shd w:val="clear" w:color="auto" w:fill="auto"/>
          </w:tcPr>
          <w:p w14:paraId="6ADD4F9A"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Munodawafa Noonan Pugh Segre</w:t>
            </w:r>
          </w:p>
        </w:tc>
        <w:tc>
          <w:tcPr>
            <w:tcW w:w="607" w:type="pct"/>
            <w:shd w:val="clear" w:color="auto" w:fill="auto"/>
          </w:tcPr>
          <w:p w14:paraId="4743C44D"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p>
        </w:tc>
        <w:tc>
          <w:tcPr>
            <w:tcW w:w="561" w:type="pct"/>
            <w:shd w:val="clear" w:color="auto" w:fill="auto"/>
          </w:tcPr>
          <w:p w14:paraId="0DCE9378" w14:textId="77777777" w:rsidR="000B75EB" w:rsidRPr="007934B1" w:rsidRDefault="000B75EB" w:rsidP="007934B1">
            <w:pPr>
              <w:pStyle w:val="ListParagraph"/>
              <w:tabs>
                <w:tab w:val="left" w:pos="1340"/>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Feeinberg Fernandez Kim Lind Segre Doering  Ganann</w:t>
            </w:r>
          </w:p>
        </w:tc>
        <w:tc>
          <w:tcPr>
            <w:tcW w:w="513" w:type="pct"/>
            <w:vMerge/>
          </w:tcPr>
          <w:p w14:paraId="48FC1FB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1B8F32A" w14:textId="77777777" w:rsidTr="007934B1">
        <w:tc>
          <w:tcPr>
            <w:tcW w:w="746" w:type="pct"/>
            <w:vMerge w:val="restart"/>
          </w:tcPr>
          <w:p w14:paraId="22F686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Lack of appropriate or timely services (n = 9) Lack of services/overstretched</w:t>
            </w:r>
          </w:p>
        </w:tc>
        <w:tc>
          <w:tcPr>
            <w:tcW w:w="695" w:type="pct"/>
            <w:vMerge w:val="restart"/>
          </w:tcPr>
          <w:p w14:paraId="66A2241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Not having anywhere to refer women on to due to lack of services or being able to refer women on to other services but the waiting time being long.  </w:t>
            </w:r>
            <w:r w:rsidRPr="007934B1">
              <w:rPr>
                <w:rFonts w:ascii="Times New Roman" w:hAnsi="Times New Roman" w:cs="Times New Roman"/>
                <w:sz w:val="16"/>
                <w:szCs w:val="16"/>
              </w:rPr>
              <w:lastRenderedPageBreak/>
              <w:t>This prevented women accessing care because no service would take them, long waiting times, structural barriers, needed to be in a crisis</w:t>
            </w:r>
          </w:p>
        </w:tc>
        <w:tc>
          <w:tcPr>
            <w:tcW w:w="690" w:type="pct"/>
            <w:vMerge w:val="restart"/>
          </w:tcPr>
          <w:p w14:paraId="755017FE"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lastRenderedPageBreak/>
              <w:t xml:space="preserve">Boyd Doering Ganann Higgins Kerker Lomanohaycroft Noonan Leger Rowan Williams </w:t>
            </w:r>
            <w:r w:rsidRPr="007934B1">
              <w:rPr>
                <w:rFonts w:ascii="Times New Roman" w:hAnsi="Times New Roman" w:cs="Times New Roman"/>
                <w:noProof/>
                <w:color w:val="000000"/>
                <w:sz w:val="16"/>
                <w:szCs w:val="16"/>
              </w:rPr>
              <w:t xml:space="preserve">Bina, 2020; Button et al., 2017; Forde et al., 2020; </w:t>
            </w:r>
            <w:r w:rsidRPr="007934B1">
              <w:rPr>
                <w:rFonts w:ascii="Times New Roman" w:hAnsi="Times New Roman" w:cs="Times New Roman"/>
                <w:noProof/>
                <w:color w:val="000000"/>
                <w:sz w:val="16"/>
                <w:szCs w:val="16"/>
              </w:rPr>
              <w:lastRenderedPageBreak/>
              <w:t>Jones, 2019; Megnin-Viggars et al., 2015; Smith et al., 2019; Tobin et al., 2018; Viveiros &amp; Darling, 2018 Stakeholder</w:t>
            </w:r>
          </w:p>
        </w:tc>
        <w:tc>
          <w:tcPr>
            <w:tcW w:w="580" w:type="pct"/>
            <w:shd w:val="clear" w:color="auto" w:fill="A5A5A5" w:themeFill="accent3"/>
          </w:tcPr>
          <w:p w14:paraId="1CB552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732EA4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5F568DD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68C0BB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15A9E4B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 more are of partial relevance but came up in SH meetings so real life relevance</w:t>
            </w:r>
          </w:p>
        </w:tc>
      </w:tr>
      <w:tr w:rsidR="007934B1" w:rsidRPr="007934B1" w14:paraId="4B0C3DEC" w14:textId="77777777" w:rsidTr="007934B1">
        <w:tc>
          <w:tcPr>
            <w:tcW w:w="746" w:type="pct"/>
            <w:vMerge/>
          </w:tcPr>
          <w:p w14:paraId="1F5557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7FED0D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59E7A0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5BBB778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Williams Button Forde Smith Viveiros SH</w:t>
            </w:r>
          </w:p>
        </w:tc>
        <w:tc>
          <w:tcPr>
            <w:tcW w:w="607" w:type="pct"/>
            <w:shd w:val="clear" w:color="auto" w:fill="auto"/>
          </w:tcPr>
          <w:p w14:paraId="41E4E63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Boyd Doering Ganann Higgins Kerker Lomano Haycroft BinaSR Tobin </w:t>
            </w:r>
          </w:p>
        </w:tc>
        <w:tc>
          <w:tcPr>
            <w:tcW w:w="607" w:type="pct"/>
            <w:shd w:val="clear" w:color="auto" w:fill="auto"/>
          </w:tcPr>
          <w:p w14:paraId="0561592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2A4E5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 Jones 19</w:t>
            </w:r>
          </w:p>
        </w:tc>
        <w:tc>
          <w:tcPr>
            <w:tcW w:w="513" w:type="pct"/>
            <w:vMerge/>
          </w:tcPr>
          <w:p w14:paraId="0B049D1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6DF9113" w14:textId="77777777" w:rsidTr="007934B1">
        <w:tc>
          <w:tcPr>
            <w:tcW w:w="746" w:type="pct"/>
            <w:vMerge/>
          </w:tcPr>
          <w:p w14:paraId="2FB0762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FB137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CB7269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9513F2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CEFDCF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8FD7D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FB221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0FCE42A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954DE75" w14:textId="77777777" w:rsidTr="007934B1">
        <w:tc>
          <w:tcPr>
            <w:tcW w:w="746" w:type="pct"/>
            <w:vMerge/>
          </w:tcPr>
          <w:p w14:paraId="79CD7D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B59BA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C4AC93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C173E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Williams Button Forde Smith Viveiros SH</w:t>
            </w:r>
          </w:p>
        </w:tc>
        <w:tc>
          <w:tcPr>
            <w:tcW w:w="607" w:type="pct"/>
            <w:shd w:val="clear" w:color="auto" w:fill="auto"/>
          </w:tcPr>
          <w:p w14:paraId="22D3A15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Higgins Kerker Tobin</w:t>
            </w:r>
          </w:p>
        </w:tc>
        <w:tc>
          <w:tcPr>
            <w:tcW w:w="607" w:type="pct"/>
            <w:shd w:val="clear" w:color="auto" w:fill="auto"/>
          </w:tcPr>
          <w:p w14:paraId="2BE1669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Megnin Jones 19 Bina </w:t>
            </w:r>
          </w:p>
        </w:tc>
        <w:tc>
          <w:tcPr>
            <w:tcW w:w="561" w:type="pct"/>
            <w:shd w:val="clear" w:color="auto" w:fill="auto"/>
          </w:tcPr>
          <w:p w14:paraId="01297C7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Doering Gannan Kerker Lomano</w:t>
            </w:r>
          </w:p>
        </w:tc>
        <w:tc>
          <w:tcPr>
            <w:tcW w:w="513" w:type="pct"/>
            <w:vMerge/>
          </w:tcPr>
          <w:p w14:paraId="2F995B6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BEF8E40" w14:textId="77777777" w:rsidTr="007934B1">
        <w:tc>
          <w:tcPr>
            <w:tcW w:w="746" w:type="pct"/>
            <w:vMerge w:val="restart"/>
          </w:tcPr>
          <w:p w14:paraId="37E6F1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Resources (n = 5)</w:t>
            </w:r>
          </w:p>
        </w:tc>
        <w:tc>
          <w:tcPr>
            <w:tcW w:w="695" w:type="pct"/>
            <w:vMerge w:val="restart"/>
          </w:tcPr>
          <w:p w14:paraId="31CCA1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Not having enough resources within organisations e.g. medication or support staff means cant implement a service properly Stakeholders</w:t>
            </w:r>
          </w:p>
        </w:tc>
        <w:tc>
          <w:tcPr>
            <w:tcW w:w="690" w:type="pct"/>
            <w:vMerge w:val="restart"/>
          </w:tcPr>
          <w:p w14:paraId="124A1E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Boyd Keker Nakku </w:t>
            </w:r>
          </w:p>
        </w:tc>
        <w:tc>
          <w:tcPr>
            <w:tcW w:w="580" w:type="pct"/>
            <w:shd w:val="clear" w:color="auto" w:fill="A5A5A5" w:themeFill="accent3"/>
          </w:tcPr>
          <w:p w14:paraId="40764FA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15DA25BD"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6CE6915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64635E1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Unclear relevance </w:t>
            </w:r>
          </w:p>
        </w:tc>
        <w:tc>
          <w:tcPr>
            <w:tcW w:w="513" w:type="pct"/>
            <w:vMerge w:val="restart"/>
          </w:tcPr>
          <w:p w14:paraId="531EB41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Minor: </w:t>
            </w:r>
            <w:r w:rsidRPr="007934B1">
              <w:rPr>
                <w:rFonts w:ascii="Times New Roman" w:hAnsi="Times New Roman" w:cs="Times New Roman"/>
                <w:sz w:val="16"/>
                <w:szCs w:val="16"/>
              </w:rPr>
              <w:t>most of partial relevance, but there is real life evidence from SH groups about workforce</w:t>
            </w:r>
          </w:p>
        </w:tc>
      </w:tr>
      <w:tr w:rsidR="007934B1" w:rsidRPr="007934B1" w14:paraId="487D1999" w14:textId="77777777" w:rsidTr="007934B1">
        <w:tc>
          <w:tcPr>
            <w:tcW w:w="746" w:type="pct"/>
            <w:vMerge/>
          </w:tcPr>
          <w:p w14:paraId="10311A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46CF6DA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EAED0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338A2B5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w:t>
            </w:r>
          </w:p>
        </w:tc>
        <w:tc>
          <w:tcPr>
            <w:tcW w:w="607" w:type="pct"/>
            <w:shd w:val="clear" w:color="auto" w:fill="auto"/>
          </w:tcPr>
          <w:p w14:paraId="56AE66A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Boyd Kerker </w:t>
            </w:r>
          </w:p>
        </w:tc>
        <w:tc>
          <w:tcPr>
            <w:tcW w:w="607" w:type="pct"/>
            <w:shd w:val="clear" w:color="auto" w:fill="auto"/>
          </w:tcPr>
          <w:p w14:paraId="7BA5D7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Nakku</w:t>
            </w:r>
          </w:p>
        </w:tc>
        <w:tc>
          <w:tcPr>
            <w:tcW w:w="561" w:type="pct"/>
            <w:shd w:val="clear" w:color="auto" w:fill="auto"/>
          </w:tcPr>
          <w:p w14:paraId="243C115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13" w:type="pct"/>
            <w:vMerge/>
          </w:tcPr>
          <w:p w14:paraId="2F7221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7CECF6B" w14:textId="77777777" w:rsidTr="007934B1">
        <w:tc>
          <w:tcPr>
            <w:tcW w:w="746" w:type="pct"/>
            <w:vMerge/>
          </w:tcPr>
          <w:p w14:paraId="024BEF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62E0C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F9169E7"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28989438"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007ADEE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04C5B3A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F8A244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sz w:val="16"/>
                <w:szCs w:val="16"/>
              </w:rPr>
              <w:t>Non Universal insurance</w:t>
            </w:r>
          </w:p>
        </w:tc>
        <w:tc>
          <w:tcPr>
            <w:tcW w:w="513" w:type="pct"/>
            <w:vMerge/>
          </w:tcPr>
          <w:p w14:paraId="619E7A8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6172EB3D" w14:textId="77777777" w:rsidTr="007934B1">
        <w:tc>
          <w:tcPr>
            <w:tcW w:w="746" w:type="pct"/>
            <w:vMerge/>
          </w:tcPr>
          <w:p w14:paraId="73F7F3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A3894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7A2474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7944A8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w:t>
            </w:r>
          </w:p>
        </w:tc>
        <w:tc>
          <w:tcPr>
            <w:tcW w:w="607" w:type="pct"/>
            <w:shd w:val="clear" w:color="auto" w:fill="auto"/>
          </w:tcPr>
          <w:p w14:paraId="3EFCD711"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607" w:type="pct"/>
            <w:shd w:val="clear" w:color="auto" w:fill="auto"/>
          </w:tcPr>
          <w:p w14:paraId="04D38AD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c>
          <w:tcPr>
            <w:tcW w:w="561" w:type="pct"/>
            <w:shd w:val="clear" w:color="auto" w:fill="auto"/>
          </w:tcPr>
          <w:p w14:paraId="4281D7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Kerker Nakku</w:t>
            </w:r>
          </w:p>
        </w:tc>
        <w:tc>
          <w:tcPr>
            <w:tcW w:w="513" w:type="pct"/>
            <w:vMerge/>
          </w:tcPr>
          <w:p w14:paraId="0A28FCB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5AF6C8D" w14:textId="77777777" w:rsidTr="007934B1">
        <w:tc>
          <w:tcPr>
            <w:tcW w:w="746" w:type="pct"/>
            <w:vMerge w:val="restart"/>
          </w:tcPr>
          <w:p w14:paraId="10B7744E" w14:textId="77777777" w:rsidR="000B75EB" w:rsidRPr="007934B1" w:rsidRDefault="000B75EB" w:rsidP="007934B1">
            <w:pPr>
              <w:pStyle w:val="ListParagraph"/>
              <w:tabs>
                <w:tab w:val="left" w:pos="1029"/>
              </w:tabs>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Service integration (n = 6) Collaboration within and across services</w:t>
            </w:r>
          </w:p>
        </w:tc>
        <w:tc>
          <w:tcPr>
            <w:tcW w:w="695" w:type="pct"/>
            <w:vMerge w:val="restart"/>
          </w:tcPr>
          <w:p w14:paraId="68F5927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The linking up of different services who deal with different needs, or at different time points across the perinatal period benefitted women, stopped them falling through the net – implementation + access </w:t>
            </w:r>
          </w:p>
        </w:tc>
        <w:tc>
          <w:tcPr>
            <w:tcW w:w="690" w:type="pct"/>
            <w:vMerge w:val="restart"/>
          </w:tcPr>
          <w:p w14:paraId="300035DF"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Ammerman Atif Atif 2020 Judd Noonan Young Rowan </w:t>
            </w:r>
            <w:r w:rsidRPr="007934B1">
              <w:rPr>
                <w:rFonts w:ascii="Times New Roman" w:hAnsi="Times New Roman" w:cs="Times New Roman"/>
                <w:noProof/>
                <w:color w:val="000000"/>
                <w:sz w:val="16"/>
                <w:szCs w:val="16"/>
              </w:rPr>
              <w:t>Bina, 2020; Megnin-Viggars et al., 2015; Newman et al., 2019; Smith et al., 2019; Watson et al., 2019 Forde Stakeholder</w:t>
            </w:r>
          </w:p>
        </w:tc>
        <w:tc>
          <w:tcPr>
            <w:tcW w:w="580" w:type="pct"/>
            <w:shd w:val="clear" w:color="auto" w:fill="A5A5A5" w:themeFill="accent3"/>
          </w:tcPr>
          <w:p w14:paraId="131F7BAA" w14:textId="77777777" w:rsidR="000B75EB" w:rsidRPr="007934B1" w:rsidRDefault="000B75EB" w:rsidP="007934B1">
            <w:pPr>
              <w:autoSpaceDE w:val="0"/>
              <w:autoSpaceDN w:val="0"/>
              <w:adjustRightInd w:val="0"/>
              <w:spacing w:line="240" w:lineRule="auto"/>
              <w:ind w:firstLine="0"/>
              <w:rPr>
                <w:rFonts w:ascii="Times New Roman" w:hAnsi="Times New Roman" w:cs="Times New Roman"/>
                <w:color w:val="131413"/>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39D7DF75" w14:textId="77777777" w:rsidR="000B75EB" w:rsidRPr="007934B1" w:rsidRDefault="000B75EB" w:rsidP="007934B1">
            <w:pPr>
              <w:autoSpaceDE w:val="0"/>
              <w:autoSpaceDN w:val="0"/>
              <w:adjustRightInd w:val="0"/>
              <w:spacing w:line="240" w:lineRule="auto"/>
              <w:ind w:firstLine="0"/>
              <w:rPr>
                <w:rFonts w:ascii="Times New Roman" w:hAnsi="Times New Roman" w:cs="Times New Roman"/>
                <w:color w:val="131413"/>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29A455E9" w14:textId="77777777" w:rsidR="000B75EB" w:rsidRPr="007934B1" w:rsidRDefault="000B75EB" w:rsidP="007934B1">
            <w:pPr>
              <w:autoSpaceDE w:val="0"/>
              <w:autoSpaceDN w:val="0"/>
              <w:adjustRightInd w:val="0"/>
              <w:spacing w:line="240" w:lineRule="auto"/>
              <w:ind w:firstLine="0"/>
              <w:rPr>
                <w:rFonts w:ascii="Times New Roman" w:hAnsi="Times New Roman" w:cs="Times New Roman"/>
                <w:color w:val="131413"/>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20808D49" w14:textId="77777777" w:rsidR="000B75EB" w:rsidRPr="007934B1" w:rsidRDefault="000B75EB" w:rsidP="007934B1">
            <w:pPr>
              <w:autoSpaceDE w:val="0"/>
              <w:autoSpaceDN w:val="0"/>
              <w:adjustRightInd w:val="0"/>
              <w:spacing w:line="240" w:lineRule="auto"/>
              <w:ind w:firstLine="0"/>
              <w:rPr>
                <w:rFonts w:ascii="Times New Roman" w:hAnsi="Times New Roman" w:cs="Times New Roman"/>
                <w:color w:val="131413"/>
                <w:sz w:val="16"/>
                <w:szCs w:val="16"/>
              </w:rPr>
            </w:pPr>
            <w:r w:rsidRPr="007934B1">
              <w:rPr>
                <w:rFonts w:ascii="Times New Roman" w:hAnsi="Times New Roman" w:cs="Times New Roman"/>
                <w:sz w:val="16"/>
                <w:szCs w:val="16"/>
              </w:rPr>
              <w:t xml:space="preserve">Unclear relevance </w:t>
            </w:r>
          </w:p>
        </w:tc>
        <w:tc>
          <w:tcPr>
            <w:tcW w:w="513" w:type="pct"/>
            <w:vMerge w:val="restart"/>
          </w:tcPr>
          <w:p w14:paraId="7EB8E17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 xml:space="preserve">more are of partial relevance, but there is real life evidence from SH </w:t>
            </w:r>
          </w:p>
        </w:tc>
      </w:tr>
      <w:tr w:rsidR="007934B1" w:rsidRPr="007934B1" w14:paraId="3166A464" w14:textId="77777777" w:rsidTr="007934B1">
        <w:tc>
          <w:tcPr>
            <w:tcW w:w="746" w:type="pct"/>
            <w:vMerge/>
          </w:tcPr>
          <w:p w14:paraId="05E425AF" w14:textId="77777777" w:rsidR="000B75EB" w:rsidRPr="007934B1" w:rsidRDefault="000B75EB" w:rsidP="007934B1">
            <w:pPr>
              <w:pStyle w:val="ListParagraph"/>
              <w:tabs>
                <w:tab w:val="left" w:pos="1029"/>
              </w:tabs>
              <w:spacing w:after="0" w:line="240" w:lineRule="auto"/>
              <w:ind w:left="0"/>
              <w:rPr>
                <w:rFonts w:ascii="Times New Roman" w:hAnsi="Times New Roman" w:cs="Times New Roman"/>
                <w:sz w:val="16"/>
                <w:szCs w:val="16"/>
              </w:rPr>
            </w:pPr>
          </w:p>
        </w:tc>
        <w:tc>
          <w:tcPr>
            <w:tcW w:w="695" w:type="pct"/>
            <w:vMerge/>
          </w:tcPr>
          <w:p w14:paraId="1C8650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7CAA1CD"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3AE1FD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Smith Watson Forde SH</w:t>
            </w:r>
          </w:p>
        </w:tc>
        <w:tc>
          <w:tcPr>
            <w:tcW w:w="607" w:type="pct"/>
            <w:shd w:val="clear" w:color="auto" w:fill="auto"/>
          </w:tcPr>
          <w:p w14:paraId="2A0985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Judd Noonn Young BinaSR Newman</w:t>
            </w:r>
          </w:p>
        </w:tc>
        <w:tc>
          <w:tcPr>
            <w:tcW w:w="607" w:type="pct"/>
            <w:shd w:val="clear" w:color="auto" w:fill="auto"/>
          </w:tcPr>
          <w:p w14:paraId="4A460C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Atif 20</w:t>
            </w:r>
          </w:p>
        </w:tc>
        <w:tc>
          <w:tcPr>
            <w:tcW w:w="561" w:type="pct"/>
            <w:shd w:val="clear" w:color="auto" w:fill="auto"/>
          </w:tcPr>
          <w:p w14:paraId="7C5B44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Megnin</w:t>
            </w:r>
          </w:p>
        </w:tc>
        <w:tc>
          <w:tcPr>
            <w:tcW w:w="513" w:type="pct"/>
            <w:vMerge/>
          </w:tcPr>
          <w:p w14:paraId="5471EB8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6371DB7B" w14:textId="77777777" w:rsidTr="007934B1">
        <w:tc>
          <w:tcPr>
            <w:tcW w:w="746" w:type="pct"/>
            <w:vMerge/>
          </w:tcPr>
          <w:p w14:paraId="49BD6931" w14:textId="77777777" w:rsidR="000B75EB" w:rsidRPr="007934B1" w:rsidRDefault="000B75EB" w:rsidP="007934B1">
            <w:pPr>
              <w:pStyle w:val="ListParagraph"/>
              <w:tabs>
                <w:tab w:val="left" w:pos="1029"/>
              </w:tabs>
              <w:spacing w:after="0" w:line="240" w:lineRule="auto"/>
              <w:ind w:left="0"/>
              <w:rPr>
                <w:rFonts w:ascii="Times New Roman" w:hAnsi="Times New Roman" w:cs="Times New Roman"/>
                <w:sz w:val="16"/>
                <w:szCs w:val="16"/>
              </w:rPr>
            </w:pPr>
          </w:p>
        </w:tc>
        <w:tc>
          <w:tcPr>
            <w:tcW w:w="695" w:type="pct"/>
            <w:vMerge/>
          </w:tcPr>
          <w:p w14:paraId="027966F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0670471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1C62D3C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66470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2629895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22871F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4D4D1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3849BAE8" w14:textId="77777777" w:rsidTr="007934B1">
        <w:tc>
          <w:tcPr>
            <w:tcW w:w="746" w:type="pct"/>
            <w:vMerge/>
          </w:tcPr>
          <w:p w14:paraId="21FDE054" w14:textId="77777777" w:rsidR="000B75EB" w:rsidRPr="007934B1" w:rsidRDefault="000B75EB" w:rsidP="007934B1">
            <w:pPr>
              <w:pStyle w:val="ListParagraph"/>
              <w:tabs>
                <w:tab w:val="left" w:pos="1029"/>
              </w:tabs>
              <w:spacing w:after="0" w:line="240" w:lineRule="auto"/>
              <w:ind w:left="0"/>
              <w:rPr>
                <w:rFonts w:ascii="Times New Roman" w:hAnsi="Times New Roman" w:cs="Times New Roman"/>
                <w:sz w:val="16"/>
                <w:szCs w:val="16"/>
              </w:rPr>
            </w:pPr>
          </w:p>
        </w:tc>
        <w:tc>
          <w:tcPr>
            <w:tcW w:w="695" w:type="pct"/>
            <w:vMerge/>
          </w:tcPr>
          <w:p w14:paraId="2393C2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68DBD2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69F25F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Smith Watson Forde SH</w:t>
            </w:r>
          </w:p>
        </w:tc>
        <w:tc>
          <w:tcPr>
            <w:tcW w:w="607" w:type="pct"/>
            <w:shd w:val="clear" w:color="auto" w:fill="auto"/>
          </w:tcPr>
          <w:p w14:paraId="12812F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Noonan Newman</w:t>
            </w:r>
          </w:p>
        </w:tc>
        <w:tc>
          <w:tcPr>
            <w:tcW w:w="607" w:type="pct"/>
            <w:shd w:val="clear" w:color="auto" w:fill="auto"/>
          </w:tcPr>
          <w:p w14:paraId="00F705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SR Megnin </w:t>
            </w:r>
          </w:p>
        </w:tc>
        <w:tc>
          <w:tcPr>
            <w:tcW w:w="561" w:type="pct"/>
            <w:shd w:val="clear" w:color="auto" w:fill="auto"/>
          </w:tcPr>
          <w:p w14:paraId="1F9147F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Judd Young Atif Atif 20</w:t>
            </w:r>
          </w:p>
        </w:tc>
        <w:tc>
          <w:tcPr>
            <w:tcW w:w="513" w:type="pct"/>
            <w:vMerge/>
          </w:tcPr>
          <w:p w14:paraId="238173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4612F43A" w14:textId="77777777" w:rsidTr="007934B1">
        <w:tc>
          <w:tcPr>
            <w:tcW w:w="746" w:type="pct"/>
            <w:vMerge w:val="restart"/>
          </w:tcPr>
          <w:p w14:paraId="7F942A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Timely follow up (n = 3)</w:t>
            </w:r>
          </w:p>
        </w:tc>
        <w:tc>
          <w:tcPr>
            <w:tcW w:w="695" w:type="pct"/>
            <w:vMerge w:val="restart"/>
          </w:tcPr>
          <w:p w14:paraId="721CA16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Women being followed up by healthcare professionals or other services in short time frame means you can keep women on care pathway aiding implementation</w:t>
            </w:r>
          </w:p>
        </w:tc>
        <w:tc>
          <w:tcPr>
            <w:tcW w:w="690" w:type="pct"/>
            <w:vMerge w:val="restart"/>
          </w:tcPr>
          <w:p w14:paraId="4F6A12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Vik Myors Nithianden</w:t>
            </w:r>
          </w:p>
        </w:tc>
        <w:tc>
          <w:tcPr>
            <w:tcW w:w="580" w:type="pct"/>
            <w:shd w:val="clear" w:color="auto" w:fill="A5A5A5" w:themeFill="accent3"/>
          </w:tcPr>
          <w:p w14:paraId="334E66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61C10BF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45F597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9BF9C2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6D720D2"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none are of direct relevance </w:t>
            </w:r>
          </w:p>
        </w:tc>
      </w:tr>
      <w:tr w:rsidR="007934B1" w:rsidRPr="007934B1" w14:paraId="70FB3B6A" w14:textId="77777777" w:rsidTr="007934B1">
        <w:tc>
          <w:tcPr>
            <w:tcW w:w="746" w:type="pct"/>
            <w:vMerge/>
          </w:tcPr>
          <w:p w14:paraId="60302A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2C99AB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B4183E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1B6ED0F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0553AB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Vik Myors Nithianden</w:t>
            </w:r>
          </w:p>
        </w:tc>
        <w:tc>
          <w:tcPr>
            <w:tcW w:w="607" w:type="pct"/>
            <w:shd w:val="clear" w:color="auto" w:fill="auto"/>
          </w:tcPr>
          <w:p w14:paraId="75D461A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6FB38C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62F55C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2AC64B38" w14:textId="77777777" w:rsidTr="007934B1">
        <w:tc>
          <w:tcPr>
            <w:tcW w:w="746" w:type="pct"/>
            <w:vMerge/>
          </w:tcPr>
          <w:p w14:paraId="712336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EE3944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BBB44FA"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A51E9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437EC7A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1BD11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D6591E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C9B3ED5"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948B8E9" w14:textId="77777777" w:rsidTr="007934B1">
        <w:tc>
          <w:tcPr>
            <w:tcW w:w="746" w:type="pct"/>
            <w:vMerge/>
          </w:tcPr>
          <w:p w14:paraId="1440750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7D5F3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5F873B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177B3F6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6E3CB7D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Vik Myors Nithianden</w:t>
            </w:r>
          </w:p>
        </w:tc>
        <w:tc>
          <w:tcPr>
            <w:tcW w:w="607" w:type="pct"/>
            <w:shd w:val="clear" w:color="auto" w:fill="auto"/>
          </w:tcPr>
          <w:p w14:paraId="2A65E0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216AA11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12B23284"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04616FF" w14:textId="77777777" w:rsidTr="007934B1">
        <w:tc>
          <w:tcPr>
            <w:tcW w:w="746" w:type="pct"/>
            <w:shd w:val="clear" w:color="auto" w:fill="EDEDED" w:themeFill="accent3" w:themeFillTint="33"/>
          </w:tcPr>
          <w:p w14:paraId="55EA9D0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Polictics</w:t>
            </w:r>
          </w:p>
        </w:tc>
        <w:tc>
          <w:tcPr>
            <w:tcW w:w="695" w:type="pct"/>
            <w:shd w:val="clear" w:color="auto" w:fill="EDEDED" w:themeFill="accent3" w:themeFillTint="33"/>
          </w:tcPr>
          <w:p w14:paraId="249631D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shd w:val="clear" w:color="auto" w:fill="EDEDED" w:themeFill="accent3" w:themeFillTint="33"/>
          </w:tcPr>
          <w:p w14:paraId="3101DB7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EDEDED" w:themeFill="accent3" w:themeFillTint="33"/>
          </w:tcPr>
          <w:p w14:paraId="2F4D5B71" w14:textId="77777777" w:rsidR="000B75EB" w:rsidRPr="007934B1" w:rsidRDefault="000B75EB" w:rsidP="007934B1">
            <w:pPr>
              <w:spacing w:line="240" w:lineRule="auto"/>
              <w:ind w:firstLine="0"/>
              <w:rPr>
                <w:rFonts w:ascii="Times New Roman" w:hAnsi="Times New Roman" w:cs="Times New Roman"/>
                <w:b/>
                <w:bCs/>
                <w:sz w:val="16"/>
                <w:szCs w:val="16"/>
              </w:rPr>
            </w:pPr>
          </w:p>
        </w:tc>
        <w:tc>
          <w:tcPr>
            <w:tcW w:w="607" w:type="pct"/>
            <w:shd w:val="clear" w:color="auto" w:fill="EDEDED" w:themeFill="accent3" w:themeFillTint="33"/>
          </w:tcPr>
          <w:p w14:paraId="45B9D784" w14:textId="77777777" w:rsidR="000B75EB" w:rsidRPr="007934B1" w:rsidRDefault="000B75EB" w:rsidP="007934B1">
            <w:pPr>
              <w:spacing w:line="240" w:lineRule="auto"/>
              <w:ind w:firstLine="0"/>
              <w:rPr>
                <w:rFonts w:ascii="Times New Roman" w:hAnsi="Times New Roman" w:cs="Times New Roman"/>
                <w:b/>
                <w:bCs/>
                <w:sz w:val="16"/>
                <w:szCs w:val="16"/>
              </w:rPr>
            </w:pPr>
          </w:p>
        </w:tc>
        <w:tc>
          <w:tcPr>
            <w:tcW w:w="607" w:type="pct"/>
            <w:shd w:val="clear" w:color="auto" w:fill="EDEDED" w:themeFill="accent3" w:themeFillTint="33"/>
          </w:tcPr>
          <w:p w14:paraId="058DB827" w14:textId="77777777" w:rsidR="000B75EB" w:rsidRPr="007934B1" w:rsidRDefault="000B75EB" w:rsidP="007934B1">
            <w:pPr>
              <w:spacing w:line="240" w:lineRule="auto"/>
              <w:ind w:firstLine="0"/>
              <w:rPr>
                <w:rFonts w:ascii="Times New Roman" w:hAnsi="Times New Roman" w:cs="Times New Roman"/>
                <w:b/>
                <w:bCs/>
                <w:sz w:val="16"/>
                <w:szCs w:val="16"/>
              </w:rPr>
            </w:pPr>
          </w:p>
        </w:tc>
        <w:tc>
          <w:tcPr>
            <w:tcW w:w="561" w:type="pct"/>
            <w:shd w:val="clear" w:color="auto" w:fill="EDEDED" w:themeFill="accent3" w:themeFillTint="33"/>
          </w:tcPr>
          <w:p w14:paraId="28DE5170" w14:textId="77777777" w:rsidR="000B75EB" w:rsidRPr="007934B1" w:rsidRDefault="000B75EB" w:rsidP="007934B1">
            <w:pPr>
              <w:spacing w:line="240" w:lineRule="auto"/>
              <w:ind w:firstLine="0"/>
              <w:rPr>
                <w:rFonts w:ascii="Times New Roman" w:hAnsi="Times New Roman" w:cs="Times New Roman"/>
                <w:b/>
                <w:bCs/>
                <w:sz w:val="16"/>
                <w:szCs w:val="16"/>
              </w:rPr>
            </w:pPr>
          </w:p>
        </w:tc>
        <w:tc>
          <w:tcPr>
            <w:tcW w:w="513" w:type="pct"/>
            <w:shd w:val="clear" w:color="auto" w:fill="EDEDED" w:themeFill="accent3" w:themeFillTint="33"/>
          </w:tcPr>
          <w:p w14:paraId="73E70209" w14:textId="77777777" w:rsidR="000B75EB" w:rsidRPr="007934B1" w:rsidRDefault="000B75EB" w:rsidP="007934B1">
            <w:pPr>
              <w:spacing w:line="240" w:lineRule="auto"/>
              <w:ind w:firstLine="0"/>
              <w:rPr>
                <w:rFonts w:ascii="Times New Roman" w:hAnsi="Times New Roman" w:cs="Times New Roman"/>
                <w:b/>
                <w:bCs/>
                <w:sz w:val="16"/>
                <w:szCs w:val="16"/>
              </w:rPr>
            </w:pPr>
          </w:p>
        </w:tc>
      </w:tr>
      <w:tr w:rsidR="007934B1" w:rsidRPr="007934B1" w14:paraId="2BE36543" w14:textId="77777777" w:rsidTr="007934B1">
        <w:tc>
          <w:tcPr>
            <w:tcW w:w="746" w:type="pct"/>
            <w:vMerge w:val="restart"/>
          </w:tcPr>
          <w:p w14:paraId="1BECF4B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Funding (n = 10)</w:t>
            </w:r>
          </w:p>
        </w:tc>
        <w:tc>
          <w:tcPr>
            <w:tcW w:w="695" w:type="pct"/>
            <w:vMerge w:val="restart"/>
          </w:tcPr>
          <w:p w14:paraId="6C745C7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Financial resources needed to provide and implement perinatal mental healthcare.</w:t>
            </w:r>
          </w:p>
        </w:tc>
        <w:tc>
          <w:tcPr>
            <w:tcW w:w="690" w:type="pct"/>
            <w:vMerge w:val="restart"/>
          </w:tcPr>
          <w:p w14:paraId="470CC0A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Cox Doering Feinberg Friendman Gannan Lomanon Kim Ormsby Rowan Stakeholder</w:t>
            </w:r>
          </w:p>
        </w:tc>
        <w:tc>
          <w:tcPr>
            <w:tcW w:w="580" w:type="pct"/>
            <w:shd w:val="clear" w:color="auto" w:fill="A5A5A5" w:themeFill="accent3"/>
          </w:tcPr>
          <w:p w14:paraId="4F47F57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16A11A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3D789CF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572A341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091CAB4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w:t>
            </w:r>
            <w:r w:rsidRPr="007934B1">
              <w:rPr>
                <w:rFonts w:ascii="Times New Roman" w:hAnsi="Times New Roman" w:cs="Times New Roman"/>
                <w:sz w:val="16"/>
                <w:szCs w:val="16"/>
              </w:rPr>
              <w:t>Most are of partial relevance, but there is real life evidence from SH</w:t>
            </w:r>
          </w:p>
        </w:tc>
      </w:tr>
      <w:tr w:rsidR="007934B1" w:rsidRPr="007934B1" w14:paraId="07850CA8" w14:textId="77777777" w:rsidTr="007934B1">
        <w:tc>
          <w:tcPr>
            <w:tcW w:w="746" w:type="pct"/>
            <w:vMerge/>
          </w:tcPr>
          <w:p w14:paraId="4DB084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7C874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303854E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7C1EA74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SH</w:t>
            </w:r>
          </w:p>
        </w:tc>
        <w:tc>
          <w:tcPr>
            <w:tcW w:w="607" w:type="pct"/>
            <w:shd w:val="clear" w:color="auto" w:fill="auto"/>
          </w:tcPr>
          <w:p w14:paraId="3F03CB1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Cox Doering Feinberg Friedman Ganann Lomano Kim Ormsby</w:t>
            </w:r>
          </w:p>
        </w:tc>
        <w:tc>
          <w:tcPr>
            <w:tcW w:w="607" w:type="pct"/>
            <w:shd w:val="clear" w:color="auto" w:fill="auto"/>
          </w:tcPr>
          <w:p w14:paraId="0F94420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45B4B66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40C603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2FFB484" w14:textId="77777777" w:rsidTr="007934B1">
        <w:tc>
          <w:tcPr>
            <w:tcW w:w="746" w:type="pct"/>
            <w:vMerge/>
          </w:tcPr>
          <w:p w14:paraId="1643371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2BA622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F7B40D2"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56726B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7E9470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1FA3A0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634185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3BD5F59"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CB91176" w14:textId="77777777" w:rsidTr="007934B1">
        <w:tc>
          <w:tcPr>
            <w:tcW w:w="746" w:type="pct"/>
            <w:vMerge/>
          </w:tcPr>
          <w:p w14:paraId="56BD2E5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2A7287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1C7BF1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76FB6E4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Rowan SH</w:t>
            </w:r>
          </w:p>
        </w:tc>
        <w:tc>
          <w:tcPr>
            <w:tcW w:w="607" w:type="pct"/>
            <w:shd w:val="clear" w:color="auto" w:fill="auto"/>
          </w:tcPr>
          <w:p w14:paraId="26C1D9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Ormsby </w:t>
            </w:r>
          </w:p>
        </w:tc>
        <w:tc>
          <w:tcPr>
            <w:tcW w:w="607" w:type="pct"/>
            <w:shd w:val="clear" w:color="auto" w:fill="auto"/>
          </w:tcPr>
          <w:p w14:paraId="75B0CA5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A4E9CA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Ammerman Cox Doering Gannan  Feinberg Friedman Lomano Kim</w:t>
            </w:r>
          </w:p>
        </w:tc>
        <w:tc>
          <w:tcPr>
            <w:tcW w:w="513" w:type="pct"/>
            <w:vMerge/>
          </w:tcPr>
          <w:p w14:paraId="54DBBB9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506BBB8" w14:textId="77777777" w:rsidTr="007934B1">
        <w:tc>
          <w:tcPr>
            <w:tcW w:w="746" w:type="pct"/>
            <w:vMerge w:val="restart"/>
          </w:tcPr>
          <w:p w14:paraId="32DFA1C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Immigration status</w:t>
            </w:r>
          </w:p>
        </w:tc>
        <w:tc>
          <w:tcPr>
            <w:tcW w:w="695" w:type="pct"/>
            <w:vMerge w:val="restart"/>
          </w:tcPr>
          <w:p w14:paraId="484E14D4" w14:textId="77777777" w:rsidR="000B75EB" w:rsidRPr="007934B1" w:rsidRDefault="000B75EB" w:rsidP="007934B1">
            <w:pPr>
              <w:widowControl w:val="0"/>
              <w:autoSpaceDE w:val="0"/>
              <w:autoSpaceDN w:val="0"/>
              <w:adjustRightInd w:val="0"/>
              <w:spacing w:line="240" w:lineRule="auto"/>
              <w:ind w:firstLine="0"/>
              <w:rPr>
                <w:rFonts w:ascii="Times New Roman" w:hAnsi="Times New Roman" w:cs="Times New Roman"/>
                <w:sz w:val="16"/>
                <w:szCs w:val="16"/>
              </w:rPr>
            </w:pPr>
            <w:r w:rsidRPr="007934B1">
              <w:rPr>
                <w:rFonts w:ascii="Times New Roman" w:hAnsi="Times New Roman" w:cs="Times New Roman"/>
                <w:sz w:val="16"/>
                <w:szCs w:val="16"/>
              </w:rPr>
              <w:t xml:space="preserve">Immigration status influenced women’s </w:t>
            </w:r>
            <w:r w:rsidRPr="007934B1">
              <w:rPr>
                <w:rFonts w:ascii="Times New Roman" w:hAnsi="Times New Roman" w:cs="Times New Roman"/>
                <w:i/>
                <w:iCs/>
                <w:sz w:val="16"/>
                <w:szCs w:val="16"/>
              </w:rPr>
              <w:t>decision to consult</w:t>
            </w:r>
            <w:r w:rsidRPr="007934B1">
              <w:rPr>
                <w:rFonts w:ascii="Times New Roman" w:hAnsi="Times New Roman" w:cs="Times New Roman"/>
                <w:sz w:val="16"/>
                <w:szCs w:val="16"/>
              </w:rPr>
              <w:t xml:space="preserve"> and access to care due to fears of being deported</w:t>
            </w:r>
          </w:p>
        </w:tc>
        <w:tc>
          <w:tcPr>
            <w:tcW w:w="690" w:type="pct"/>
            <w:vMerge w:val="restart"/>
          </w:tcPr>
          <w:p w14:paraId="7681D211"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 xml:space="preserve">Bina, 2020; Giscombe et al., 2020; Hansotte et al., 2017; Kassam, 2019; Schmied et al., 2017 </w:t>
            </w:r>
            <w:r w:rsidRPr="007934B1">
              <w:rPr>
                <w:rFonts w:ascii="Times New Roman" w:hAnsi="Times New Roman" w:cs="Times New Roman"/>
                <w:noProof/>
                <w:color w:val="000000"/>
                <w:sz w:val="16"/>
                <w:szCs w:val="16"/>
              </w:rPr>
              <w:lastRenderedPageBreak/>
              <w:t>Ganann Stakeholder – vulnerable women</w:t>
            </w:r>
          </w:p>
        </w:tc>
        <w:tc>
          <w:tcPr>
            <w:tcW w:w="580" w:type="pct"/>
            <w:shd w:val="clear" w:color="auto" w:fill="A5A5A5" w:themeFill="accent3"/>
          </w:tcPr>
          <w:p w14:paraId="6D64DA3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5113B27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7BB2544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357E17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D724D27"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vulnerable women did come up in stakeholder but no other studies  </w:t>
            </w:r>
          </w:p>
        </w:tc>
      </w:tr>
      <w:tr w:rsidR="007934B1" w:rsidRPr="007934B1" w14:paraId="60F622AB" w14:textId="77777777" w:rsidTr="007934B1">
        <w:tc>
          <w:tcPr>
            <w:tcW w:w="746" w:type="pct"/>
            <w:vMerge/>
          </w:tcPr>
          <w:p w14:paraId="6E5C408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425890F" w14:textId="77777777" w:rsidR="000B75EB" w:rsidRPr="007934B1" w:rsidRDefault="000B75EB" w:rsidP="007934B1">
            <w:pPr>
              <w:widowControl w:val="0"/>
              <w:autoSpaceDE w:val="0"/>
              <w:autoSpaceDN w:val="0"/>
              <w:adjustRightInd w:val="0"/>
              <w:spacing w:line="240" w:lineRule="auto"/>
              <w:ind w:firstLine="0"/>
              <w:rPr>
                <w:rFonts w:ascii="Times New Roman" w:hAnsi="Times New Roman" w:cs="Times New Roman"/>
                <w:sz w:val="16"/>
                <w:szCs w:val="16"/>
              </w:rPr>
            </w:pPr>
          </w:p>
        </w:tc>
        <w:tc>
          <w:tcPr>
            <w:tcW w:w="690" w:type="pct"/>
            <w:vMerge/>
          </w:tcPr>
          <w:p w14:paraId="0F07FFDC"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0EF54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w:t>
            </w:r>
          </w:p>
        </w:tc>
        <w:tc>
          <w:tcPr>
            <w:tcW w:w="607" w:type="pct"/>
            <w:shd w:val="clear" w:color="auto" w:fill="auto"/>
          </w:tcPr>
          <w:p w14:paraId="388E05F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 Giscombe Kassam Hansotte Schmied Ganann</w:t>
            </w:r>
          </w:p>
        </w:tc>
        <w:tc>
          <w:tcPr>
            <w:tcW w:w="607" w:type="pct"/>
            <w:shd w:val="clear" w:color="auto" w:fill="auto"/>
          </w:tcPr>
          <w:p w14:paraId="3B88BDE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7E9746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2242D9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EF7FF6B" w14:textId="77777777" w:rsidTr="007934B1">
        <w:tc>
          <w:tcPr>
            <w:tcW w:w="746" w:type="pct"/>
            <w:vMerge/>
          </w:tcPr>
          <w:p w14:paraId="5D9CDD0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5D82663" w14:textId="77777777" w:rsidR="000B75EB" w:rsidRPr="007934B1" w:rsidRDefault="000B75EB" w:rsidP="007934B1">
            <w:pPr>
              <w:widowControl w:val="0"/>
              <w:autoSpaceDE w:val="0"/>
              <w:autoSpaceDN w:val="0"/>
              <w:adjustRightInd w:val="0"/>
              <w:spacing w:line="240" w:lineRule="auto"/>
              <w:ind w:firstLine="0"/>
              <w:rPr>
                <w:rFonts w:ascii="Times New Roman" w:hAnsi="Times New Roman" w:cs="Times New Roman"/>
                <w:sz w:val="16"/>
                <w:szCs w:val="16"/>
              </w:rPr>
            </w:pPr>
          </w:p>
        </w:tc>
        <w:tc>
          <w:tcPr>
            <w:tcW w:w="690" w:type="pct"/>
            <w:vMerge/>
          </w:tcPr>
          <w:p w14:paraId="3045A3CB"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5A5A5" w:themeFill="accent3"/>
          </w:tcPr>
          <w:p w14:paraId="7AA977F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526B20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72BE776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0FF86DF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489F366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495E577" w14:textId="77777777" w:rsidTr="007934B1">
        <w:tc>
          <w:tcPr>
            <w:tcW w:w="746" w:type="pct"/>
            <w:vMerge/>
          </w:tcPr>
          <w:p w14:paraId="2B0E5D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1166EE2" w14:textId="77777777" w:rsidR="000B75EB" w:rsidRPr="007934B1" w:rsidRDefault="000B75EB" w:rsidP="007934B1">
            <w:pPr>
              <w:widowControl w:val="0"/>
              <w:autoSpaceDE w:val="0"/>
              <w:autoSpaceDN w:val="0"/>
              <w:adjustRightInd w:val="0"/>
              <w:spacing w:line="240" w:lineRule="auto"/>
              <w:ind w:firstLine="0"/>
              <w:rPr>
                <w:rFonts w:ascii="Times New Roman" w:hAnsi="Times New Roman" w:cs="Times New Roman"/>
                <w:sz w:val="16"/>
                <w:szCs w:val="16"/>
              </w:rPr>
            </w:pPr>
          </w:p>
        </w:tc>
        <w:tc>
          <w:tcPr>
            <w:tcW w:w="690" w:type="pct"/>
            <w:vMerge/>
          </w:tcPr>
          <w:p w14:paraId="34A8B609" w14:textId="77777777" w:rsidR="000B75EB" w:rsidRPr="007934B1" w:rsidRDefault="000B75EB" w:rsidP="007934B1">
            <w:pPr>
              <w:spacing w:line="240" w:lineRule="auto"/>
              <w:ind w:firstLine="0"/>
              <w:rPr>
                <w:rFonts w:ascii="Times New Roman" w:hAnsi="Times New Roman" w:cs="Times New Roman"/>
                <w:noProof/>
                <w:color w:val="000000"/>
                <w:sz w:val="16"/>
                <w:szCs w:val="16"/>
              </w:rPr>
            </w:pPr>
          </w:p>
        </w:tc>
        <w:tc>
          <w:tcPr>
            <w:tcW w:w="580" w:type="pct"/>
            <w:shd w:val="clear" w:color="auto" w:fill="auto"/>
          </w:tcPr>
          <w:p w14:paraId="475C3A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SH</w:t>
            </w:r>
          </w:p>
        </w:tc>
        <w:tc>
          <w:tcPr>
            <w:tcW w:w="607" w:type="pct"/>
            <w:shd w:val="clear" w:color="auto" w:fill="auto"/>
          </w:tcPr>
          <w:p w14:paraId="3833B84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Giscombe Kassam Schmied</w:t>
            </w:r>
          </w:p>
        </w:tc>
        <w:tc>
          <w:tcPr>
            <w:tcW w:w="607" w:type="pct"/>
            <w:shd w:val="clear" w:color="auto" w:fill="auto"/>
          </w:tcPr>
          <w:p w14:paraId="3331BF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Bina </w:t>
            </w:r>
          </w:p>
        </w:tc>
        <w:tc>
          <w:tcPr>
            <w:tcW w:w="561" w:type="pct"/>
            <w:shd w:val="clear" w:color="auto" w:fill="auto"/>
          </w:tcPr>
          <w:p w14:paraId="1681234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 Gannan</w:t>
            </w:r>
          </w:p>
        </w:tc>
        <w:tc>
          <w:tcPr>
            <w:tcW w:w="513" w:type="pct"/>
            <w:vMerge/>
          </w:tcPr>
          <w:p w14:paraId="73343303"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3C1BECEE" w14:textId="77777777" w:rsidTr="007934B1">
        <w:tc>
          <w:tcPr>
            <w:tcW w:w="746" w:type="pct"/>
            <w:vMerge w:val="restart"/>
          </w:tcPr>
          <w:p w14:paraId="7590C4F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Economic status Healthcare costs</w:t>
            </w:r>
          </w:p>
        </w:tc>
        <w:tc>
          <w:tcPr>
            <w:tcW w:w="695" w:type="pct"/>
            <w:vMerge w:val="restart"/>
          </w:tcPr>
          <w:p w14:paraId="4DE0530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This influenced womens decision to consult, access to care (because can’t afford it) but also their experience of care because cant find wellbeing when you cant fulfil basic needs Costs of healthcare related to the above point. If you cant afford it, you don’t consult</w:t>
            </w:r>
          </w:p>
        </w:tc>
        <w:tc>
          <w:tcPr>
            <w:tcW w:w="690" w:type="pct"/>
            <w:vMerge w:val="restart"/>
          </w:tcPr>
          <w:p w14:paraId="31DE0896" w14:textId="77777777" w:rsidR="000B75EB" w:rsidRPr="007934B1" w:rsidRDefault="000B75EB" w:rsidP="007934B1">
            <w:pPr>
              <w:spacing w:line="240" w:lineRule="auto"/>
              <w:ind w:firstLine="0"/>
              <w:rPr>
                <w:rFonts w:ascii="Times New Roman" w:hAnsi="Times New Roman" w:cs="Times New Roman"/>
                <w:sz w:val="16"/>
                <w:szCs w:val="16"/>
              </w:rPr>
            </w:pPr>
            <w:r w:rsidRPr="007934B1">
              <w:rPr>
                <w:rFonts w:ascii="Times New Roman" w:hAnsi="Times New Roman" w:cs="Times New Roman"/>
                <w:noProof/>
                <w:color w:val="000000"/>
                <w:sz w:val="16"/>
                <w:szCs w:val="16"/>
              </w:rPr>
              <w:t>Schmied Tobin Lucas Kassam Bina Hansotte Viveiros Jones 19</w:t>
            </w:r>
          </w:p>
        </w:tc>
        <w:tc>
          <w:tcPr>
            <w:tcW w:w="580" w:type="pct"/>
            <w:shd w:val="clear" w:color="auto" w:fill="A5A5A5" w:themeFill="accent3"/>
          </w:tcPr>
          <w:p w14:paraId="2DFC428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191EFD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6AA01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309D21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7ACD96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b/>
                <w:bCs/>
                <w:sz w:val="16"/>
                <w:szCs w:val="16"/>
              </w:rPr>
              <w:t xml:space="preserve">Moderate: </w:t>
            </w:r>
            <w:r w:rsidRPr="007934B1">
              <w:rPr>
                <w:rFonts w:ascii="Times New Roman" w:hAnsi="Times New Roman" w:cs="Times New Roman"/>
                <w:sz w:val="16"/>
                <w:szCs w:val="16"/>
              </w:rPr>
              <w:t xml:space="preserve">more relevant to places where you have to pay for healthcare </w:t>
            </w:r>
          </w:p>
        </w:tc>
      </w:tr>
      <w:tr w:rsidR="007934B1" w:rsidRPr="007934B1" w14:paraId="76FBB02F" w14:textId="77777777" w:rsidTr="007934B1">
        <w:tc>
          <w:tcPr>
            <w:tcW w:w="746" w:type="pct"/>
            <w:vMerge/>
          </w:tcPr>
          <w:p w14:paraId="165D497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13D74BD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58658F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4E10DDD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Viveiros</w:t>
            </w:r>
          </w:p>
        </w:tc>
        <w:tc>
          <w:tcPr>
            <w:tcW w:w="607" w:type="pct"/>
            <w:shd w:val="clear" w:color="auto" w:fill="auto"/>
          </w:tcPr>
          <w:p w14:paraId="781B6B9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Schmied Tobin Lucas Kassam Bina Hansotte </w:t>
            </w:r>
          </w:p>
        </w:tc>
        <w:tc>
          <w:tcPr>
            <w:tcW w:w="607" w:type="pct"/>
            <w:shd w:val="clear" w:color="auto" w:fill="auto"/>
          </w:tcPr>
          <w:p w14:paraId="4EFAEAE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B1172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Jones 19</w:t>
            </w:r>
          </w:p>
        </w:tc>
        <w:tc>
          <w:tcPr>
            <w:tcW w:w="513" w:type="pct"/>
            <w:vMerge/>
          </w:tcPr>
          <w:p w14:paraId="37669F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D465D32" w14:textId="77777777" w:rsidTr="007934B1">
        <w:tc>
          <w:tcPr>
            <w:tcW w:w="746" w:type="pct"/>
            <w:vMerge/>
          </w:tcPr>
          <w:p w14:paraId="30A2E44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41C2C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7D7462F"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18AC6DE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2A007E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FF6311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2C6DD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321B52D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14F2BA3C" w14:textId="77777777" w:rsidTr="007934B1">
        <w:tc>
          <w:tcPr>
            <w:tcW w:w="746" w:type="pct"/>
            <w:vMerge/>
          </w:tcPr>
          <w:p w14:paraId="6F72257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9156D4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160E0540"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32EC348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2AA7F5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Schmied Tobin Kassam</w:t>
            </w:r>
          </w:p>
        </w:tc>
        <w:tc>
          <w:tcPr>
            <w:tcW w:w="607" w:type="pct"/>
            <w:shd w:val="clear" w:color="auto" w:fill="auto"/>
          </w:tcPr>
          <w:p w14:paraId="087F8DB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w:t>
            </w:r>
          </w:p>
        </w:tc>
        <w:tc>
          <w:tcPr>
            <w:tcW w:w="561" w:type="pct"/>
            <w:shd w:val="clear" w:color="auto" w:fill="auto"/>
          </w:tcPr>
          <w:p w14:paraId="206CC95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Hansotte Lucas</w:t>
            </w:r>
          </w:p>
        </w:tc>
        <w:tc>
          <w:tcPr>
            <w:tcW w:w="513" w:type="pct"/>
            <w:vMerge/>
          </w:tcPr>
          <w:p w14:paraId="08753EB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7D0E6F8D" w14:textId="77777777" w:rsidTr="007934B1">
        <w:tc>
          <w:tcPr>
            <w:tcW w:w="746" w:type="pct"/>
            <w:shd w:val="clear" w:color="auto" w:fill="E7E6E6" w:themeFill="background2"/>
          </w:tcPr>
          <w:p w14:paraId="3EDF508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Societal </w:t>
            </w:r>
          </w:p>
        </w:tc>
        <w:tc>
          <w:tcPr>
            <w:tcW w:w="695" w:type="pct"/>
            <w:shd w:val="clear" w:color="auto" w:fill="E7E6E6" w:themeFill="background2"/>
          </w:tcPr>
          <w:p w14:paraId="18216F3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shd w:val="clear" w:color="auto" w:fill="E7E6E6" w:themeFill="background2"/>
          </w:tcPr>
          <w:p w14:paraId="55B4437B"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E7E6E6" w:themeFill="background2"/>
          </w:tcPr>
          <w:p w14:paraId="7F8DAF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7E6E6" w:themeFill="background2"/>
          </w:tcPr>
          <w:p w14:paraId="79A04D2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E7E6E6" w:themeFill="background2"/>
          </w:tcPr>
          <w:p w14:paraId="15BCE74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E7E6E6" w:themeFill="background2"/>
          </w:tcPr>
          <w:p w14:paraId="0B00558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shd w:val="clear" w:color="auto" w:fill="E7E6E6" w:themeFill="background2"/>
          </w:tcPr>
          <w:p w14:paraId="26DCBB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D7073C1" w14:textId="77777777" w:rsidTr="007934B1">
        <w:tc>
          <w:tcPr>
            <w:tcW w:w="746" w:type="pct"/>
            <w:vMerge w:val="restart"/>
          </w:tcPr>
          <w:p w14:paraId="2DDA6E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Stigma</w:t>
            </w:r>
          </w:p>
        </w:tc>
        <w:tc>
          <w:tcPr>
            <w:tcW w:w="695" w:type="pct"/>
            <w:vMerge w:val="restart"/>
          </w:tcPr>
          <w:p w14:paraId="2FC2B60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Stigma prevented implementation and access to care. it was pervasive. </w:t>
            </w:r>
          </w:p>
        </w:tc>
        <w:tc>
          <w:tcPr>
            <w:tcW w:w="690" w:type="pct"/>
            <w:vMerge w:val="restart"/>
          </w:tcPr>
          <w:p w14:paraId="5BCD1A8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2016 Atif 2020 Beeber Bina Boyd Chartier Cox Feinberg Higgins Keker MCcAULEY McKenzie Munodawafa Myors Nakku Nithianden Noonan Shakesperare Vik Williams Young Bina Button Dennis Forde Giscombe Hadfield Hansottee Holopainen Hewitt 19 Jones 19 Kassam Lucas Megnin Mollad Nilaweera Smith Sorsa Staneva Tobin Viveiros Watson</w:t>
            </w:r>
          </w:p>
        </w:tc>
        <w:tc>
          <w:tcPr>
            <w:tcW w:w="580" w:type="pct"/>
            <w:shd w:val="clear" w:color="auto" w:fill="A5A5A5" w:themeFill="accent3"/>
          </w:tcPr>
          <w:p w14:paraId="667FA8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4A7F63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40818A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15A7AA1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C344CBA"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a universal theme with real life support </w:t>
            </w:r>
          </w:p>
        </w:tc>
      </w:tr>
      <w:tr w:rsidR="007934B1" w:rsidRPr="007934B1" w14:paraId="56ABDD7C" w14:textId="77777777" w:rsidTr="007934B1">
        <w:tc>
          <w:tcPr>
            <w:tcW w:w="746" w:type="pct"/>
            <w:vMerge/>
          </w:tcPr>
          <w:p w14:paraId="3E159A7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DD2A70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755ED0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517C00D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McKenzie Shakespeare Williams Button Forde Hadfield Hewitt  Smith Viveiros Watson SH</w:t>
            </w:r>
          </w:p>
        </w:tc>
        <w:tc>
          <w:tcPr>
            <w:tcW w:w="607" w:type="pct"/>
            <w:shd w:val="clear" w:color="auto" w:fill="auto"/>
          </w:tcPr>
          <w:p w14:paraId="1D39FC5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Beeber Boyd Chartier Cox Feinberg Higgins Kerker Myors Nithianden Noonan Vik Young BinaSR Giscombe Hansotte Holopainen Kassam Lucas Mollard Nilaweera Sorsa Staneva Tobin</w:t>
            </w:r>
          </w:p>
        </w:tc>
        <w:tc>
          <w:tcPr>
            <w:tcW w:w="607" w:type="pct"/>
            <w:shd w:val="clear" w:color="auto" w:fill="auto"/>
          </w:tcPr>
          <w:p w14:paraId="5491AE0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Atif 20 Bina McCauley Munodawafa Nakku</w:t>
            </w:r>
          </w:p>
        </w:tc>
        <w:tc>
          <w:tcPr>
            <w:tcW w:w="561" w:type="pct"/>
            <w:shd w:val="clear" w:color="auto" w:fill="auto"/>
          </w:tcPr>
          <w:p w14:paraId="73CF27E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Jones 19 Megnin</w:t>
            </w:r>
          </w:p>
        </w:tc>
        <w:tc>
          <w:tcPr>
            <w:tcW w:w="513" w:type="pct"/>
            <w:vMerge/>
          </w:tcPr>
          <w:p w14:paraId="6D399F9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5955BAF1" w14:textId="77777777" w:rsidTr="007934B1">
        <w:tc>
          <w:tcPr>
            <w:tcW w:w="746" w:type="pct"/>
            <w:vMerge/>
          </w:tcPr>
          <w:p w14:paraId="1A5CCD7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5432BE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CF7A59E"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3399658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1ED7EE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5CD8951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7BDCEA1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50DB13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466C6828" w14:textId="77777777" w:rsidTr="007934B1">
        <w:tc>
          <w:tcPr>
            <w:tcW w:w="746" w:type="pct"/>
            <w:vMerge/>
          </w:tcPr>
          <w:p w14:paraId="48F18F7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7619688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7CBC188"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6ECC6B2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333699F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50BD95E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142DDFA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3EEA87E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18598AE1" w14:textId="77777777" w:rsidTr="007934B1">
        <w:tc>
          <w:tcPr>
            <w:tcW w:w="746" w:type="pct"/>
            <w:vMerge w:val="restart"/>
          </w:tcPr>
          <w:p w14:paraId="47E4AC0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Culture (n = 13)</w:t>
            </w:r>
          </w:p>
        </w:tc>
        <w:tc>
          <w:tcPr>
            <w:tcW w:w="695" w:type="pct"/>
            <w:vMerge w:val="restart"/>
          </w:tcPr>
          <w:p w14:paraId="2AA99A0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The beliefs and behaviours of a particular group of people or a society. Certain cultural beliefs about mental illness (i.e. it isn’t real, or its caused by spirits) means people are less likely to consult. Culture and stigma interlink. You have to be strong, have to fulfil gender roles, punishment for being black (more likely to be labelled)</w:t>
            </w:r>
          </w:p>
        </w:tc>
        <w:tc>
          <w:tcPr>
            <w:tcW w:w="690" w:type="pct"/>
            <w:vMerge w:val="restart"/>
          </w:tcPr>
          <w:p w14:paraId="4786216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Atif 2016 Bina Boyd Friedman Ganann Higgins Masood McCauley Naku Nithanden Noonan Segre Shorey </w:t>
            </w:r>
            <w:r w:rsidRPr="007934B1">
              <w:rPr>
                <w:rFonts w:ascii="Times New Roman" w:hAnsi="Times New Roman" w:cs="Times New Roman"/>
                <w:noProof/>
                <w:color w:val="000000"/>
                <w:sz w:val="16"/>
                <w:szCs w:val="16"/>
              </w:rPr>
              <w:t xml:space="preserve">Bina, 2020; Brealey et al., 2010; Button et al., 2017; Dennis &amp; Chung-Lee, 2006; Giscombe et al., 2020; Hansotte et al., 2017; Hewitt et al., 2009; Jones, 2019; Kassam, 2019; Megnin-Viggars et al., 2015; Nilaweera et al., 2014; Praetorius et al., </w:t>
            </w:r>
            <w:r w:rsidRPr="007934B1">
              <w:rPr>
                <w:rFonts w:ascii="Times New Roman" w:hAnsi="Times New Roman" w:cs="Times New Roman"/>
                <w:noProof/>
                <w:color w:val="000000"/>
                <w:sz w:val="16"/>
                <w:szCs w:val="16"/>
              </w:rPr>
              <w:lastRenderedPageBreak/>
              <w:t>2020; Schmied et al., 2017; Smith et al., 2019; Sorsa et al., 2021; Staneva et al., 2015; Tobin et al., 2018; Viveiros &amp; Darling, 2018; Watson et al., 2019; Wittkowski et al., 2014 Stakeholders</w:t>
            </w:r>
          </w:p>
        </w:tc>
        <w:tc>
          <w:tcPr>
            <w:tcW w:w="580" w:type="pct"/>
            <w:shd w:val="clear" w:color="auto" w:fill="A5A5A5" w:themeFill="accent3"/>
          </w:tcPr>
          <w:p w14:paraId="7FBC75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lastRenderedPageBreak/>
              <w:t xml:space="preserve">Direct relevance UK </w:t>
            </w:r>
          </w:p>
        </w:tc>
        <w:tc>
          <w:tcPr>
            <w:tcW w:w="607" w:type="pct"/>
            <w:shd w:val="clear" w:color="auto" w:fill="A5A5A5" w:themeFill="accent3"/>
          </w:tcPr>
          <w:p w14:paraId="7BE4B2D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0FACF67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7976D99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5F854FF6"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 – </w:t>
            </w:r>
            <w:r w:rsidRPr="007934B1">
              <w:rPr>
                <w:rFonts w:ascii="Times New Roman" w:hAnsi="Times New Roman" w:cs="Times New Roman"/>
                <w:sz w:val="16"/>
                <w:szCs w:val="16"/>
              </w:rPr>
              <w:t xml:space="preserve">a universal theme  </w:t>
            </w:r>
          </w:p>
        </w:tc>
      </w:tr>
      <w:tr w:rsidR="007934B1" w:rsidRPr="007934B1" w14:paraId="4035E7D6" w14:textId="77777777" w:rsidTr="007934B1">
        <w:tc>
          <w:tcPr>
            <w:tcW w:w="746" w:type="pct"/>
            <w:vMerge/>
          </w:tcPr>
          <w:p w14:paraId="3E318C8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DE969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E8D4F0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1E1E23D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Masood Brealey Button Hewitt Smith Watson</w:t>
            </w:r>
          </w:p>
        </w:tc>
        <w:tc>
          <w:tcPr>
            <w:tcW w:w="607" w:type="pct"/>
            <w:shd w:val="clear" w:color="auto" w:fill="auto"/>
          </w:tcPr>
          <w:p w14:paraId="05522748"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Boyd Friedman Ganann Higgins Nithianden Segre Bina SR Hansotte Giscombe Kassam Nilaweera Praetorius Schmied Sorsa Staneva Tobin</w:t>
            </w:r>
          </w:p>
        </w:tc>
        <w:tc>
          <w:tcPr>
            <w:tcW w:w="607" w:type="pct"/>
            <w:shd w:val="clear" w:color="auto" w:fill="auto"/>
          </w:tcPr>
          <w:p w14:paraId="3BB9BAC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Atif 1 Bina McCauley Nakku Shorey Witkowski</w:t>
            </w:r>
          </w:p>
        </w:tc>
        <w:tc>
          <w:tcPr>
            <w:tcW w:w="561" w:type="pct"/>
            <w:shd w:val="clear" w:color="auto" w:fill="auto"/>
          </w:tcPr>
          <w:p w14:paraId="5F3EC13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 Dennis Jones 19 Megnin</w:t>
            </w:r>
          </w:p>
        </w:tc>
        <w:tc>
          <w:tcPr>
            <w:tcW w:w="513" w:type="pct"/>
            <w:vMerge/>
          </w:tcPr>
          <w:p w14:paraId="0587A79D"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A33F062" w14:textId="77777777" w:rsidTr="007934B1">
        <w:tc>
          <w:tcPr>
            <w:tcW w:w="746" w:type="pct"/>
            <w:vMerge/>
          </w:tcPr>
          <w:p w14:paraId="6F0BC040"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0DB4A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67BFC571"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5A5A5" w:themeFill="accent3"/>
          </w:tcPr>
          <w:p w14:paraId="4306781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6A39BD6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442326D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13955EC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461778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52FC580F" w14:textId="77777777" w:rsidTr="007934B1">
        <w:tc>
          <w:tcPr>
            <w:tcW w:w="746" w:type="pct"/>
            <w:vMerge/>
          </w:tcPr>
          <w:p w14:paraId="05998DC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6EE0211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27636D57" w14:textId="77777777" w:rsidR="000B75EB" w:rsidRPr="007934B1" w:rsidRDefault="000B75EB" w:rsidP="007934B1">
            <w:pPr>
              <w:spacing w:line="240" w:lineRule="auto"/>
              <w:ind w:firstLine="0"/>
              <w:rPr>
                <w:rFonts w:ascii="Times New Roman" w:hAnsi="Times New Roman" w:cs="Times New Roman"/>
                <w:sz w:val="16"/>
                <w:szCs w:val="16"/>
              </w:rPr>
            </w:pPr>
          </w:p>
        </w:tc>
        <w:tc>
          <w:tcPr>
            <w:tcW w:w="580" w:type="pct"/>
            <w:shd w:val="clear" w:color="auto" w:fill="auto"/>
          </w:tcPr>
          <w:p w14:paraId="2C667CB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72CC729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285413F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3C8DFAB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2DD8031E"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0247B5BC" w14:textId="77777777" w:rsidTr="007934B1">
        <w:tc>
          <w:tcPr>
            <w:tcW w:w="746" w:type="pct"/>
            <w:vMerge w:val="restart"/>
          </w:tcPr>
          <w:p w14:paraId="35CB203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Maternal norms</w:t>
            </w:r>
          </w:p>
        </w:tc>
        <w:tc>
          <w:tcPr>
            <w:tcW w:w="695" w:type="pct"/>
            <w:vMerge w:val="restart"/>
          </w:tcPr>
          <w:p w14:paraId="4C9F1BD2"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The </w:t>
            </w:r>
            <w:r w:rsidRPr="007934B1">
              <w:rPr>
                <w:rFonts w:ascii="Times New Roman" w:hAnsi="Times New Roman" w:cs="Times New Roman"/>
                <w:b/>
                <w:bCs/>
                <w:sz w:val="16"/>
                <w:szCs w:val="16"/>
              </w:rPr>
              <w:t>maternal norm</w:t>
            </w:r>
            <w:r w:rsidRPr="007934B1">
              <w:rPr>
                <w:rFonts w:ascii="Times New Roman" w:hAnsi="Times New Roman" w:cs="Times New Roman"/>
                <w:sz w:val="16"/>
                <w:szCs w:val="16"/>
              </w:rPr>
              <w:t xml:space="preserve"> for women to show they are strong, that they can cope and be a good mother (n = 19), prevented women from </w:t>
            </w:r>
            <w:r w:rsidRPr="007934B1">
              <w:rPr>
                <w:rFonts w:ascii="Times New Roman" w:hAnsi="Times New Roman" w:cs="Times New Roman"/>
                <w:i/>
                <w:iCs/>
                <w:sz w:val="16"/>
                <w:szCs w:val="16"/>
              </w:rPr>
              <w:t xml:space="preserve">deciding to consult, disclosing, accessing care </w:t>
            </w:r>
            <w:r w:rsidRPr="007934B1">
              <w:rPr>
                <w:rFonts w:ascii="Times New Roman" w:hAnsi="Times New Roman" w:cs="Times New Roman"/>
                <w:sz w:val="16"/>
                <w:szCs w:val="16"/>
              </w:rPr>
              <w:t xml:space="preserve">and </w:t>
            </w:r>
            <w:r w:rsidRPr="007934B1">
              <w:rPr>
                <w:rFonts w:ascii="Times New Roman" w:hAnsi="Times New Roman" w:cs="Times New Roman"/>
                <w:i/>
                <w:iCs/>
                <w:sz w:val="16"/>
                <w:szCs w:val="16"/>
              </w:rPr>
              <w:t>women’s experience of care</w:t>
            </w:r>
          </w:p>
        </w:tc>
        <w:tc>
          <w:tcPr>
            <w:tcW w:w="690" w:type="pct"/>
            <w:vMerge w:val="restart"/>
          </w:tcPr>
          <w:p w14:paraId="0EFB1238"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r w:rsidRPr="007934B1">
              <w:rPr>
                <w:rFonts w:ascii="Times New Roman" w:hAnsi="Times New Roman" w:cs="Times New Roman"/>
                <w:noProof/>
                <w:color w:val="000000"/>
                <w:sz w:val="16"/>
                <w:szCs w:val="16"/>
              </w:rPr>
              <w:t>Bina, 2020; Brealey et al., 2010; Button et al., 2017; Dennis &amp; Chung-Lee, 2006; Forde et al., 2020; Hadfield &amp; Wittkowski, 2017; Hansotte et al., 2017; Hewitt et al., 2009; Holopainen &amp; Hakulinen, 2019; Jones et al., 2014; Lucas et al., 2019; Mollard et al., 2016; Morrell et al., 2016; Newman et al., 2019; Schmied et al., 2017; Slade et al., 2020; Smith et al., 2019; Sorsa et al., 2021; Staneva et al., 2015; Viveiros &amp; Darling, 2018</w:t>
            </w:r>
          </w:p>
        </w:tc>
        <w:tc>
          <w:tcPr>
            <w:tcW w:w="580" w:type="pct"/>
            <w:shd w:val="clear" w:color="auto" w:fill="A5A5A5" w:themeFill="accent3"/>
          </w:tcPr>
          <w:p w14:paraId="50F6BA6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Direct relevance UK </w:t>
            </w:r>
          </w:p>
        </w:tc>
        <w:tc>
          <w:tcPr>
            <w:tcW w:w="607" w:type="pct"/>
            <w:shd w:val="clear" w:color="auto" w:fill="A5A5A5" w:themeFill="accent3"/>
          </w:tcPr>
          <w:p w14:paraId="24599C8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Partial relevance  Western Country</w:t>
            </w:r>
          </w:p>
        </w:tc>
        <w:tc>
          <w:tcPr>
            <w:tcW w:w="607" w:type="pct"/>
            <w:shd w:val="clear" w:color="auto" w:fill="A5A5A5" w:themeFill="accent3"/>
          </w:tcPr>
          <w:p w14:paraId="1CD750E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Indirect relevance LMIC Eastern</w:t>
            </w:r>
          </w:p>
        </w:tc>
        <w:tc>
          <w:tcPr>
            <w:tcW w:w="561" w:type="pct"/>
            <w:shd w:val="clear" w:color="auto" w:fill="A5A5A5" w:themeFill="accent3"/>
          </w:tcPr>
          <w:p w14:paraId="0B4737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Unclear relevance </w:t>
            </w:r>
          </w:p>
        </w:tc>
        <w:tc>
          <w:tcPr>
            <w:tcW w:w="513" w:type="pct"/>
            <w:vMerge w:val="restart"/>
          </w:tcPr>
          <w:p w14:paraId="461DDA2C"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r w:rsidRPr="007934B1">
              <w:rPr>
                <w:rFonts w:ascii="Times New Roman" w:hAnsi="Times New Roman" w:cs="Times New Roman"/>
                <w:b/>
                <w:bCs/>
                <w:sz w:val="16"/>
                <w:szCs w:val="16"/>
              </w:rPr>
              <w:t xml:space="preserve">None/v minor: </w:t>
            </w:r>
            <w:r w:rsidRPr="007934B1">
              <w:rPr>
                <w:rFonts w:ascii="Times New Roman" w:hAnsi="Times New Roman" w:cs="Times New Roman"/>
                <w:sz w:val="16"/>
                <w:szCs w:val="16"/>
              </w:rPr>
              <w:t xml:space="preserve"> a universal theme </w:t>
            </w:r>
          </w:p>
        </w:tc>
      </w:tr>
      <w:tr w:rsidR="007934B1" w:rsidRPr="007934B1" w14:paraId="4BC5EFBF" w14:textId="77777777" w:rsidTr="007934B1">
        <w:tc>
          <w:tcPr>
            <w:tcW w:w="746" w:type="pct"/>
            <w:vMerge/>
          </w:tcPr>
          <w:p w14:paraId="1413A86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5130D0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58B83E2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80" w:type="pct"/>
            <w:shd w:val="clear" w:color="auto" w:fill="auto"/>
          </w:tcPr>
          <w:p w14:paraId="2F367C73"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Brealey Button Forde Hadfield Hewitt Slade Smith Viveiros</w:t>
            </w:r>
          </w:p>
        </w:tc>
        <w:tc>
          <w:tcPr>
            <w:tcW w:w="607" w:type="pct"/>
            <w:shd w:val="clear" w:color="auto" w:fill="auto"/>
          </w:tcPr>
          <w:p w14:paraId="5851066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BinaSR Hansotte Holopainen Jones14 Lucas Mollard Morrell Newman Schmied Sorsa Staneva</w:t>
            </w:r>
          </w:p>
        </w:tc>
        <w:tc>
          <w:tcPr>
            <w:tcW w:w="607" w:type="pct"/>
            <w:shd w:val="clear" w:color="auto" w:fill="auto"/>
          </w:tcPr>
          <w:p w14:paraId="37700B04"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6063719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Dennis Jones 19</w:t>
            </w:r>
          </w:p>
        </w:tc>
        <w:tc>
          <w:tcPr>
            <w:tcW w:w="513" w:type="pct"/>
            <w:vMerge/>
          </w:tcPr>
          <w:p w14:paraId="620A9A1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r>
      <w:tr w:rsidR="007934B1" w:rsidRPr="007934B1" w14:paraId="0B1CD0FE" w14:textId="77777777" w:rsidTr="007934B1">
        <w:tc>
          <w:tcPr>
            <w:tcW w:w="746" w:type="pct"/>
            <w:vMerge/>
          </w:tcPr>
          <w:p w14:paraId="038B3D3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0FB9389C"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FBD7E48"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5A5A5" w:themeFill="accent3"/>
          </w:tcPr>
          <w:p w14:paraId="33A2602E"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NHS</w:t>
            </w:r>
          </w:p>
        </w:tc>
        <w:tc>
          <w:tcPr>
            <w:tcW w:w="607" w:type="pct"/>
            <w:shd w:val="clear" w:color="auto" w:fill="A5A5A5" w:themeFill="accent3"/>
          </w:tcPr>
          <w:p w14:paraId="77509E3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Universal govt funded HC</w:t>
            </w:r>
          </w:p>
        </w:tc>
        <w:tc>
          <w:tcPr>
            <w:tcW w:w="607" w:type="pct"/>
            <w:shd w:val="clear" w:color="auto" w:fill="A5A5A5" w:themeFill="accent3"/>
          </w:tcPr>
          <w:p w14:paraId="6AD3D969"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 xml:space="preserve">Universal insurance </w:t>
            </w:r>
            <w:r w:rsidRPr="007934B1">
              <w:rPr>
                <w:rFonts w:ascii="Times New Roman" w:hAnsi="Times New Roman" w:cs="Times New Roman"/>
                <w:b/>
                <w:bCs/>
                <w:sz w:val="16"/>
                <w:szCs w:val="16"/>
              </w:rPr>
              <w:t>Don’t know</w:t>
            </w:r>
          </w:p>
        </w:tc>
        <w:tc>
          <w:tcPr>
            <w:tcW w:w="561" w:type="pct"/>
            <w:shd w:val="clear" w:color="auto" w:fill="A5A5A5" w:themeFill="accent3"/>
          </w:tcPr>
          <w:p w14:paraId="5C487B2B"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r w:rsidRPr="007934B1">
              <w:rPr>
                <w:rFonts w:ascii="Times New Roman" w:hAnsi="Times New Roman" w:cs="Times New Roman"/>
                <w:sz w:val="16"/>
                <w:szCs w:val="16"/>
              </w:rPr>
              <w:t>Non Universal insurance</w:t>
            </w:r>
          </w:p>
        </w:tc>
        <w:tc>
          <w:tcPr>
            <w:tcW w:w="513" w:type="pct"/>
            <w:vMerge/>
          </w:tcPr>
          <w:p w14:paraId="63A9FB5B"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tr w:rsidR="007934B1" w:rsidRPr="007934B1" w14:paraId="7C91334E" w14:textId="77777777" w:rsidTr="007934B1">
        <w:tc>
          <w:tcPr>
            <w:tcW w:w="746" w:type="pct"/>
            <w:vMerge/>
          </w:tcPr>
          <w:p w14:paraId="6B8A4835"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5" w:type="pct"/>
            <w:vMerge/>
          </w:tcPr>
          <w:p w14:paraId="33011257"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90" w:type="pct"/>
            <w:vMerge/>
          </w:tcPr>
          <w:p w14:paraId="4B295B76" w14:textId="77777777" w:rsidR="000B75EB" w:rsidRPr="007934B1" w:rsidRDefault="000B75EB" w:rsidP="007934B1">
            <w:pPr>
              <w:pStyle w:val="ListParagraph"/>
              <w:spacing w:after="0" w:line="240" w:lineRule="auto"/>
              <w:ind w:left="0"/>
              <w:rPr>
                <w:rFonts w:ascii="Times New Roman" w:hAnsi="Times New Roman" w:cs="Times New Roman"/>
                <w:noProof/>
                <w:color w:val="000000"/>
                <w:sz w:val="16"/>
                <w:szCs w:val="16"/>
              </w:rPr>
            </w:pPr>
          </w:p>
        </w:tc>
        <w:tc>
          <w:tcPr>
            <w:tcW w:w="580" w:type="pct"/>
            <w:shd w:val="clear" w:color="auto" w:fill="auto"/>
          </w:tcPr>
          <w:p w14:paraId="0CA69F21"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6F335F9F"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607" w:type="pct"/>
            <w:shd w:val="clear" w:color="auto" w:fill="auto"/>
          </w:tcPr>
          <w:p w14:paraId="20E83E2A"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61" w:type="pct"/>
            <w:shd w:val="clear" w:color="auto" w:fill="auto"/>
          </w:tcPr>
          <w:p w14:paraId="08A59E36" w14:textId="77777777" w:rsidR="000B75EB" w:rsidRPr="007934B1" w:rsidRDefault="000B75EB" w:rsidP="007934B1">
            <w:pPr>
              <w:pStyle w:val="ListParagraph"/>
              <w:spacing w:after="0" w:line="240" w:lineRule="auto"/>
              <w:ind w:left="0"/>
              <w:rPr>
                <w:rFonts w:ascii="Times New Roman" w:hAnsi="Times New Roman" w:cs="Times New Roman"/>
                <w:sz w:val="16"/>
                <w:szCs w:val="16"/>
              </w:rPr>
            </w:pPr>
          </w:p>
        </w:tc>
        <w:tc>
          <w:tcPr>
            <w:tcW w:w="513" w:type="pct"/>
            <w:vMerge/>
          </w:tcPr>
          <w:p w14:paraId="54B345FF" w14:textId="77777777" w:rsidR="000B75EB" w:rsidRPr="007934B1" w:rsidRDefault="000B75EB" w:rsidP="007934B1">
            <w:pPr>
              <w:pStyle w:val="ListParagraph"/>
              <w:spacing w:after="0" w:line="240" w:lineRule="auto"/>
              <w:ind w:left="0"/>
              <w:rPr>
                <w:rFonts w:ascii="Times New Roman" w:hAnsi="Times New Roman" w:cs="Times New Roman"/>
                <w:b/>
                <w:bCs/>
                <w:sz w:val="16"/>
                <w:szCs w:val="16"/>
              </w:rPr>
            </w:pPr>
          </w:p>
        </w:tc>
      </w:tr>
      <w:bookmarkEnd w:id="13"/>
    </w:tbl>
    <w:p w14:paraId="3A49480F" w14:textId="246BEF9E" w:rsidR="00821B60" w:rsidRPr="00265687" w:rsidRDefault="00821B60" w:rsidP="00BE7DC4">
      <w:pPr>
        <w:spacing w:line="240" w:lineRule="auto"/>
        <w:ind w:firstLine="0"/>
        <w:rPr>
          <w:rFonts w:ascii="Times New Roman" w:hAnsi="Times New Roman" w:cs="Times New Roman"/>
          <w:b/>
          <w:bCs/>
        </w:rPr>
      </w:pPr>
      <w:r w:rsidRPr="00265687">
        <w:rPr>
          <w:rFonts w:ascii="Times New Roman" w:hAnsi="Times New Roman" w:cs="Times New Roman"/>
          <w:b/>
          <w:bCs/>
        </w:rPr>
        <w:br w:type="page"/>
      </w:r>
    </w:p>
    <w:p w14:paraId="543E60AA" w14:textId="4E99D17C" w:rsidR="00620F88" w:rsidRPr="00265687" w:rsidRDefault="00367A93" w:rsidP="00AA1602">
      <w:pPr>
        <w:pStyle w:val="Heading1"/>
        <w:rPr>
          <w:rFonts w:ascii="Times New Roman" w:hAnsi="Times New Roman" w:cs="Times New Roman"/>
          <w:color w:val="auto"/>
          <w:sz w:val="24"/>
          <w:szCs w:val="24"/>
        </w:rPr>
      </w:pPr>
      <w:bookmarkStart w:id="14" w:name="_Toc108781728"/>
      <w:r>
        <w:rPr>
          <w:rFonts w:ascii="Times New Roman" w:hAnsi="Times New Roman" w:cs="Times New Roman"/>
          <w:i/>
          <w:iCs/>
          <w:color w:val="auto"/>
          <w:sz w:val="24"/>
          <w:szCs w:val="24"/>
        </w:rPr>
        <w:lastRenderedPageBreak/>
        <w:t>Supplementary Materials 9:</w:t>
      </w:r>
      <w:r w:rsidR="004713E2" w:rsidRPr="00265687">
        <w:rPr>
          <w:rFonts w:ascii="Times New Roman" w:hAnsi="Times New Roman" w:cs="Times New Roman"/>
          <w:color w:val="auto"/>
          <w:sz w:val="24"/>
          <w:szCs w:val="24"/>
        </w:rPr>
        <w:t xml:space="preserve"> </w:t>
      </w:r>
      <w:r w:rsidR="008836AA" w:rsidRPr="00265687">
        <w:rPr>
          <w:rFonts w:ascii="Times New Roman" w:hAnsi="Times New Roman" w:cs="Times New Roman"/>
          <w:color w:val="auto"/>
          <w:sz w:val="24"/>
          <w:szCs w:val="24"/>
        </w:rPr>
        <w:t>GRADE-CERQual o</w:t>
      </w:r>
      <w:r w:rsidR="004713E2" w:rsidRPr="00265687">
        <w:rPr>
          <w:rFonts w:ascii="Times New Roman" w:hAnsi="Times New Roman" w:cs="Times New Roman"/>
          <w:color w:val="auto"/>
          <w:sz w:val="24"/>
          <w:szCs w:val="24"/>
        </w:rPr>
        <w:t>verall confidence of concepts table</w:t>
      </w:r>
      <w:bookmarkEnd w:id="14"/>
    </w:p>
    <w:tbl>
      <w:tblPr>
        <w:tblStyle w:val="TableGrid"/>
        <w:tblW w:w="5000" w:type="pct"/>
        <w:tblLook w:val="04A0" w:firstRow="1" w:lastRow="0" w:firstColumn="1" w:lastColumn="0" w:noHBand="0" w:noVBand="1"/>
      </w:tblPr>
      <w:tblGrid>
        <w:gridCol w:w="2060"/>
        <w:gridCol w:w="2195"/>
        <w:gridCol w:w="2678"/>
        <w:gridCol w:w="446"/>
        <w:gridCol w:w="1621"/>
        <w:gridCol w:w="1311"/>
        <w:gridCol w:w="1202"/>
        <w:gridCol w:w="1216"/>
        <w:gridCol w:w="1219"/>
      </w:tblGrid>
      <w:tr w:rsidR="00BE7DC4" w:rsidRPr="00265687" w14:paraId="6690C947" w14:textId="77777777" w:rsidTr="00CC56AD">
        <w:trPr>
          <w:tblHeader/>
        </w:trPr>
        <w:tc>
          <w:tcPr>
            <w:tcW w:w="738" w:type="pct"/>
            <w:shd w:val="clear" w:color="auto" w:fill="A5A5A5" w:themeFill="accent3"/>
          </w:tcPr>
          <w:p w14:paraId="09B43CA4"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Theme</w:t>
            </w:r>
          </w:p>
        </w:tc>
        <w:tc>
          <w:tcPr>
            <w:tcW w:w="787" w:type="pct"/>
            <w:shd w:val="clear" w:color="auto" w:fill="A5A5A5" w:themeFill="accent3"/>
          </w:tcPr>
          <w:p w14:paraId="6287152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Definition of theme</w:t>
            </w:r>
          </w:p>
        </w:tc>
        <w:tc>
          <w:tcPr>
            <w:tcW w:w="960" w:type="pct"/>
            <w:shd w:val="clear" w:color="auto" w:fill="A5A5A5" w:themeFill="accent3"/>
          </w:tcPr>
          <w:p w14:paraId="73434E2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Studies citing this theme</w:t>
            </w:r>
          </w:p>
        </w:tc>
        <w:tc>
          <w:tcPr>
            <w:tcW w:w="160" w:type="pct"/>
            <w:shd w:val="clear" w:color="auto" w:fill="A5A5A5" w:themeFill="accent3"/>
          </w:tcPr>
          <w:p w14:paraId="78196DC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N</w:t>
            </w:r>
          </w:p>
        </w:tc>
        <w:tc>
          <w:tcPr>
            <w:tcW w:w="581" w:type="pct"/>
            <w:shd w:val="clear" w:color="auto" w:fill="A5A5A5" w:themeFill="accent3"/>
          </w:tcPr>
          <w:p w14:paraId="029650A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Methodological rating</w:t>
            </w:r>
          </w:p>
        </w:tc>
        <w:tc>
          <w:tcPr>
            <w:tcW w:w="470" w:type="pct"/>
            <w:shd w:val="clear" w:color="auto" w:fill="A5A5A5" w:themeFill="accent3"/>
          </w:tcPr>
          <w:p w14:paraId="5B9FED67"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Adequacy rating</w:t>
            </w:r>
          </w:p>
        </w:tc>
        <w:tc>
          <w:tcPr>
            <w:tcW w:w="431" w:type="pct"/>
            <w:shd w:val="clear" w:color="auto" w:fill="A5A5A5" w:themeFill="accent3"/>
          </w:tcPr>
          <w:p w14:paraId="21637C1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Coherence rating</w:t>
            </w:r>
          </w:p>
        </w:tc>
        <w:tc>
          <w:tcPr>
            <w:tcW w:w="436" w:type="pct"/>
            <w:shd w:val="clear" w:color="auto" w:fill="A5A5A5" w:themeFill="accent3"/>
          </w:tcPr>
          <w:p w14:paraId="009D1A0A"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Relevance rating </w:t>
            </w:r>
          </w:p>
        </w:tc>
        <w:tc>
          <w:tcPr>
            <w:tcW w:w="437" w:type="pct"/>
            <w:shd w:val="clear" w:color="auto" w:fill="A5A5A5" w:themeFill="accent3"/>
          </w:tcPr>
          <w:p w14:paraId="25FC994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Overall CERQUAL Rating</w:t>
            </w:r>
          </w:p>
        </w:tc>
      </w:tr>
      <w:tr w:rsidR="00F26AE4" w:rsidRPr="00265687" w14:paraId="53CE114C" w14:textId="77777777" w:rsidTr="00CC56AD">
        <w:trPr>
          <w:tblHeader/>
        </w:trPr>
        <w:tc>
          <w:tcPr>
            <w:tcW w:w="5000" w:type="pct"/>
            <w:gridSpan w:val="9"/>
            <w:shd w:val="clear" w:color="auto" w:fill="A5A5A5" w:themeFill="accent3"/>
          </w:tcPr>
          <w:p w14:paraId="5B868CA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 Women</w:t>
            </w:r>
          </w:p>
        </w:tc>
      </w:tr>
      <w:tr w:rsidR="00F26AE4" w:rsidRPr="00265687" w14:paraId="28D160C8" w14:textId="77777777" w:rsidTr="00CC56AD">
        <w:tc>
          <w:tcPr>
            <w:tcW w:w="5000" w:type="pct"/>
            <w:gridSpan w:val="9"/>
            <w:shd w:val="clear" w:color="auto" w:fill="DBDBDB" w:themeFill="accent3" w:themeFillTint="66"/>
          </w:tcPr>
          <w:p w14:paraId="237A6069"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1.1 Beliefs about health services</w:t>
            </w:r>
          </w:p>
        </w:tc>
      </w:tr>
      <w:tr w:rsidR="00F26AE4" w:rsidRPr="00265687" w14:paraId="226E0FDC" w14:textId="77777777" w:rsidTr="00CC56AD">
        <w:tc>
          <w:tcPr>
            <w:tcW w:w="738" w:type="pct"/>
          </w:tcPr>
          <w:p w14:paraId="037A9A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1.1.1 Services only offer medication</w:t>
            </w:r>
          </w:p>
        </w:tc>
        <w:tc>
          <w:tcPr>
            <w:tcW w:w="787" w:type="pct"/>
          </w:tcPr>
          <w:p w14:paraId="11922CA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belief that health services will only offer medication to treat PMH concerns</w:t>
            </w:r>
          </w:p>
        </w:tc>
        <w:tc>
          <w:tcPr>
            <w:tcW w:w="960" w:type="pct"/>
          </w:tcPr>
          <w:p w14:paraId="2FC8C024" w14:textId="77777777" w:rsidR="00F26AE4" w:rsidRPr="00265687" w:rsidRDefault="00F26AE4" w:rsidP="00BE7DC4">
            <w:pPr>
              <w:spacing w:line="240" w:lineRule="auto"/>
              <w:ind w:firstLine="0"/>
              <w:rPr>
                <w:rFonts w:ascii="Times New Roman" w:hAnsi="Times New Roman" w:cs="Times New Roman"/>
                <w:color w:val="000000"/>
                <w:sz w:val="16"/>
                <w:lang w:val="nl-NL"/>
              </w:rPr>
            </w:pPr>
            <w:r w:rsidRPr="00265687">
              <w:rPr>
                <w:rFonts w:ascii="Times New Roman" w:hAnsi="Times New Roman" w:cs="Times New Roman"/>
                <w:i/>
                <w:color w:val="000000"/>
                <w:sz w:val="16"/>
                <w:lang w:val="nl-NL"/>
              </w:rPr>
              <w:t>Doering et al., 2017; Ganann et al., 2019; Williams et al., 2016; Young et al., 2019;</w:t>
            </w:r>
            <w:r w:rsidRPr="00265687">
              <w:rPr>
                <w:rFonts w:ascii="Times New Roman" w:hAnsi="Times New Roman" w:cs="Times New Roman"/>
                <w:color w:val="000000"/>
                <w:sz w:val="16"/>
                <w:lang w:val="nl-NL"/>
              </w:rPr>
              <w:t xml:space="preserve"> </w:t>
            </w:r>
          </w:p>
          <w:p w14:paraId="437FF002" w14:textId="77777777" w:rsidR="00F26AE4" w:rsidRPr="00265687" w:rsidRDefault="00F26AE4" w:rsidP="00BE7DC4">
            <w:pPr>
              <w:spacing w:line="240" w:lineRule="auto"/>
              <w:ind w:firstLine="0"/>
              <w:rPr>
                <w:rFonts w:ascii="Times New Roman" w:hAnsi="Times New Roman" w:cs="Times New Roman"/>
                <w:sz w:val="16"/>
                <w:lang w:val="nl-NL"/>
              </w:rPr>
            </w:pPr>
            <w:r w:rsidRPr="00265687">
              <w:rPr>
                <w:rFonts w:ascii="Times New Roman" w:hAnsi="Times New Roman" w:cs="Times New Roman"/>
                <w:color w:val="000000"/>
                <w:sz w:val="16"/>
                <w:lang w:val="nl-NL"/>
              </w:rPr>
              <w:t>Bina, 2020; Button et al., 2017; Dennis &amp; Chung-Lee, 2006; Hadfield &amp; Wittkowski, 2017; Jones, 2019; Megnin-Viggars et al., 2015; Nilaweera et al., 2014; Sorsa et al., 2021; Tobin et al., 2018</w:t>
            </w:r>
          </w:p>
        </w:tc>
        <w:tc>
          <w:tcPr>
            <w:tcW w:w="160" w:type="pct"/>
          </w:tcPr>
          <w:p w14:paraId="1E2748C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1" w:type="pct"/>
          </w:tcPr>
          <w:p w14:paraId="641FE22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363375D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F3C8F1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014B863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49677E8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42E24889" w14:textId="77777777" w:rsidTr="00CC56AD">
        <w:tc>
          <w:tcPr>
            <w:tcW w:w="738" w:type="pct"/>
          </w:tcPr>
          <w:p w14:paraId="736331C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1.1.2 Services are stretched</w:t>
            </w:r>
          </w:p>
        </w:tc>
        <w:tc>
          <w:tcPr>
            <w:tcW w:w="787" w:type="pct"/>
          </w:tcPr>
          <w:p w14:paraId="3F7A7F3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belief that PMH services are too stretched and will therefore be unable to help women</w:t>
            </w:r>
          </w:p>
        </w:tc>
        <w:tc>
          <w:tcPr>
            <w:tcW w:w="960" w:type="pct"/>
          </w:tcPr>
          <w:p w14:paraId="596FDAB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Hadfield &amp; Wittkowski, 2017</w:t>
            </w:r>
          </w:p>
        </w:tc>
        <w:tc>
          <w:tcPr>
            <w:tcW w:w="160" w:type="pct"/>
          </w:tcPr>
          <w:p w14:paraId="332687F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683B786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4C88026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18D11F9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6" w:type="pct"/>
          </w:tcPr>
          <w:p w14:paraId="29B55BC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2D8E305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21899B05" w14:textId="77777777" w:rsidTr="00CC56AD">
        <w:tc>
          <w:tcPr>
            <w:tcW w:w="738" w:type="pct"/>
          </w:tcPr>
          <w:p w14:paraId="7E05870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1.1.3 Services are too complicated</w:t>
            </w:r>
          </w:p>
        </w:tc>
        <w:tc>
          <w:tcPr>
            <w:tcW w:w="787" w:type="pct"/>
          </w:tcPr>
          <w:p w14:paraId="351B3BB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Services being too complex or complicated</w:t>
            </w:r>
          </w:p>
        </w:tc>
        <w:tc>
          <w:tcPr>
            <w:tcW w:w="960" w:type="pct"/>
          </w:tcPr>
          <w:p w14:paraId="70CFB413" w14:textId="77777777" w:rsidR="00F26AE4" w:rsidRPr="00265687" w:rsidRDefault="00F26AE4" w:rsidP="00BE7DC4">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 xml:space="preserve">Ganann et al., 2019 </w:t>
            </w:r>
          </w:p>
          <w:p w14:paraId="6B3C24C0" w14:textId="77777777" w:rsidR="00F26AE4" w:rsidRPr="00265687" w:rsidRDefault="00F26AE4" w:rsidP="00BE7DC4">
            <w:pPr>
              <w:spacing w:line="240" w:lineRule="auto"/>
              <w:ind w:firstLine="0"/>
              <w:rPr>
                <w:rFonts w:ascii="Times New Roman" w:hAnsi="Times New Roman" w:cs="Times New Roman"/>
                <w:sz w:val="16"/>
                <w:lang w:val="es-ES"/>
              </w:rPr>
            </w:pPr>
            <w:r w:rsidRPr="00265687">
              <w:rPr>
                <w:rFonts w:ascii="Times New Roman" w:hAnsi="Times New Roman" w:cs="Times New Roman"/>
                <w:sz w:val="16"/>
                <w:lang w:val="es-ES"/>
              </w:rPr>
              <w:t>Tobin et al., 2018</w:t>
            </w:r>
          </w:p>
          <w:p w14:paraId="7D5AD0A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2003C76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4C0666F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2CA88DF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595BD33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32C3AB1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17869833"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68DB878D" w14:textId="77777777" w:rsidTr="00CC56AD">
        <w:tc>
          <w:tcPr>
            <w:tcW w:w="738" w:type="pct"/>
          </w:tcPr>
          <w:p w14:paraId="370CD50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1.1.4 Women’s mistrust and fear of services</w:t>
            </w:r>
          </w:p>
        </w:tc>
        <w:tc>
          <w:tcPr>
            <w:tcW w:w="787" w:type="pct"/>
          </w:tcPr>
          <w:p w14:paraId="0255289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Having little trust in health services</w:t>
            </w:r>
          </w:p>
        </w:tc>
        <w:tc>
          <w:tcPr>
            <w:tcW w:w="960" w:type="pct"/>
          </w:tcPr>
          <w:p w14:paraId="1802E16E"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Boyd et al., 2011</w:t>
            </w:r>
            <w:r w:rsidRPr="00265687">
              <w:rPr>
                <w:rFonts w:ascii="Times New Roman" w:hAnsi="Times New Roman" w:cs="Times New Roman"/>
                <w:i/>
                <w:iCs/>
                <w:sz w:val="16"/>
                <w:szCs w:val="16"/>
              </w:rPr>
              <w:t xml:space="preserve"> </w:t>
            </w:r>
          </w:p>
          <w:p w14:paraId="418EF1C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Jones, 2019</w:t>
            </w:r>
          </w:p>
        </w:tc>
        <w:tc>
          <w:tcPr>
            <w:tcW w:w="160" w:type="pct"/>
          </w:tcPr>
          <w:p w14:paraId="23DD842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0424B75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F9A949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38444F9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2FADED5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3E76A66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Low confidence </w:t>
            </w:r>
          </w:p>
        </w:tc>
      </w:tr>
      <w:tr w:rsidR="00F26AE4" w:rsidRPr="00265687" w14:paraId="2377910E" w14:textId="77777777" w:rsidTr="00CC56AD">
        <w:tc>
          <w:tcPr>
            <w:tcW w:w="5000" w:type="pct"/>
            <w:gridSpan w:val="9"/>
            <w:shd w:val="clear" w:color="auto" w:fill="DBDBDB" w:themeFill="accent3" w:themeFillTint="66"/>
          </w:tcPr>
          <w:p w14:paraId="48EC11E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1.2 Beliefs about HCPs</w:t>
            </w:r>
          </w:p>
        </w:tc>
      </w:tr>
      <w:tr w:rsidR="00F26AE4" w:rsidRPr="00265687" w14:paraId="6F01EF63" w14:textId="77777777" w:rsidTr="00CC56AD">
        <w:tc>
          <w:tcPr>
            <w:tcW w:w="738" w:type="pct"/>
          </w:tcPr>
          <w:p w14:paraId="3D047A2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1.2.1 Not understanding HCPs’ role</w:t>
            </w:r>
          </w:p>
        </w:tc>
        <w:tc>
          <w:tcPr>
            <w:tcW w:w="787" w:type="pct"/>
          </w:tcPr>
          <w:p w14:paraId="6FCF59F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Not understanding the roles of HCPs and how their roles related to PMH</w:t>
            </w:r>
          </w:p>
        </w:tc>
        <w:tc>
          <w:tcPr>
            <w:tcW w:w="960" w:type="pct"/>
          </w:tcPr>
          <w:p w14:paraId="00BA9E1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Brealey et al., 2010; Button et al., 2017; Dennis &amp; Chung-Lee, 2006; Hadfield &amp; Wittkowski, 2017; Hewitt et al., 2009; Megnin-Viggars et al., 2015; Mollard et al., 2016; Morrell et al., 2016; Nilaweera et al., 2014; Sambrook Smith et al., 2019; Schmied et al., 2017; Scope et al., 2017</w:t>
            </w:r>
          </w:p>
        </w:tc>
        <w:tc>
          <w:tcPr>
            <w:tcW w:w="160" w:type="pct"/>
          </w:tcPr>
          <w:p w14:paraId="124E9D1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w:t>
            </w:r>
          </w:p>
        </w:tc>
        <w:tc>
          <w:tcPr>
            <w:tcW w:w="581" w:type="pct"/>
          </w:tcPr>
          <w:p w14:paraId="6CEE181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051ECBF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0983750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132CA2F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3275DF3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75CF4571" w14:textId="77777777" w:rsidTr="00CC56AD">
        <w:tc>
          <w:tcPr>
            <w:tcW w:w="738" w:type="pct"/>
          </w:tcPr>
          <w:p w14:paraId="3849AD1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1.2.2 Believing HCPs won’t be interested</w:t>
            </w:r>
          </w:p>
        </w:tc>
        <w:tc>
          <w:tcPr>
            <w:tcW w:w="787" w:type="pct"/>
          </w:tcPr>
          <w:p w14:paraId="7D8121A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HCPs won't be interested in PMH</w:t>
            </w:r>
          </w:p>
        </w:tc>
        <w:tc>
          <w:tcPr>
            <w:tcW w:w="960" w:type="pct"/>
          </w:tcPr>
          <w:p w14:paraId="5DF480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Hadfield &amp; Wittkowski, 2017</w:t>
            </w:r>
          </w:p>
        </w:tc>
        <w:tc>
          <w:tcPr>
            <w:tcW w:w="160" w:type="pct"/>
          </w:tcPr>
          <w:p w14:paraId="07FED60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566586E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FF6681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7B0468C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6" w:type="pct"/>
          </w:tcPr>
          <w:p w14:paraId="7334E1D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4EC850C4"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67832AE8" w14:textId="77777777" w:rsidTr="00CC56AD">
        <w:tc>
          <w:tcPr>
            <w:tcW w:w="5000" w:type="pct"/>
            <w:gridSpan w:val="9"/>
            <w:shd w:val="clear" w:color="auto" w:fill="DBDBDB" w:themeFill="accent3" w:themeFillTint="66"/>
          </w:tcPr>
          <w:p w14:paraId="2BA802E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 Beliefs about perinatal mental illness</w:t>
            </w:r>
          </w:p>
        </w:tc>
      </w:tr>
      <w:tr w:rsidR="00F26AE4" w:rsidRPr="00265687" w14:paraId="0236CFC0" w14:textId="77777777" w:rsidTr="00CC56AD">
        <w:tc>
          <w:tcPr>
            <w:tcW w:w="5000" w:type="pct"/>
            <w:gridSpan w:val="9"/>
            <w:shd w:val="clear" w:color="auto" w:fill="EDEDED" w:themeFill="accent3" w:themeFillTint="33"/>
          </w:tcPr>
          <w:p w14:paraId="2E11F6D3"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1.3.1 What is it?</w:t>
            </w:r>
          </w:p>
        </w:tc>
      </w:tr>
      <w:tr w:rsidR="00F26AE4" w:rsidRPr="00265687" w14:paraId="53249D92" w14:textId="77777777" w:rsidTr="00CC56AD">
        <w:tc>
          <w:tcPr>
            <w:tcW w:w="738" w:type="pct"/>
          </w:tcPr>
          <w:p w14:paraId="0BCCBD1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1.3.1.1 What is perinatal mental illness?</w:t>
            </w:r>
          </w:p>
        </w:tc>
        <w:tc>
          <w:tcPr>
            <w:tcW w:w="787" w:type="pct"/>
          </w:tcPr>
          <w:p w14:paraId="487EC1A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Having poor or no knowledge about PMI</w:t>
            </w:r>
          </w:p>
        </w:tc>
        <w:tc>
          <w:tcPr>
            <w:tcW w:w="960" w:type="pct"/>
          </w:tcPr>
          <w:p w14:paraId="41D7C0CE"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Atif et al., 2019; Kerker et al., 2018</w:t>
            </w:r>
          </w:p>
          <w:p w14:paraId="0D0C82A5"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 xml:space="preserve">Bina, 2020; Button et al., 2017; Dennis &amp; Chung-Lee, 2006; Hadfield &amp; Wittkowski, 2017; Hansotte et al., 2017; A. Jones, 2019; Lucas et al., 2019; Megnin-Viggars et al., 2015; Morrell et al., 2016; Newman et al., 2019; Sambrook Smith et al., 2019; Schmied et al., 2017; Scope et al., </w:t>
            </w:r>
            <w:r w:rsidRPr="00265687">
              <w:rPr>
                <w:rFonts w:ascii="Times New Roman" w:hAnsi="Times New Roman" w:cs="Times New Roman"/>
                <w:sz w:val="16"/>
              </w:rPr>
              <w:lastRenderedPageBreak/>
              <w:t>2017; Staneva et al., 2015; Tobin et al., 2018; Watson et al., 2019</w:t>
            </w:r>
          </w:p>
        </w:tc>
        <w:tc>
          <w:tcPr>
            <w:tcW w:w="160" w:type="pct"/>
          </w:tcPr>
          <w:p w14:paraId="33FCA55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18</w:t>
            </w:r>
          </w:p>
        </w:tc>
        <w:tc>
          <w:tcPr>
            <w:tcW w:w="581" w:type="pct"/>
          </w:tcPr>
          <w:p w14:paraId="7E5F0929" w14:textId="0D0AD7BD" w:rsidR="00F26AE4" w:rsidRPr="00265687" w:rsidRDefault="0039698A"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w:t>
            </w:r>
            <w:r w:rsidR="00F26AE4" w:rsidRPr="00265687">
              <w:rPr>
                <w:rFonts w:ascii="Times New Roman" w:hAnsi="Times New Roman" w:cs="Times New Roman"/>
                <w:sz w:val="16"/>
                <w:szCs w:val="16"/>
              </w:rPr>
              <w:t xml:space="preserve"> confidence</w:t>
            </w:r>
          </w:p>
        </w:tc>
        <w:tc>
          <w:tcPr>
            <w:tcW w:w="470" w:type="pct"/>
          </w:tcPr>
          <w:p w14:paraId="1EEF69F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61C0531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2A405B9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02069F94"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16F69B6F" w14:textId="77777777" w:rsidTr="00CC56AD">
        <w:tc>
          <w:tcPr>
            <w:tcW w:w="738" w:type="pct"/>
          </w:tcPr>
          <w:p w14:paraId="3EBDDBB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1.3.1.2 No language to describe perinatal mental illness</w:t>
            </w:r>
          </w:p>
        </w:tc>
        <w:tc>
          <w:tcPr>
            <w:tcW w:w="787" w:type="pct"/>
          </w:tcPr>
          <w:p w14:paraId="14A28E4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Not having the language to describe PMI</w:t>
            </w:r>
          </w:p>
        </w:tc>
        <w:tc>
          <w:tcPr>
            <w:tcW w:w="960" w:type="pct"/>
          </w:tcPr>
          <w:p w14:paraId="3B397710" w14:textId="77777777" w:rsidR="00F26AE4" w:rsidRPr="00265687" w:rsidRDefault="00F26AE4" w:rsidP="00BE7DC4">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Bina et al., 2018</w:t>
            </w:r>
            <w:r w:rsidRPr="00265687">
              <w:rPr>
                <w:rFonts w:ascii="Times New Roman" w:hAnsi="Times New Roman" w:cs="Times New Roman"/>
                <w:i/>
                <w:sz w:val="16"/>
                <w:szCs w:val="16"/>
              </w:rPr>
              <w:t xml:space="preserve"> </w:t>
            </w:r>
          </w:p>
          <w:p w14:paraId="269973E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Brealey et al., 2010; Staneva et al., 2015; Tobin et al., 2018; Watson et al., 2019</w:t>
            </w:r>
          </w:p>
        </w:tc>
        <w:tc>
          <w:tcPr>
            <w:tcW w:w="160" w:type="pct"/>
          </w:tcPr>
          <w:p w14:paraId="680075F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w:t>
            </w:r>
          </w:p>
        </w:tc>
        <w:tc>
          <w:tcPr>
            <w:tcW w:w="581" w:type="pct"/>
          </w:tcPr>
          <w:p w14:paraId="74BAEAD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41CFE69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5FCEEAF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20195FC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Moderate confidence </w:t>
            </w:r>
          </w:p>
        </w:tc>
        <w:tc>
          <w:tcPr>
            <w:tcW w:w="437" w:type="pct"/>
          </w:tcPr>
          <w:p w14:paraId="087BF87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0ED6033F" w14:textId="77777777" w:rsidTr="00CC56AD">
        <w:tc>
          <w:tcPr>
            <w:tcW w:w="5000" w:type="pct"/>
            <w:gridSpan w:val="9"/>
            <w:shd w:val="clear" w:color="auto" w:fill="EDEDED" w:themeFill="accent3" w:themeFillTint="33"/>
          </w:tcPr>
          <w:p w14:paraId="0DB5B463"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1.3.2 Causes of perinatal mental illness</w:t>
            </w:r>
          </w:p>
        </w:tc>
      </w:tr>
      <w:tr w:rsidR="00F26AE4" w:rsidRPr="00265687" w14:paraId="273EE349" w14:textId="77777777" w:rsidTr="00CC56AD">
        <w:tc>
          <w:tcPr>
            <w:tcW w:w="738" w:type="pct"/>
          </w:tcPr>
          <w:p w14:paraId="4347541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1.3.2.1 Spiritual/cultural causes</w:t>
            </w:r>
          </w:p>
        </w:tc>
        <w:tc>
          <w:tcPr>
            <w:tcW w:w="787" w:type="pct"/>
          </w:tcPr>
          <w:p w14:paraId="2271C5C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Believing that symptoms are caused by cultural or spiritual factors </w:t>
            </w:r>
          </w:p>
        </w:tc>
        <w:tc>
          <w:tcPr>
            <w:tcW w:w="960" w:type="pct"/>
          </w:tcPr>
          <w:p w14:paraId="01BD51D1" w14:textId="77777777" w:rsidR="00F26AE4" w:rsidRPr="00265687" w:rsidRDefault="00F26AE4" w:rsidP="00BE7DC4">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Atif et al., 2016; McCauley et al., 2019; Nakku et al., 2016</w:t>
            </w:r>
          </w:p>
          <w:p w14:paraId="56F86F5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Button et al., 2017; Schmied et al., 2017; Wittkowski et al., 2014</w:t>
            </w:r>
          </w:p>
        </w:tc>
        <w:tc>
          <w:tcPr>
            <w:tcW w:w="160" w:type="pct"/>
          </w:tcPr>
          <w:p w14:paraId="13D3D06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1" w:type="pct"/>
          </w:tcPr>
          <w:p w14:paraId="3FEE8C3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3D868F9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E3FA41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1A86F97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471C644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53A7DA3" w14:textId="77777777" w:rsidTr="00CC56AD">
        <w:tc>
          <w:tcPr>
            <w:tcW w:w="738" w:type="pct"/>
          </w:tcPr>
          <w:p w14:paraId="32A240E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1.3.2.2 External causes</w:t>
            </w:r>
          </w:p>
        </w:tc>
        <w:tc>
          <w:tcPr>
            <w:tcW w:w="787" w:type="pct"/>
          </w:tcPr>
          <w:p w14:paraId="15A0F8D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that symptoms are caused by external factors such as jobs, being a migrant</w:t>
            </w:r>
          </w:p>
        </w:tc>
        <w:tc>
          <w:tcPr>
            <w:tcW w:w="960" w:type="pct"/>
          </w:tcPr>
          <w:p w14:paraId="5B784EC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Lucas et al., 2019; Schmied et al., 2017; Staneva et al., 2015; Tobin et al., 2018; Watson et al., 2019</w:t>
            </w:r>
          </w:p>
        </w:tc>
        <w:tc>
          <w:tcPr>
            <w:tcW w:w="160" w:type="pct"/>
          </w:tcPr>
          <w:p w14:paraId="3172812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1" w:type="pct"/>
          </w:tcPr>
          <w:p w14:paraId="10D2A29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7BB475B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5515A94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B0CE07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780CFC5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368A8BE7" w14:textId="77777777" w:rsidTr="00CC56AD">
        <w:tc>
          <w:tcPr>
            <w:tcW w:w="738" w:type="pct"/>
          </w:tcPr>
          <w:p w14:paraId="4FF2A7D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1.3.2.3 Physical causes</w:t>
            </w:r>
          </w:p>
        </w:tc>
        <w:tc>
          <w:tcPr>
            <w:tcW w:w="787" w:type="pct"/>
          </w:tcPr>
          <w:p w14:paraId="2B1CA8F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that symptoms are caused by physical factors such as tiredness and hormones</w:t>
            </w:r>
          </w:p>
        </w:tc>
        <w:tc>
          <w:tcPr>
            <w:tcW w:w="960" w:type="pct"/>
          </w:tcPr>
          <w:p w14:paraId="058B9DE6"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O’Mahen &amp; Flynn, 2008</w:t>
            </w:r>
          </w:p>
          <w:p w14:paraId="5835259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Forde et al., 2020; C. C. G. Jones et al., 2014; Newman et al., 2019; Sambrook Smith et al., 2019; Schmied et al., 2017; Staneva et al., 2015; Watson et al., 2019</w:t>
            </w:r>
          </w:p>
        </w:tc>
        <w:tc>
          <w:tcPr>
            <w:tcW w:w="160" w:type="pct"/>
          </w:tcPr>
          <w:p w14:paraId="09EF218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w:t>
            </w:r>
          </w:p>
        </w:tc>
        <w:tc>
          <w:tcPr>
            <w:tcW w:w="581" w:type="pct"/>
          </w:tcPr>
          <w:p w14:paraId="35E67A4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65ED089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5170A303" w14:textId="53F05951" w:rsidR="00F26AE4" w:rsidRPr="00265687" w:rsidRDefault="00C40329"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Moderate </w:t>
            </w:r>
            <w:r w:rsidR="00F26AE4" w:rsidRPr="00265687">
              <w:rPr>
                <w:rFonts w:ascii="Times New Roman" w:hAnsi="Times New Roman" w:cs="Times New Roman"/>
                <w:sz w:val="16"/>
                <w:szCs w:val="16"/>
              </w:rPr>
              <w:t>confidence</w:t>
            </w:r>
          </w:p>
        </w:tc>
        <w:tc>
          <w:tcPr>
            <w:tcW w:w="436" w:type="pct"/>
          </w:tcPr>
          <w:p w14:paraId="692A8F7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20CEBF3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60A55BD6" w14:textId="77777777" w:rsidTr="00CC56AD">
        <w:tc>
          <w:tcPr>
            <w:tcW w:w="738" w:type="pct"/>
          </w:tcPr>
          <w:p w14:paraId="7C25FE7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1.3.2.4 A normal response to motherhood?</w:t>
            </w:r>
          </w:p>
        </w:tc>
        <w:tc>
          <w:tcPr>
            <w:tcW w:w="787" w:type="pct"/>
          </w:tcPr>
          <w:p w14:paraId="58A054D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Believing symptoms are just a normal response to motherhood</w:t>
            </w:r>
          </w:p>
        </w:tc>
        <w:tc>
          <w:tcPr>
            <w:tcW w:w="960" w:type="pct"/>
          </w:tcPr>
          <w:p w14:paraId="19E32003"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Williams et al., 2016</w:t>
            </w:r>
            <w:r w:rsidRPr="00265687">
              <w:rPr>
                <w:rFonts w:ascii="Times New Roman" w:hAnsi="Times New Roman" w:cs="Times New Roman"/>
                <w:i/>
                <w:iCs/>
                <w:sz w:val="16"/>
                <w:szCs w:val="16"/>
              </w:rPr>
              <w:t xml:space="preserve"> </w:t>
            </w:r>
          </w:p>
          <w:p w14:paraId="394FC22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Giscombe et al., 2020; Jones et al., 2014; Sambrook Smith et al., 2019; Schmied et al., 2017; Slade et al., 2020; Sorsa et al., 2021; Viveiros &amp; Darling, 2018</w:t>
            </w:r>
          </w:p>
        </w:tc>
        <w:tc>
          <w:tcPr>
            <w:tcW w:w="160" w:type="pct"/>
          </w:tcPr>
          <w:p w14:paraId="43D7E1F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1" w:type="pct"/>
          </w:tcPr>
          <w:p w14:paraId="4C051A2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7AC9E87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2EE81F4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1A05D9C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6D7FF34A"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024E214D" w14:textId="77777777" w:rsidTr="00CC56AD">
        <w:tc>
          <w:tcPr>
            <w:tcW w:w="5000" w:type="pct"/>
            <w:gridSpan w:val="9"/>
            <w:shd w:val="clear" w:color="auto" w:fill="EDEDED" w:themeFill="accent3" w:themeFillTint="33"/>
          </w:tcPr>
          <w:p w14:paraId="42C1079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1.3.3 How to cope with symptoms</w:t>
            </w:r>
          </w:p>
        </w:tc>
      </w:tr>
      <w:tr w:rsidR="00F26AE4" w:rsidRPr="00265687" w14:paraId="561B6F6F" w14:textId="77777777" w:rsidTr="00CC56AD">
        <w:tc>
          <w:tcPr>
            <w:tcW w:w="738" w:type="pct"/>
          </w:tcPr>
          <w:p w14:paraId="0A6045D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1.3.3.1 Ignore them</w:t>
            </w:r>
          </w:p>
        </w:tc>
        <w:tc>
          <w:tcPr>
            <w:tcW w:w="787" w:type="pct"/>
          </w:tcPr>
          <w:p w14:paraId="2A640BC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Women many deal with symptoms by ignoring them and assuming they will go away on their own</w:t>
            </w:r>
          </w:p>
        </w:tc>
        <w:tc>
          <w:tcPr>
            <w:tcW w:w="960" w:type="pct"/>
          </w:tcPr>
          <w:p w14:paraId="5B254E8A"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Bina, 2020; Hadfield &amp; Wittkowski, 2017; Jones et al., 2014; Newman et al., 2019; Schmied et al., 2017; Slade et al., 2020</w:t>
            </w:r>
          </w:p>
        </w:tc>
        <w:tc>
          <w:tcPr>
            <w:tcW w:w="160" w:type="pct"/>
          </w:tcPr>
          <w:p w14:paraId="4142F2F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1" w:type="pct"/>
          </w:tcPr>
          <w:p w14:paraId="4070B6D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3F2240C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201BC56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647088E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4C403419"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3334DFBB" w14:textId="77777777" w:rsidTr="00CC56AD">
        <w:tc>
          <w:tcPr>
            <w:tcW w:w="738" w:type="pct"/>
          </w:tcPr>
          <w:p w14:paraId="758ED2A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1.3.3.2 Seek spiritual guidance</w:t>
            </w:r>
          </w:p>
        </w:tc>
        <w:tc>
          <w:tcPr>
            <w:tcW w:w="787" w:type="pct"/>
          </w:tcPr>
          <w:p w14:paraId="033569D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Women may cope with symptoms by seeking spiritual guidance</w:t>
            </w:r>
          </w:p>
        </w:tc>
        <w:tc>
          <w:tcPr>
            <w:tcW w:w="960" w:type="pct"/>
          </w:tcPr>
          <w:p w14:paraId="332AA7CA"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Hansotte et al., 2017; Kassam, 2019; Schmied et al., 2017; Watson et al., 2019</w:t>
            </w:r>
          </w:p>
        </w:tc>
        <w:tc>
          <w:tcPr>
            <w:tcW w:w="160" w:type="pct"/>
          </w:tcPr>
          <w:p w14:paraId="0673B0D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1" w:type="pct"/>
          </w:tcPr>
          <w:p w14:paraId="1F53613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CC5A7F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25CA7E6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6460526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5E45B4C5"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71DDDB4F" w14:textId="77777777" w:rsidTr="00CC56AD">
        <w:tc>
          <w:tcPr>
            <w:tcW w:w="738" w:type="pct"/>
          </w:tcPr>
          <w:p w14:paraId="0E77CD9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1.3.3.3 Minimise them</w:t>
            </w:r>
          </w:p>
        </w:tc>
        <w:tc>
          <w:tcPr>
            <w:tcW w:w="787" w:type="pct"/>
          </w:tcPr>
          <w:p w14:paraId="25161C3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Women may minimise or deny their symptoms</w:t>
            </w:r>
          </w:p>
        </w:tc>
        <w:tc>
          <w:tcPr>
            <w:tcW w:w="960" w:type="pct"/>
          </w:tcPr>
          <w:p w14:paraId="5C44B947"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Shakespeare et al., 2003</w:t>
            </w:r>
          </w:p>
          <w:p w14:paraId="5384B015"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 xml:space="preserve">Bina, 2020; Dennis &amp; Chung-Lee, 2006; Forde et al., 2020; Hewitt et al., 2009; Holopainen &amp; Hakulinen, 2019; Jones et al., 2014; Kassam, </w:t>
            </w:r>
            <w:r w:rsidRPr="00265687">
              <w:rPr>
                <w:rFonts w:ascii="Times New Roman" w:hAnsi="Times New Roman" w:cs="Times New Roman"/>
                <w:sz w:val="16"/>
              </w:rPr>
              <w:lastRenderedPageBreak/>
              <w:t>2019; Megnin-Viggars et al., 2015; Schmied et al., 2017; Slade et al., 2020; Staneva et al., 2015; Tobin et al., 2018; Watson et al., 2019</w:t>
            </w:r>
          </w:p>
        </w:tc>
        <w:tc>
          <w:tcPr>
            <w:tcW w:w="160" w:type="pct"/>
          </w:tcPr>
          <w:p w14:paraId="246406E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14</w:t>
            </w:r>
          </w:p>
        </w:tc>
        <w:tc>
          <w:tcPr>
            <w:tcW w:w="581" w:type="pct"/>
          </w:tcPr>
          <w:p w14:paraId="2C6A57C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6B6A1E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276CB86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10EB6A2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325494D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353E95B0" w14:textId="77777777" w:rsidTr="00CC56AD">
        <w:tc>
          <w:tcPr>
            <w:tcW w:w="5000" w:type="pct"/>
            <w:gridSpan w:val="9"/>
            <w:shd w:val="clear" w:color="auto" w:fill="DBDBDB" w:themeFill="accent3" w:themeFillTint="66"/>
          </w:tcPr>
          <w:p w14:paraId="6733472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1.4 Deciding to seek help</w:t>
            </w:r>
          </w:p>
        </w:tc>
      </w:tr>
      <w:tr w:rsidR="00F26AE4" w:rsidRPr="00265687" w14:paraId="4B3A5FF9" w14:textId="77777777" w:rsidTr="00CC56AD">
        <w:tc>
          <w:tcPr>
            <w:tcW w:w="738" w:type="pct"/>
          </w:tcPr>
          <w:p w14:paraId="3D0162F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1.4.1 Recognising something is wrong</w:t>
            </w:r>
          </w:p>
        </w:tc>
        <w:tc>
          <w:tcPr>
            <w:tcW w:w="787" w:type="pct"/>
          </w:tcPr>
          <w:p w14:paraId="793DA7D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first step to seeking help for many women, was recognising that something is "wrong"</w:t>
            </w:r>
          </w:p>
        </w:tc>
        <w:tc>
          <w:tcPr>
            <w:tcW w:w="960" w:type="pct"/>
          </w:tcPr>
          <w:p w14:paraId="4D5DD43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Forde et al., 2020; Hadfield &amp; Wittkowski, 2017; Slade et al., 2020; Staneva et al., 2015; Viveiros &amp; Darling, 2018</w:t>
            </w:r>
          </w:p>
        </w:tc>
        <w:tc>
          <w:tcPr>
            <w:tcW w:w="160" w:type="pct"/>
          </w:tcPr>
          <w:p w14:paraId="23A29FB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1" w:type="pct"/>
          </w:tcPr>
          <w:p w14:paraId="30D6EF2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40A073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68806E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0B7E581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0906215B"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753A5F6C" w14:textId="77777777" w:rsidTr="00CC56AD">
        <w:tc>
          <w:tcPr>
            <w:tcW w:w="738" w:type="pct"/>
          </w:tcPr>
          <w:p w14:paraId="1980AAF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1.4.2 Where do I go to seek help?</w:t>
            </w:r>
          </w:p>
        </w:tc>
        <w:tc>
          <w:tcPr>
            <w:tcW w:w="787" w:type="pct"/>
          </w:tcPr>
          <w:p w14:paraId="782BF24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next step to help seeking is then understanding where to go in order to seek help</w:t>
            </w:r>
          </w:p>
        </w:tc>
        <w:tc>
          <w:tcPr>
            <w:tcW w:w="960" w:type="pct"/>
          </w:tcPr>
          <w:p w14:paraId="48FAE6EF" w14:textId="77777777" w:rsidR="00F26AE4" w:rsidRPr="00265687" w:rsidRDefault="00F26AE4" w:rsidP="00BE7DC4">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Ganann et al., 2019</w:t>
            </w:r>
          </w:p>
          <w:p w14:paraId="5C7A47F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iCs/>
                <w:noProof/>
                <w:sz w:val="16"/>
                <w:szCs w:val="16"/>
              </w:rPr>
              <w:t>Bina, 2020; Dennis &amp; Chung-Lee, 2006; Hansotte et al., 2017; Megnin-Viggars et al., 2015; Schmied et al., 2017; Sorsa et al., 2021; Tobin et al., 2018</w:t>
            </w:r>
          </w:p>
        </w:tc>
        <w:tc>
          <w:tcPr>
            <w:tcW w:w="160" w:type="pct"/>
          </w:tcPr>
          <w:p w14:paraId="5A27090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1" w:type="pct"/>
          </w:tcPr>
          <w:p w14:paraId="2692EE0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6DC3104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6F5496C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1B28936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7EAAB04C"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4D58C80E" w14:textId="77777777" w:rsidTr="00CC56AD">
        <w:tc>
          <w:tcPr>
            <w:tcW w:w="5000" w:type="pct"/>
            <w:gridSpan w:val="9"/>
            <w:shd w:val="clear" w:color="auto" w:fill="DBDBDB" w:themeFill="accent3" w:themeFillTint="66"/>
          </w:tcPr>
          <w:p w14:paraId="5B6BB05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1.5 Fear of judgement</w:t>
            </w:r>
          </w:p>
        </w:tc>
      </w:tr>
      <w:tr w:rsidR="00F26AE4" w:rsidRPr="00265687" w14:paraId="2D6C7DF3" w14:textId="77777777" w:rsidTr="00CC56AD">
        <w:tc>
          <w:tcPr>
            <w:tcW w:w="738" w:type="pct"/>
          </w:tcPr>
          <w:p w14:paraId="61FFA1B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1.5.1 Fear of being seen as a bad mum</w:t>
            </w:r>
          </w:p>
        </w:tc>
        <w:tc>
          <w:tcPr>
            <w:tcW w:w="787" w:type="pct"/>
          </w:tcPr>
          <w:p w14:paraId="26ECDC0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Fear of being judged and being seen as a bad mother </w:t>
            </w:r>
          </w:p>
        </w:tc>
        <w:tc>
          <w:tcPr>
            <w:tcW w:w="960" w:type="pct"/>
          </w:tcPr>
          <w:p w14:paraId="67C0CE01" w14:textId="77777777" w:rsidR="00F26AE4" w:rsidRPr="00265687" w:rsidRDefault="00F26AE4" w:rsidP="00BE7DC4">
            <w:pPr>
              <w:spacing w:line="240" w:lineRule="auto"/>
              <w:ind w:firstLine="0"/>
              <w:rPr>
                <w:rFonts w:ascii="Times New Roman" w:hAnsi="Times New Roman" w:cs="Times New Roman"/>
                <w:i/>
                <w:sz w:val="16"/>
                <w:lang w:val="es-ES"/>
              </w:rPr>
            </w:pPr>
            <w:r w:rsidRPr="00265687">
              <w:rPr>
                <w:rFonts w:ascii="Times New Roman" w:hAnsi="Times New Roman" w:cs="Times New Roman"/>
                <w:sz w:val="16"/>
                <w:lang w:val="es-ES"/>
              </w:rPr>
              <w:t>Bina, 2020; Brealey et al., 2010; Button et al., 2017; Forde et al., 2020; Jones et al., 2014; Lucas et al., 2019; Slade et al., 2020; Sorsa et al., 2021; Viveiros &amp; Darling, 2018</w:t>
            </w:r>
          </w:p>
        </w:tc>
        <w:tc>
          <w:tcPr>
            <w:tcW w:w="160" w:type="pct"/>
          </w:tcPr>
          <w:p w14:paraId="6AABECA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1" w:type="pct"/>
          </w:tcPr>
          <w:p w14:paraId="60A3B3C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033436E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052B077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5EC97DD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72EDF21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0FF729D3" w14:textId="77777777" w:rsidTr="00CC56AD">
        <w:tc>
          <w:tcPr>
            <w:tcW w:w="738" w:type="pct"/>
          </w:tcPr>
          <w:p w14:paraId="36288BD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1.5.2 Social services/ removal of child</w:t>
            </w:r>
          </w:p>
        </w:tc>
        <w:tc>
          <w:tcPr>
            <w:tcW w:w="787" w:type="pct"/>
          </w:tcPr>
          <w:p w14:paraId="4C89E2F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Fear of social services involvement or their child being removed from their care</w:t>
            </w:r>
          </w:p>
        </w:tc>
        <w:tc>
          <w:tcPr>
            <w:tcW w:w="960" w:type="pct"/>
          </w:tcPr>
          <w:p w14:paraId="60D5F7F9"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Boyd et al., 2011; Feinberg et al., 2006; Shakespeare et al., 2003; Young et al., 2019</w:t>
            </w:r>
          </w:p>
          <w:p w14:paraId="0B96F329"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Bina, 2020; Brealey et al., 2010; Button et al., 2017; Dennis &amp; Chung-Lee, 2006; Evans et al., 2020; Forde et al., 2020; Hadfield &amp; Wittkowski, 2017; Hewitt et al., 2009; A. Jones, 2019; Megnin-Viggars et al., 2015; Newman et al., 2019; Tobin et al., 2018; Watson et al., 2019</w:t>
            </w:r>
          </w:p>
          <w:p w14:paraId="38FB2E5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172E375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1" w:type="pct"/>
          </w:tcPr>
          <w:p w14:paraId="630D0B9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682B90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6000660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0A58093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6E676769"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2669CD26" w14:textId="77777777" w:rsidTr="00CC56AD">
        <w:tc>
          <w:tcPr>
            <w:tcW w:w="5000" w:type="pct"/>
            <w:gridSpan w:val="9"/>
            <w:shd w:val="clear" w:color="auto" w:fill="DBDBDB" w:themeFill="accent3" w:themeFillTint="66"/>
          </w:tcPr>
          <w:p w14:paraId="180C2EB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1.6 Logistics of accessing perinatal mental health care</w:t>
            </w:r>
          </w:p>
        </w:tc>
      </w:tr>
      <w:tr w:rsidR="00F26AE4" w:rsidRPr="00265687" w14:paraId="64C5486D" w14:textId="77777777" w:rsidTr="00CC56AD">
        <w:tc>
          <w:tcPr>
            <w:tcW w:w="738" w:type="pct"/>
          </w:tcPr>
          <w:p w14:paraId="43EFDF0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1.6.1 Childcare</w:t>
            </w:r>
          </w:p>
        </w:tc>
        <w:tc>
          <w:tcPr>
            <w:tcW w:w="787" w:type="pct"/>
          </w:tcPr>
          <w:p w14:paraId="644C008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Lack of childcare as a barrier to PMH Care</w:t>
            </w:r>
          </w:p>
        </w:tc>
        <w:tc>
          <w:tcPr>
            <w:tcW w:w="960" w:type="pct"/>
          </w:tcPr>
          <w:p w14:paraId="52BD5E50" w14:textId="77777777" w:rsidR="00F26AE4" w:rsidRPr="00265687" w:rsidRDefault="00F26AE4" w:rsidP="00BE7DC4">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Boyd et al., 2011; Cox et al., 2017; Doering et al., 2017; Friedman et al., 2010</w:t>
            </w:r>
          </w:p>
          <w:p w14:paraId="45D7F50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Hansotte et al., 2017; Morrell et al., 2016; Newman et al., 2019; Sambrook Smith et al., 2019; Scope et al., 2017; Watson et al., 2019</w:t>
            </w:r>
          </w:p>
        </w:tc>
        <w:tc>
          <w:tcPr>
            <w:tcW w:w="160" w:type="pct"/>
          </w:tcPr>
          <w:p w14:paraId="08E0292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1" w:type="pct"/>
          </w:tcPr>
          <w:p w14:paraId="1A983ABA" w14:textId="2C745088" w:rsidR="00F26AE4" w:rsidRPr="00265687" w:rsidRDefault="007521C6"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5D11BE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0CD2628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7E1B49A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77E69A95"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6D8008C4" w14:textId="77777777" w:rsidTr="00CC56AD">
        <w:tc>
          <w:tcPr>
            <w:tcW w:w="738" w:type="pct"/>
          </w:tcPr>
          <w:p w14:paraId="7F78790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1.6.2 Timing of care</w:t>
            </w:r>
          </w:p>
        </w:tc>
        <w:tc>
          <w:tcPr>
            <w:tcW w:w="787" w:type="pct"/>
          </w:tcPr>
          <w:p w14:paraId="4BC6FB6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Timing of appointments and services offered</w:t>
            </w:r>
          </w:p>
        </w:tc>
        <w:tc>
          <w:tcPr>
            <w:tcW w:w="960" w:type="pct"/>
          </w:tcPr>
          <w:p w14:paraId="2BA832FB"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 xml:space="preserve">Atif et al., 2019; Friedman et al., 2010 </w:t>
            </w:r>
          </w:p>
          <w:p w14:paraId="6EB88B5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Dennis &amp; Chung-Lee, 2006; Newman et al., 2019; Scope et al., 2017; Watson et al., 2019</w:t>
            </w:r>
          </w:p>
        </w:tc>
        <w:tc>
          <w:tcPr>
            <w:tcW w:w="160" w:type="pct"/>
          </w:tcPr>
          <w:p w14:paraId="38C77A3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1" w:type="pct"/>
          </w:tcPr>
          <w:p w14:paraId="57A8DE42" w14:textId="4C3B3F04" w:rsidR="00F26AE4" w:rsidRPr="00265687" w:rsidRDefault="00257DD3"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w:t>
            </w:r>
            <w:r w:rsidR="00F26AE4" w:rsidRPr="00265687">
              <w:rPr>
                <w:rFonts w:ascii="Times New Roman" w:hAnsi="Times New Roman" w:cs="Times New Roman"/>
                <w:sz w:val="16"/>
                <w:szCs w:val="16"/>
              </w:rPr>
              <w:t xml:space="preserve"> confidence</w:t>
            </w:r>
          </w:p>
        </w:tc>
        <w:tc>
          <w:tcPr>
            <w:tcW w:w="470" w:type="pct"/>
          </w:tcPr>
          <w:p w14:paraId="046365F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744C76D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47837C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03018CB7"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268FE324" w14:textId="77777777" w:rsidTr="00CC56AD">
        <w:tc>
          <w:tcPr>
            <w:tcW w:w="738" w:type="pct"/>
          </w:tcPr>
          <w:p w14:paraId="63DD419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1.6.3 Location/ travel</w:t>
            </w:r>
          </w:p>
        </w:tc>
        <w:tc>
          <w:tcPr>
            <w:tcW w:w="787" w:type="pct"/>
          </w:tcPr>
          <w:p w14:paraId="3A29138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Location of services or travel costs to get to services</w:t>
            </w:r>
          </w:p>
        </w:tc>
        <w:tc>
          <w:tcPr>
            <w:tcW w:w="960" w:type="pct"/>
          </w:tcPr>
          <w:p w14:paraId="54DF9A5B"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 xml:space="preserve">Cox et al., 2017; Doering et al., 2017; Eappen et al., 2018; Friedman et al., 2010; Masood et al., 2015; Nakku et al., 2016 </w:t>
            </w:r>
          </w:p>
          <w:p w14:paraId="21316D40"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Bina, 2020; Hansotte et al., 2017; Mollard et al., 2016; Morrell et al., 2016; Newman et al., 2019; Tobin et al., 2018; Watson et al., 2019</w:t>
            </w:r>
          </w:p>
        </w:tc>
        <w:tc>
          <w:tcPr>
            <w:tcW w:w="160" w:type="pct"/>
          </w:tcPr>
          <w:p w14:paraId="0039021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w:t>
            </w:r>
          </w:p>
        </w:tc>
        <w:tc>
          <w:tcPr>
            <w:tcW w:w="581" w:type="pct"/>
          </w:tcPr>
          <w:p w14:paraId="261153D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1CB31A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B3BEEB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7542AF2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1A46BB65"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01618EE8" w14:textId="77777777" w:rsidTr="00CC56AD">
        <w:tc>
          <w:tcPr>
            <w:tcW w:w="5000" w:type="pct"/>
            <w:gridSpan w:val="9"/>
            <w:shd w:val="clear" w:color="auto" w:fill="DBDBDB" w:themeFill="accent3" w:themeFillTint="66"/>
          </w:tcPr>
          <w:p w14:paraId="7909A08F"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1.7 Social and family life</w:t>
            </w:r>
          </w:p>
        </w:tc>
      </w:tr>
      <w:tr w:rsidR="00F26AE4" w:rsidRPr="00265687" w14:paraId="40D17FC0" w14:textId="77777777" w:rsidTr="00CC56AD">
        <w:tc>
          <w:tcPr>
            <w:tcW w:w="738" w:type="pct"/>
          </w:tcPr>
          <w:p w14:paraId="16B3FEA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1.7.1 Social isolation or support</w:t>
            </w:r>
          </w:p>
        </w:tc>
        <w:tc>
          <w:tcPr>
            <w:tcW w:w="787" w:type="pct"/>
          </w:tcPr>
          <w:p w14:paraId="123BF74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experiences of social support or social isolation</w:t>
            </w:r>
          </w:p>
        </w:tc>
        <w:tc>
          <w:tcPr>
            <w:tcW w:w="960" w:type="pct"/>
          </w:tcPr>
          <w:p w14:paraId="218A11C9" w14:textId="77777777" w:rsidR="00F26AE4" w:rsidRPr="00265687" w:rsidRDefault="00F26AE4" w:rsidP="00BE7DC4">
            <w:pPr>
              <w:spacing w:line="240" w:lineRule="auto"/>
              <w:ind w:firstLine="0"/>
              <w:rPr>
                <w:rFonts w:ascii="Times New Roman" w:hAnsi="Times New Roman" w:cs="Times New Roman"/>
                <w:sz w:val="16"/>
                <w:lang w:val="es-ES"/>
              </w:rPr>
            </w:pPr>
            <w:r w:rsidRPr="00265687">
              <w:rPr>
                <w:rFonts w:ascii="Times New Roman" w:hAnsi="Times New Roman" w:cs="Times New Roman"/>
                <w:sz w:val="16"/>
                <w:lang w:val="es-ES"/>
              </w:rPr>
              <w:t>Giscombe et al., 2020; Hansotte et al., 2017; A. Jones, 2019; C. Jones et al., 2014; Kassam, 2019; Lucas et al., 2019; Tobin et al., 2018; Viveiros &amp; Darling, 2018; Watson et al., 2019</w:t>
            </w:r>
          </w:p>
        </w:tc>
        <w:tc>
          <w:tcPr>
            <w:tcW w:w="160" w:type="pct"/>
          </w:tcPr>
          <w:p w14:paraId="48D9039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1" w:type="pct"/>
          </w:tcPr>
          <w:p w14:paraId="486B25C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519475A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4772F41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200A0CF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3C9F2815"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41B404F0" w14:textId="77777777" w:rsidTr="00CC56AD">
        <w:tc>
          <w:tcPr>
            <w:tcW w:w="738" w:type="pct"/>
          </w:tcPr>
          <w:p w14:paraId="401EC59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1.7.2 Family and friends’ beliefs</w:t>
            </w:r>
          </w:p>
        </w:tc>
        <w:tc>
          <w:tcPr>
            <w:tcW w:w="787" w:type="pct"/>
          </w:tcPr>
          <w:p w14:paraId="778EE75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family and friends’ beliefs about mental illness</w:t>
            </w:r>
          </w:p>
        </w:tc>
        <w:tc>
          <w:tcPr>
            <w:tcW w:w="960" w:type="pct"/>
          </w:tcPr>
          <w:p w14:paraId="404E5C0F"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Atif et al., 2016, 2019; Boyd et al., 2011; Doering et al., 2017; Ganann et al., 2019; Higgins et al., 2018; Masood et al., 2015; Nakku et al., 2016; Nithianandan et al., 2016; Noonan et al., 2018; O’Mahen &amp; Flynn, 2008; Pineros-Leano et al., 2015; Vik et al., 2009; Williams et al., 2016; Young et al., 2019</w:t>
            </w:r>
          </w:p>
          <w:p w14:paraId="192E88BD"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Bina, 2020; Button et al., 2017; Dennis &amp; Chung-Lee, 2006; Forde et al., 2020; Hadfield &amp; Wittkowski, 2017; Holopainen &amp; Hakulinen, 2019; A. Jones, 2019; Lucas et al., 2019; Nilaweera et al., 2014; Sambrook Smith et al., 2019; Schmied et al., 2017; Sorsa et al., 2021; Viveiros &amp; Darling, 2018; Watson et al., 2019</w:t>
            </w:r>
          </w:p>
        </w:tc>
        <w:tc>
          <w:tcPr>
            <w:tcW w:w="160" w:type="pct"/>
          </w:tcPr>
          <w:p w14:paraId="2940739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30</w:t>
            </w:r>
          </w:p>
        </w:tc>
        <w:tc>
          <w:tcPr>
            <w:tcW w:w="581" w:type="pct"/>
          </w:tcPr>
          <w:p w14:paraId="289FDCF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17EC0F6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5616991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BFBB83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42D6B394"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088C13B" w14:textId="77777777" w:rsidTr="00CC56AD">
        <w:tc>
          <w:tcPr>
            <w:tcW w:w="738" w:type="pct"/>
          </w:tcPr>
          <w:p w14:paraId="322E52A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1.7.3 Additional personal difficulties</w:t>
            </w:r>
          </w:p>
        </w:tc>
        <w:tc>
          <w:tcPr>
            <w:tcW w:w="787" w:type="pct"/>
          </w:tcPr>
          <w:p w14:paraId="362617A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Personal difficulties outside of PMH such as unemployment</w:t>
            </w:r>
          </w:p>
        </w:tc>
        <w:tc>
          <w:tcPr>
            <w:tcW w:w="960" w:type="pct"/>
          </w:tcPr>
          <w:p w14:paraId="6E673278"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Atif et al., 2016; Boyd et al., 2011; Kerker et al., 2018; Munodawafa et al., 2017; Rowan et al., 2010; Williams et al., 2016</w:t>
            </w:r>
          </w:p>
          <w:p w14:paraId="080811A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Hansotte et al., 2017</w:t>
            </w:r>
          </w:p>
        </w:tc>
        <w:tc>
          <w:tcPr>
            <w:tcW w:w="160" w:type="pct"/>
          </w:tcPr>
          <w:p w14:paraId="389997B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1" w:type="pct"/>
          </w:tcPr>
          <w:p w14:paraId="775E513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785DE5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4546907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F2103B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70985F3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71BD325" w14:textId="77777777" w:rsidTr="00CC56AD">
        <w:tc>
          <w:tcPr>
            <w:tcW w:w="5000" w:type="pct"/>
            <w:gridSpan w:val="9"/>
            <w:shd w:val="clear" w:color="auto" w:fill="DBDBDB" w:themeFill="accent3" w:themeFillTint="66"/>
          </w:tcPr>
          <w:p w14:paraId="3969B399"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1.8 Sociodemographic factors</w:t>
            </w:r>
          </w:p>
        </w:tc>
      </w:tr>
      <w:tr w:rsidR="00F26AE4" w:rsidRPr="00265687" w14:paraId="67A1D204" w14:textId="77777777" w:rsidTr="00CC56AD">
        <w:tc>
          <w:tcPr>
            <w:tcW w:w="738" w:type="pct"/>
          </w:tcPr>
          <w:p w14:paraId="717FEEC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1.8.1 Ethnicity</w:t>
            </w:r>
          </w:p>
        </w:tc>
        <w:tc>
          <w:tcPr>
            <w:tcW w:w="787" w:type="pct"/>
          </w:tcPr>
          <w:p w14:paraId="53F76AC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ethnicity</w:t>
            </w:r>
          </w:p>
        </w:tc>
        <w:tc>
          <w:tcPr>
            <w:tcW w:w="960" w:type="pct"/>
          </w:tcPr>
          <w:p w14:paraId="55C8607C"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Bina, 2020; Dennis &amp; Chung-Lee, 2006; Hansotte et al., 2017; Watson et al., 2019</w:t>
            </w:r>
          </w:p>
        </w:tc>
        <w:tc>
          <w:tcPr>
            <w:tcW w:w="160" w:type="pct"/>
          </w:tcPr>
          <w:p w14:paraId="032A491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1" w:type="pct"/>
          </w:tcPr>
          <w:p w14:paraId="0843D61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2D793A8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1EC7156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568D5FE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08A61C8C"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5A2DDB6B" w14:textId="77777777" w:rsidTr="00CC56AD">
        <w:tc>
          <w:tcPr>
            <w:tcW w:w="738" w:type="pct"/>
          </w:tcPr>
          <w:p w14:paraId="4602D54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1.8.2 Age</w:t>
            </w:r>
          </w:p>
        </w:tc>
        <w:tc>
          <w:tcPr>
            <w:tcW w:w="787" w:type="pct"/>
          </w:tcPr>
          <w:p w14:paraId="75BC8E8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Woman’s age</w:t>
            </w:r>
          </w:p>
        </w:tc>
        <w:tc>
          <w:tcPr>
            <w:tcW w:w="960" w:type="pct"/>
          </w:tcPr>
          <w:p w14:paraId="5DB4E8C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Hansotte et al., 2017</w:t>
            </w:r>
          </w:p>
        </w:tc>
        <w:tc>
          <w:tcPr>
            <w:tcW w:w="160" w:type="pct"/>
          </w:tcPr>
          <w:p w14:paraId="0052C70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02AA1BE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52FC536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3518049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75744C7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7" w:type="pct"/>
          </w:tcPr>
          <w:p w14:paraId="09A6AC54"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Very low confidence</w:t>
            </w:r>
          </w:p>
        </w:tc>
      </w:tr>
      <w:tr w:rsidR="00F26AE4" w:rsidRPr="00265687" w14:paraId="501DD408" w14:textId="77777777" w:rsidTr="00CC56AD">
        <w:tc>
          <w:tcPr>
            <w:tcW w:w="5000" w:type="pct"/>
            <w:gridSpan w:val="9"/>
            <w:shd w:val="clear" w:color="auto" w:fill="DBDBDB" w:themeFill="accent3" w:themeFillTint="66"/>
          </w:tcPr>
          <w:p w14:paraId="2C478DF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1.9 Mental health factors</w:t>
            </w:r>
          </w:p>
        </w:tc>
      </w:tr>
      <w:tr w:rsidR="00F26AE4" w:rsidRPr="00265687" w14:paraId="3F4AB8D4" w14:textId="77777777" w:rsidTr="00CC56AD">
        <w:tc>
          <w:tcPr>
            <w:tcW w:w="738" w:type="pct"/>
          </w:tcPr>
          <w:p w14:paraId="235C238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1.9.1 Previous experiences of mental health care</w:t>
            </w:r>
          </w:p>
        </w:tc>
        <w:tc>
          <w:tcPr>
            <w:tcW w:w="787" w:type="pct"/>
          </w:tcPr>
          <w:p w14:paraId="20CCC09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Previous experiences of mental health care</w:t>
            </w:r>
          </w:p>
        </w:tc>
        <w:tc>
          <w:tcPr>
            <w:tcW w:w="960" w:type="pct"/>
          </w:tcPr>
          <w:p w14:paraId="6A058865" w14:textId="77777777" w:rsidR="00F26AE4" w:rsidRPr="00265687" w:rsidRDefault="00F26AE4" w:rsidP="00BE7DC4">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O’Mahen &amp; Flynn, 2008</w:t>
            </w:r>
          </w:p>
          <w:p w14:paraId="714E6A3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Button et al., 2017; Evans et al., 2020; Hadfield &amp; Wittkowski, 2017; Hansotte et al., 2017; Watson et al., 2019</w:t>
            </w:r>
          </w:p>
        </w:tc>
        <w:tc>
          <w:tcPr>
            <w:tcW w:w="160" w:type="pct"/>
          </w:tcPr>
          <w:p w14:paraId="684DFD3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1" w:type="pct"/>
          </w:tcPr>
          <w:p w14:paraId="12F9538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205016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1513DD8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3627643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203C2B0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013C1E2D" w14:textId="77777777" w:rsidTr="00CC56AD">
        <w:tc>
          <w:tcPr>
            <w:tcW w:w="738" w:type="pct"/>
          </w:tcPr>
          <w:p w14:paraId="30A1735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1.9.2 Previous diagnoses or symptoms</w:t>
            </w:r>
          </w:p>
        </w:tc>
        <w:tc>
          <w:tcPr>
            <w:tcW w:w="787" w:type="pct"/>
          </w:tcPr>
          <w:p w14:paraId="3CD2674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Previous experiences of mental health symptoms or diagnoses</w:t>
            </w:r>
          </w:p>
        </w:tc>
        <w:tc>
          <w:tcPr>
            <w:tcW w:w="960" w:type="pct"/>
          </w:tcPr>
          <w:p w14:paraId="6ED21CF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Sorsa et al., 2021</w:t>
            </w:r>
          </w:p>
        </w:tc>
        <w:tc>
          <w:tcPr>
            <w:tcW w:w="160" w:type="pct"/>
          </w:tcPr>
          <w:p w14:paraId="0DADEC5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6450EA3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0F36690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3567B64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66C8132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7" w:type="pct"/>
          </w:tcPr>
          <w:p w14:paraId="2494F307"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Very low confidence</w:t>
            </w:r>
          </w:p>
        </w:tc>
      </w:tr>
      <w:tr w:rsidR="00F26AE4" w:rsidRPr="00265687" w14:paraId="000989FB" w14:textId="77777777" w:rsidTr="00CC56AD">
        <w:tc>
          <w:tcPr>
            <w:tcW w:w="738" w:type="pct"/>
          </w:tcPr>
          <w:p w14:paraId="7A5E548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1.9.3 Current diagnoses or symptoms</w:t>
            </w:r>
          </w:p>
        </w:tc>
        <w:tc>
          <w:tcPr>
            <w:tcW w:w="787" w:type="pct"/>
          </w:tcPr>
          <w:p w14:paraId="0FDD910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Current experiences of mental health symptoms or diagnoses</w:t>
            </w:r>
          </w:p>
        </w:tc>
        <w:tc>
          <w:tcPr>
            <w:tcW w:w="960" w:type="pct"/>
          </w:tcPr>
          <w:p w14:paraId="421120E4" w14:textId="77777777" w:rsidR="00F26AE4" w:rsidRPr="00265687" w:rsidRDefault="00F26AE4" w:rsidP="00BE7DC4">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Chartier et al., 2015; Friedman et al., 2010; Hadfield et al., 2019; Young et al., 2019</w:t>
            </w:r>
          </w:p>
          <w:p w14:paraId="2627ADE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Sorsa et al., 2021; Viveiros &amp; Darling, 2018</w:t>
            </w:r>
          </w:p>
        </w:tc>
        <w:tc>
          <w:tcPr>
            <w:tcW w:w="160" w:type="pct"/>
          </w:tcPr>
          <w:p w14:paraId="5B4695E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1" w:type="pct"/>
          </w:tcPr>
          <w:p w14:paraId="3DF0F6B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603493E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5C1A05B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6D5920C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0F4C5FF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3A7382A6" w14:textId="77777777" w:rsidTr="00CC56AD">
        <w:tc>
          <w:tcPr>
            <w:tcW w:w="5000" w:type="pct"/>
            <w:gridSpan w:val="9"/>
            <w:shd w:val="clear" w:color="auto" w:fill="A5A5A5" w:themeFill="accent3"/>
          </w:tcPr>
          <w:p w14:paraId="08FF051B"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2. HCPs</w:t>
            </w:r>
          </w:p>
        </w:tc>
      </w:tr>
      <w:tr w:rsidR="00F26AE4" w:rsidRPr="00265687" w14:paraId="3B8A5380" w14:textId="77777777" w:rsidTr="00CC56AD">
        <w:tc>
          <w:tcPr>
            <w:tcW w:w="5000" w:type="pct"/>
            <w:gridSpan w:val="9"/>
            <w:shd w:val="clear" w:color="auto" w:fill="DBDBDB" w:themeFill="accent3" w:themeFillTint="66"/>
          </w:tcPr>
          <w:p w14:paraId="7C67F76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2.1 HCPs knowledge about PMH</w:t>
            </w:r>
          </w:p>
        </w:tc>
      </w:tr>
      <w:tr w:rsidR="00F26AE4" w:rsidRPr="00265687" w14:paraId="36ED982D" w14:textId="77777777" w:rsidTr="00CC56AD">
        <w:tc>
          <w:tcPr>
            <w:tcW w:w="738" w:type="pct"/>
          </w:tcPr>
          <w:p w14:paraId="44B23AB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2.1.1 HCPs knowledge about PMI</w:t>
            </w:r>
          </w:p>
        </w:tc>
        <w:tc>
          <w:tcPr>
            <w:tcW w:w="787" w:type="pct"/>
          </w:tcPr>
          <w:p w14:paraId="0483DAA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knowledge about PMH actual &amp; perceived by women</w:t>
            </w:r>
          </w:p>
        </w:tc>
        <w:tc>
          <w:tcPr>
            <w:tcW w:w="960" w:type="pct"/>
          </w:tcPr>
          <w:p w14:paraId="5166D290"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Beeber et al., 2009; Byatt et al., 2013; Ganann et al., 2019; Higgins et al., 2018; Judd et al., 2011; McCauley et al., 2019; McKenzie-McHarg et al., 2014; Noonan et al., 2018; Reed et al., 2014; Rowan et al., 2010</w:t>
            </w:r>
          </w:p>
          <w:p w14:paraId="70A8BF1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Dennis &amp; Chung-Lee, 2006; Megnin-Viggars et al., 2015; Morrell et al., 2016; Slade et al., 2020; Viveiros &amp; Darling, 2018</w:t>
            </w:r>
          </w:p>
          <w:p w14:paraId="14B8D5D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11EF666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1" w:type="pct"/>
          </w:tcPr>
          <w:p w14:paraId="28384F1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Moderate </w:t>
            </w:r>
            <w:bookmarkStart w:id="15" w:name="_Hlk88473685"/>
            <w:r w:rsidRPr="00265687">
              <w:rPr>
                <w:rFonts w:ascii="Times New Roman" w:hAnsi="Times New Roman" w:cs="Times New Roman"/>
                <w:sz w:val="16"/>
                <w:szCs w:val="16"/>
              </w:rPr>
              <w:t>confidence</w:t>
            </w:r>
            <w:bookmarkEnd w:id="15"/>
          </w:p>
        </w:tc>
        <w:tc>
          <w:tcPr>
            <w:tcW w:w="470" w:type="pct"/>
          </w:tcPr>
          <w:p w14:paraId="133EFEB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72BFB39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3F5A59C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0833667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5B7B6FC0" w14:textId="77777777" w:rsidTr="00CC56AD">
        <w:tc>
          <w:tcPr>
            <w:tcW w:w="738" w:type="pct"/>
          </w:tcPr>
          <w:p w14:paraId="53F3C6B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2.1.2 HCP’s knowledge about services/referral pathways</w:t>
            </w:r>
          </w:p>
        </w:tc>
        <w:tc>
          <w:tcPr>
            <w:tcW w:w="787" w:type="pct"/>
          </w:tcPr>
          <w:p w14:paraId="4A1C636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knowledge about PMH services and referral pathways actual &amp; perceived by women</w:t>
            </w:r>
          </w:p>
        </w:tc>
        <w:tc>
          <w:tcPr>
            <w:tcW w:w="960" w:type="pct"/>
          </w:tcPr>
          <w:p w14:paraId="3E1E5457"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Ganann et al., 2019; Higgins et al., 2018; Rowan et al., 2010</w:t>
            </w:r>
          </w:p>
          <w:p w14:paraId="2C9652F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Hansotte et al., 2017; Sambrook Smith et al., 2019; Slade et al., 2020; Viveiros &amp; Darling, 2018</w:t>
            </w:r>
          </w:p>
        </w:tc>
        <w:tc>
          <w:tcPr>
            <w:tcW w:w="160" w:type="pct"/>
          </w:tcPr>
          <w:p w14:paraId="1DFA956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1" w:type="pct"/>
          </w:tcPr>
          <w:p w14:paraId="3142033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4C82C97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5077F50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2500181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0FA8D837"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14A0DEA8" w14:textId="77777777" w:rsidTr="00CC56AD">
        <w:tc>
          <w:tcPr>
            <w:tcW w:w="738" w:type="pct"/>
          </w:tcPr>
          <w:p w14:paraId="297AF45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2.1.3 HCPs confidence</w:t>
            </w:r>
          </w:p>
        </w:tc>
        <w:tc>
          <w:tcPr>
            <w:tcW w:w="787" w:type="pct"/>
          </w:tcPr>
          <w:p w14:paraId="6CFB798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confidence in addressing PMH</w:t>
            </w:r>
          </w:p>
        </w:tc>
        <w:tc>
          <w:tcPr>
            <w:tcW w:w="960" w:type="pct"/>
          </w:tcPr>
          <w:p w14:paraId="067303EC" w14:textId="77777777" w:rsidR="00F26AE4" w:rsidRPr="00265687" w:rsidRDefault="00F26AE4" w:rsidP="00BE7DC4">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Atif et al., 2019; Bina et al., 2018; Cox et al., 2017; Fernandez y Garcia et al., 2011; Higgins et al., 2018; Munodawafa et al., 2017; Nithianandan et al., 2016; Ormsby et al., 2018; Reed et al., 2014</w:t>
            </w:r>
          </w:p>
          <w:p w14:paraId="056A253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SH</w:t>
            </w:r>
          </w:p>
        </w:tc>
        <w:tc>
          <w:tcPr>
            <w:tcW w:w="160" w:type="pct"/>
          </w:tcPr>
          <w:p w14:paraId="5422767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9</w:t>
            </w:r>
          </w:p>
        </w:tc>
        <w:tc>
          <w:tcPr>
            <w:tcW w:w="581" w:type="pct"/>
          </w:tcPr>
          <w:p w14:paraId="492771A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 confidence</w:t>
            </w:r>
          </w:p>
        </w:tc>
        <w:tc>
          <w:tcPr>
            <w:tcW w:w="470" w:type="pct"/>
          </w:tcPr>
          <w:p w14:paraId="093FAC8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ACB360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10E462B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24ACCF7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FE6B46F" w14:textId="77777777" w:rsidTr="00CC56AD">
        <w:tc>
          <w:tcPr>
            <w:tcW w:w="5000" w:type="pct"/>
            <w:gridSpan w:val="9"/>
            <w:shd w:val="clear" w:color="auto" w:fill="DBDBDB" w:themeFill="accent3" w:themeFillTint="66"/>
          </w:tcPr>
          <w:p w14:paraId="7A8A8A4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2.2 Getting it right the first time</w:t>
            </w:r>
          </w:p>
        </w:tc>
      </w:tr>
      <w:tr w:rsidR="00F26AE4" w:rsidRPr="00265687" w14:paraId="4580753D" w14:textId="77777777" w:rsidTr="00CC56AD">
        <w:tc>
          <w:tcPr>
            <w:tcW w:w="738" w:type="pct"/>
          </w:tcPr>
          <w:p w14:paraId="40A4D17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2.2.1 Being dismissive or normalising symptoms</w:t>
            </w:r>
          </w:p>
        </w:tc>
        <w:tc>
          <w:tcPr>
            <w:tcW w:w="787" w:type="pct"/>
          </w:tcPr>
          <w:p w14:paraId="0E05164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dismissing or normalising symptoms</w:t>
            </w:r>
          </w:p>
        </w:tc>
        <w:tc>
          <w:tcPr>
            <w:tcW w:w="960" w:type="pct"/>
          </w:tcPr>
          <w:p w14:paraId="74347D47"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 xml:space="preserve">Ganann et al., 2019 </w:t>
            </w:r>
          </w:p>
          <w:p w14:paraId="1CB704AE"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Button et al., 2017; Dennis &amp; Chung-Lee, 2006; Forde et al., 2020; Hadfield &amp; Wittkowski, 2017; Hansotte et al., 2017; Megnin-Viggars et al., 2015; Newman et al., 2019; Sorsa et al., 2021; Watson et al., 2019</w:t>
            </w:r>
          </w:p>
          <w:p w14:paraId="343B52A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62DF1A3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1" w:type="pct"/>
          </w:tcPr>
          <w:p w14:paraId="23FDEE1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5FA321E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10593E7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4ABE2C0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7CAAF4DB"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229B9BB3" w14:textId="77777777" w:rsidTr="00CC56AD">
        <w:tc>
          <w:tcPr>
            <w:tcW w:w="738" w:type="pct"/>
          </w:tcPr>
          <w:p w14:paraId="6C1E6C6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2.2.2 Not recognising help seeking or PMI</w:t>
            </w:r>
          </w:p>
        </w:tc>
        <w:tc>
          <w:tcPr>
            <w:tcW w:w="787" w:type="pct"/>
          </w:tcPr>
          <w:p w14:paraId="663214B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not recognising help seeking or PMI</w:t>
            </w:r>
          </w:p>
        </w:tc>
        <w:tc>
          <w:tcPr>
            <w:tcW w:w="960" w:type="pct"/>
          </w:tcPr>
          <w:p w14:paraId="2A52AF24"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Bina, 2020; Button et al., 2017; Megnin-Viggars et al., 2015; Tobin et al., 2018; Watson et al., 2019</w:t>
            </w:r>
          </w:p>
        </w:tc>
        <w:tc>
          <w:tcPr>
            <w:tcW w:w="160" w:type="pct"/>
          </w:tcPr>
          <w:p w14:paraId="4115C40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w:t>
            </w:r>
          </w:p>
        </w:tc>
        <w:tc>
          <w:tcPr>
            <w:tcW w:w="581" w:type="pct"/>
          </w:tcPr>
          <w:p w14:paraId="7B0F2DF7" w14:textId="17E9DE69" w:rsidR="00F26AE4" w:rsidRPr="00265687" w:rsidRDefault="006F58E6"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1063579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4E24F7A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7B3E994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2B8B85E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02131DF0" w14:textId="77777777" w:rsidTr="00CC56AD">
        <w:tc>
          <w:tcPr>
            <w:tcW w:w="738" w:type="pct"/>
          </w:tcPr>
          <w:p w14:paraId="46B0D3C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2.2.3 Focussing on infant</w:t>
            </w:r>
          </w:p>
        </w:tc>
        <w:tc>
          <w:tcPr>
            <w:tcW w:w="787" w:type="pct"/>
          </w:tcPr>
          <w:p w14:paraId="08B96A8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focussing mainly on the infant</w:t>
            </w:r>
          </w:p>
        </w:tc>
        <w:tc>
          <w:tcPr>
            <w:tcW w:w="960" w:type="pct"/>
          </w:tcPr>
          <w:p w14:paraId="4C37E8A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Button et al., 2017; Megnin-Viggars et al., 2015</w:t>
            </w:r>
          </w:p>
        </w:tc>
        <w:tc>
          <w:tcPr>
            <w:tcW w:w="160" w:type="pct"/>
          </w:tcPr>
          <w:p w14:paraId="17E5FA7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6CC62A86" w14:textId="5B895279" w:rsidR="00F26AE4" w:rsidRPr="00265687" w:rsidRDefault="002E1A6C"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w:t>
            </w:r>
            <w:r w:rsidR="000A46E0" w:rsidRPr="00265687">
              <w:rPr>
                <w:rFonts w:ascii="Times New Roman" w:hAnsi="Times New Roman" w:cs="Times New Roman"/>
                <w:sz w:val="16"/>
                <w:szCs w:val="16"/>
              </w:rPr>
              <w:t xml:space="preserve"> confidence</w:t>
            </w:r>
          </w:p>
        </w:tc>
        <w:tc>
          <w:tcPr>
            <w:tcW w:w="470" w:type="pct"/>
          </w:tcPr>
          <w:p w14:paraId="095A569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69B86E5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636ED6A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2E2CA71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0FD4F0B2" w14:textId="77777777" w:rsidTr="00CC56AD">
        <w:tc>
          <w:tcPr>
            <w:tcW w:w="738" w:type="pct"/>
          </w:tcPr>
          <w:p w14:paraId="327027F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2.2.4 Making time</w:t>
            </w:r>
          </w:p>
        </w:tc>
        <w:tc>
          <w:tcPr>
            <w:tcW w:w="787" w:type="pct"/>
          </w:tcPr>
          <w:p w14:paraId="13BA669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A HCP who makes time to address PMH concerns</w:t>
            </w:r>
          </w:p>
        </w:tc>
        <w:tc>
          <w:tcPr>
            <w:tcW w:w="960" w:type="pct"/>
          </w:tcPr>
          <w:p w14:paraId="70FF2F68"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Feinberg et al., 2006; Myors et al., 2015; Noonan et al., 2018</w:t>
            </w:r>
          </w:p>
          <w:p w14:paraId="08CAA69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Button et al., 2017; Dennis &amp; Chung-Lee, 2006; Hewitt et al., 2009; Megnin-Viggars et al., 2015; Slade et al., 2020; Viveiros &amp; Darling, 2018; Watson et al., 2019</w:t>
            </w:r>
          </w:p>
        </w:tc>
        <w:tc>
          <w:tcPr>
            <w:tcW w:w="160" w:type="pct"/>
          </w:tcPr>
          <w:p w14:paraId="6165A16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1" w:type="pct"/>
          </w:tcPr>
          <w:p w14:paraId="12EEEA1B" w14:textId="43C58D54" w:rsidR="00F26AE4" w:rsidRPr="00265687" w:rsidRDefault="00C6170D"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w:t>
            </w:r>
            <w:r w:rsidR="00F26AE4" w:rsidRPr="00265687">
              <w:rPr>
                <w:rFonts w:ascii="Times New Roman" w:hAnsi="Times New Roman" w:cs="Times New Roman"/>
                <w:sz w:val="16"/>
                <w:szCs w:val="16"/>
              </w:rPr>
              <w:t xml:space="preserve"> confidence</w:t>
            </w:r>
          </w:p>
        </w:tc>
        <w:tc>
          <w:tcPr>
            <w:tcW w:w="470" w:type="pct"/>
          </w:tcPr>
          <w:p w14:paraId="7297CBE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44770CD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2633F0A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31A486D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6348318F" w14:textId="77777777" w:rsidTr="00CC56AD">
        <w:tc>
          <w:tcPr>
            <w:tcW w:w="738" w:type="pct"/>
          </w:tcPr>
          <w:p w14:paraId="77229E4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2.2.5 Assessment specific behaviours</w:t>
            </w:r>
          </w:p>
        </w:tc>
        <w:tc>
          <w:tcPr>
            <w:tcW w:w="787" w:type="pct"/>
          </w:tcPr>
          <w:p w14:paraId="061FCE5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assessment specific behaviours, such as asking about PMH, carrying out in a tick box way, or in a personalised way</w:t>
            </w:r>
          </w:p>
        </w:tc>
        <w:tc>
          <w:tcPr>
            <w:tcW w:w="960" w:type="pct"/>
          </w:tcPr>
          <w:p w14:paraId="0D3A7A8E" w14:textId="77777777" w:rsidR="00F26AE4" w:rsidRPr="00265687" w:rsidRDefault="00F26AE4" w:rsidP="00BE7DC4">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Doering et al., 2017; Fernandez y Garcia et al., 2011; Nithianandan et al., 2016; Segre et al., 2014; Vik et al., 2009; Williams et al., 2016</w:t>
            </w:r>
          </w:p>
          <w:p w14:paraId="177C428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Brealey et al., 2010; Sambrook Smith et al., 2019; Schmied et al., 2017; Slade et al., 2020; Viveiros &amp; Darling, 2018; Watson et al., 2019</w:t>
            </w:r>
          </w:p>
        </w:tc>
        <w:tc>
          <w:tcPr>
            <w:tcW w:w="160" w:type="pct"/>
          </w:tcPr>
          <w:p w14:paraId="150FE2B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12</w:t>
            </w:r>
          </w:p>
        </w:tc>
        <w:tc>
          <w:tcPr>
            <w:tcW w:w="581" w:type="pct"/>
          </w:tcPr>
          <w:p w14:paraId="1D798BD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AF7105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533A09B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7494330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7475B907"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5F34B653" w14:textId="77777777" w:rsidTr="00CC56AD">
        <w:tc>
          <w:tcPr>
            <w:tcW w:w="5000" w:type="pct"/>
            <w:gridSpan w:val="9"/>
            <w:shd w:val="clear" w:color="auto" w:fill="DBDBDB" w:themeFill="accent3" w:themeFillTint="66"/>
          </w:tcPr>
          <w:p w14:paraId="63A22A1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2.3 HCPs’ attributes</w:t>
            </w:r>
          </w:p>
        </w:tc>
      </w:tr>
      <w:tr w:rsidR="00F26AE4" w:rsidRPr="00265687" w14:paraId="0A5013D7" w14:textId="77777777" w:rsidTr="00CC56AD">
        <w:tc>
          <w:tcPr>
            <w:tcW w:w="738" w:type="pct"/>
          </w:tcPr>
          <w:p w14:paraId="04437A6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2.3.1 Similar demographic characteristics</w:t>
            </w:r>
          </w:p>
        </w:tc>
        <w:tc>
          <w:tcPr>
            <w:tcW w:w="787" w:type="pct"/>
          </w:tcPr>
          <w:p w14:paraId="2BBC6D2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 having similar demographics to women</w:t>
            </w:r>
          </w:p>
        </w:tc>
        <w:tc>
          <w:tcPr>
            <w:tcW w:w="960" w:type="pct"/>
          </w:tcPr>
          <w:p w14:paraId="76B37A67"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Leger et al., 2015; Masood et al., 2015; Nithianandan et al., 2016; Shorey &amp; Ng, 2019</w:t>
            </w:r>
          </w:p>
          <w:p w14:paraId="5E6BC57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Watson et al., 2019</w:t>
            </w:r>
          </w:p>
        </w:tc>
        <w:tc>
          <w:tcPr>
            <w:tcW w:w="160" w:type="pct"/>
          </w:tcPr>
          <w:p w14:paraId="67825BF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1" w:type="pct"/>
          </w:tcPr>
          <w:p w14:paraId="0F0FCDE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6C5A09D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5537E2B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5C01FC2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5333EE7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568CEE02" w14:textId="77777777" w:rsidTr="00CC56AD">
        <w:tc>
          <w:tcPr>
            <w:tcW w:w="738" w:type="pct"/>
          </w:tcPr>
          <w:p w14:paraId="3D15D2F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2.3.2 Culturally sensitive</w:t>
            </w:r>
          </w:p>
        </w:tc>
        <w:tc>
          <w:tcPr>
            <w:tcW w:w="787" w:type="pct"/>
          </w:tcPr>
          <w:p w14:paraId="094ACF2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 being sensitive to women from all cultures</w:t>
            </w:r>
          </w:p>
        </w:tc>
        <w:tc>
          <w:tcPr>
            <w:tcW w:w="960" w:type="pct"/>
          </w:tcPr>
          <w:p w14:paraId="15F9F651"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Cs/>
                <w:noProof/>
                <w:sz w:val="16"/>
                <w:szCs w:val="16"/>
              </w:rPr>
              <w:t>Kassam, 2019; Nilaweera et al., 2014; Viveiros &amp; Darling, 2018; Watson et al., 2019</w:t>
            </w:r>
            <w:r w:rsidRPr="00265687">
              <w:rPr>
                <w:rFonts w:ascii="Times New Roman" w:hAnsi="Times New Roman" w:cs="Times New Roman"/>
                <w:i/>
                <w:iCs/>
                <w:sz w:val="16"/>
                <w:szCs w:val="16"/>
              </w:rPr>
              <w:t xml:space="preserve">; </w:t>
            </w:r>
          </w:p>
        </w:tc>
        <w:tc>
          <w:tcPr>
            <w:tcW w:w="160" w:type="pct"/>
          </w:tcPr>
          <w:p w14:paraId="316B518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1" w:type="pct"/>
          </w:tcPr>
          <w:p w14:paraId="7D23622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17AA37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68DE69A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787AF1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6B55D30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2A366544" w14:textId="77777777" w:rsidTr="00CC56AD">
        <w:tc>
          <w:tcPr>
            <w:tcW w:w="738" w:type="pct"/>
          </w:tcPr>
          <w:p w14:paraId="7793AD5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2.3.3 Valued characteristics </w:t>
            </w:r>
          </w:p>
        </w:tc>
        <w:tc>
          <w:tcPr>
            <w:tcW w:w="787" w:type="pct"/>
          </w:tcPr>
          <w:p w14:paraId="776E1B6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HCPs possessing valued characteristics Trustworthy, empathetic, kind, caring with a genuinine interest, and going above and beyond</w:t>
            </w:r>
          </w:p>
        </w:tc>
        <w:tc>
          <w:tcPr>
            <w:tcW w:w="960" w:type="pct"/>
          </w:tcPr>
          <w:p w14:paraId="561D2F61"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 xml:space="preserve">Atif et al., 2016, 2019; Boyd et al., 2011; Doering et al., 2017; Kerker et al., 2018; Kim et al., 2009; Munodawafa et al., 2017; Myors et </w:t>
            </w:r>
            <w:r w:rsidRPr="00265687">
              <w:rPr>
                <w:rFonts w:ascii="Times New Roman" w:hAnsi="Times New Roman" w:cs="Times New Roman"/>
                <w:i/>
                <w:sz w:val="16"/>
              </w:rPr>
              <w:lastRenderedPageBreak/>
              <w:t>al., 2015; Pugh et al., 2015; Shorey &amp; Ng, 2019</w:t>
            </w:r>
          </w:p>
          <w:p w14:paraId="38AF7FAB"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Brealey et al., 2010; Button et al., 2017; Dennis &amp; Chung-Lee, 2006; Forde et al., 2020; Hadfield &amp; Wittkowski, 2017; Hewitt et al., 2009; Jones, 2019; Megnin-Viggars et al., 2015; Morrell et al., 2016; Newman et al., 2019; Schmied et al., 2017; Slade et al., 2020; Staneva et al., 2015; Watson et al., 2019</w:t>
            </w:r>
          </w:p>
          <w:p w14:paraId="3FC19E6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01E5F89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25</w:t>
            </w:r>
          </w:p>
        </w:tc>
        <w:tc>
          <w:tcPr>
            <w:tcW w:w="581" w:type="pct"/>
          </w:tcPr>
          <w:p w14:paraId="6E7E43F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7D01704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3B3C808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1B1C5C5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2A0F5B8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047F497A" w14:textId="77777777" w:rsidTr="00CC56AD">
        <w:tc>
          <w:tcPr>
            <w:tcW w:w="5000" w:type="pct"/>
            <w:gridSpan w:val="9"/>
            <w:shd w:val="clear" w:color="auto" w:fill="A5A5A5" w:themeFill="accent3"/>
          </w:tcPr>
          <w:p w14:paraId="03D7AFC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3. Interpersonal</w:t>
            </w:r>
          </w:p>
        </w:tc>
      </w:tr>
      <w:tr w:rsidR="00F26AE4" w:rsidRPr="00265687" w14:paraId="12F718F1" w14:textId="77777777" w:rsidTr="00CC56AD">
        <w:tc>
          <w:tcPr>
            <w:tcW w:w="738" w:type="pct"/>
          </w:tcPr>
          <w:p w14:paraId="22327B2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3.1 Trusting relationship and rapport</w:t>
            </w:r>
          </w:p>
        </w:tc>
        <w:tc>
          <w:tcPr>
            <w:tcW w:w="787" w:type="pct"/>
          </w:tcPr>
          <w:p w14:paraId="05AC4D7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development of a trusting relationship and rapport between HCP and women</w:t>
            </w:r>
          </w:p>
        </w:tc>
        <w:tc>
          <w:tcPr>
            <w:tcW w:w="960" w:type="pct"/>
          </w:tcPr>
          <w:p w14:paraId="3E25433F"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Atif et al., 2016; Doering et al., 2017; Feinberg et al., 2006; Ganann et al., 2019; Hadfield et al., 2019; Higgins et al., 2018; Kerker et al., 2018; Leger et al., 2015; Noonan et al., 2018; Shakespeare et al., 2003; Shorey &amp; Ng, 2019; Willey et al., 2018; Williams et al., 2016; Young et al., 2019</w:t>
            </w:r>
            <w:r w:rsidRPr="00265687">
              <w:rPr>
                <w:rFonts w:ascii="Times New Roman" w:hAnsi="Times New Roman" w:cs="Times New Roman"/>
                <w:i/>
                <w:iCs/>
                <w:sz w:val="16"/>
                <w:szCs w:val="16"/>
              </w:rPr>
              <w:t xml:space="preserve"> </w:t>
            </w:r>
          </w:p>
          <w:p w14:paraId="3691A06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 Brealey et al., 2010; Dennis &amp; Chung-Lee, 2006; Hadfield &amp; Wittkowski, 2017; Hewitt et al., 2009; Megnin-Viggars et al., 2015; Morrell et al., 2016; Scope et al., 2017; Tobin et al., 2018</w:t>
            </w:r>
          </w:p>
        </w:tc>
        <w:tc>
          <w:tcPr>
            <w:tcW w:w="160" w:type="pct"/>
          </w:tcPr>
          <w:p w14:paraId="0BC2709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23</w:t>
            </w:r>
          </w:p>
        </w:tc>
        <w:tc>
          <w:tcPr>
            <w:tcW w:w="581" w:type="pct"/>
          </w:tcPr>
          <w:p w14:paraId="3D6567E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764F109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523C08E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642E91F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69A2507F"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76A5F50C" w14:textId="77777777" w:rsidTr="00CC56AD">
        <w:tc>
          <w:tcPr>
            <w:tcW w:w="738" w:type="pct"/>
          </w:tcPr>
          <w:p w14:paraId="2C84923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3.2 Language barriers</w:t>
            </w:r>
          </w:p>
        </w:tc>
        <w:tc>
          <w:tcPr>
            <w:tcW w:w="787" w:type="pct"/>
          </w:tcPr>
          <w:p w14:paraId="74EB334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Difficulties in communicating due to language barriers</w:t>
            </w:r>
          </w:p>
        </w:tc>
        <w:tc>
          <w:tcPr>
            <w:tcW w:w="960" w:type="pct"/>
          </w:tcPr>
          <w:p w14:paraId="7E1C2EEB" w14:textId="77777777" w:rsidR="00F26AE4" w:rsidRPr="00265687" w:rsidRDefault="00F26AE4" w:rsidP="00BE7DC4">
            <w:pPr>
              <w:spacing w:line="240" w:lineRule="auto"/>
              <w:ind w:firstLine="0"/>
              <w:rPr>
                <w:rFonts w:ascii="Times New Roman" w:hAnsi="Times New Roman" w:cs="Times New Roman"/>
                <w:i/>
                <w:iCs/>
                <w:sz w:val="16"/>
                <w:szCs w:val="16"/>
              </w:rPr>
            </w:pPr>
            <w:r w:rsidRPr="00265687">
              <w:rPr>
                <w:rFonts w:ascii="Times New Roman" w:hAnsi="Times New Roman" w:cs="Times New Roman"/>
                <w:i/>
                <w:iCs/>
                <w:noProof/>
                <w:sz w:val="16"/>
                <w:szCs w:val="16"/>
              </w:rPr>
              <w:t>Beeber et al., 2009; Doering et al., 2017; Ganann et al., 2019; Masood et al., 2015; Munodawafa et al., 2017; Nithianandan et al., 2016; Pineros-Leano et al., 2015; Segre et al., 2014; Willey et al., 2018; Williams et al., 2016</w:t>
            </w:r>
          </w:p>
          <w:p w14:paraId="1A40E9AE"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Dennis &amp; Chung-Lee, 2006; Hansotte et al., 2017; Megnin-Viggars et al., 2015; Sambrook Smith et al., 2019; Schmied et al., 2017; Watson et al., 2019</w:t>
            </w:r>
          </w:p>
          <w:p w14:paraId="475178E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1B96F9D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w:t>
            </w:r>
          </w:p>
        </w:tc>
        <w:tc>
          <w:tcPr>
            <w:tcW w:w="581" w:type="pct"/>
          </w:tcPr>
          <w:p w14:paraId="09FBD6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1D6CF9B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78B51A5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56BFE67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1AF9A7C5"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1C91168B" w14:textId="77777777" w:rsidTr="00CC56AD">
        <w:tc>
          <w:tcPr>
            <w:tcW w:w="738" w:type="pct"/>
          </w:tcPr>
          <w:p w14:paraId="57B6CE4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3.3 Shared decision making</w:t>
            </w:r>
          </w:p>
        </w:tc>
        <w:tc>
          <w:tcPr>
            <w:tcW w:w="787" w:type="pct"/>
          </w:tcPr>
          <w:p w14:paraId="1B159DC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Shared decision making between HCP and woman</w:t>
            </w:r>
          </w:p>
        </w:tc>
        <w:tc>
          <w:tcPr>
            <w:tcW w:w="960" w:type="pct"/>
          </w:tcPr>
          <w:p w14:paraId="275245B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Hadfield &amp; Wittkowski, 2017; Megnin-Viggars et al., 2015; Randall &amp; Briscoe, 2018; Scope et al., 2017</w:t>
            </w:r>
          </w:p>
        </w:tc>
        <w:tc>
          <w:tcPr>
            <w:tcW w:w="160" w:type="pct"/>
          </w:tcPr>
          <w:p w14:paraId="1A494B5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1" w:type="pct"/>
          </w:tcPr>
          <w:p w14:paraId="08DBCB2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730D77B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66B7DFC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70FFB9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7B3432E3"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3493F017" w14:textId="77777777" w:rsidTr="00CC56AD">
        <w:tc>
          <w:tcPr>
            <w:tcW w:w="738" w:type="pct"/>
          </w:tcPr>
          <w:p w14:paraId="051A918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3.4 Open and honest communication</w:t>
            </w:r>
          </w:p>
        </w:tc>
        <w:tc>
          <w:tcPr>
            <w:tcW w:w="787" w:type="pct"/>
          </w:tcPr>
          <w:p w14:paraId="674D1F3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Open and honest communication between HCP and woman</w:t>
            </w:r>
          </w:p>
        </w:tc>
        <w:tc>
          <w:tcPr>
            <w:tcW w:w="960" w:type="pct"/>
          </w:tcPr>
          <w:p w14:paraId="14B3458B"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Doering et al., 2017; Shakespeare et al., 2003; Vik et al., 2009; Willey et al., 2018</w:t>
            </w:r>
          </w:p>
          <w:p w14:paraId="3C7FA0B1"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sz w:val="16"/>
              </w:rPr>
              <w:t>Brealey et al., 2010; Hadfield &amp; Wittkowski, 2017; Hewitt et al., 2009; Schmied et al., 2017; Watson et al., 2019</w:t>
            </w:r>
          </w:p>
          <w:p w14:paraId="07446CD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670F181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1" w:type="pct"/>
          </w:tcPr>
          <w:p w14:paraId="491D055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796307F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7365AE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2B49988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416E03C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6A4F0AF7" w14:textId="77777777" w:rsidTr="00CC56AD">
        <w:tc>
          <w:tcPr>
            <w:tcW w:w="5000" w:type="pct"/>
            <w:gridSpan w:val="9"/>
            <w:shd w:val="clear" w:color="auto" w:fill="A5A5A5" w:themeFill="accent3"/>
          </w:tcPr>
          <w:p w14:paraId="2A6E736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 Organisational</w:t>
            </w:r>
          </w:p>
        </w:tc>
      </w:tr>
      <w:tr w:rsidR="00F26AE4" w:rsidRPr="00265687" w14:paraId="2EB210DB" w14:textId="77777777" w:rsidTr="00CC56AD">
        <w:tc>
          <w:tcPr>
            <w:tcW w:w="5000" w:type="pct"/>
            <w:gridSpan w:val="9"/>
            <w:shd w:val="clear" w:color="auto" w:fill="DBDBDB" w:themeFill="accent3" w:themeFillTint="66"/>
          </w:tcPr>
          <w:p w14:paraId="756494EC"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4.1 Overall organisational aspects</w:t>
            </w:r>
          </w:p>
        </w:tc>
      </w:tr>
      <w:tr w:rsidR="00F26AE4" w:rsidRPr="00265687" w14:paraId="733F148F" w14:textId="77777777" w:rsidTr="00CC56AD">
        <w:tc>
          <w:tcPr>
            <w:tcW w:w="738" w:type="pct"/>
          </w:tcPr>
          <w:p w14:paraId="003D636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4.1.1 Co location and buildings</w:t>
            </w:r>
          </w:p>
        </w:tc>
        <w:tc>
          <w:tcPr>
            <w:tcW w:w="787" w:type="pct"/>
          </w:tcPr>
          <w:p w14:paraId="4E1BF31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Location of the service including co-location of different services within the same building</w:t>
            </w:r>
          </w:p>
        </w:tc>
        <w:tc>
          <w:tcPr>
            <w:tcW w:w="960" w:type="pct"/>
          </w:tcPr>
          <w:p w14:paraId="214A60F4" w14:textId="77777777" w:rsidR="00F26AE4" w:rsidRPr="00265687" w:rsidRDefault="00F26AE4" w:rsidP="00BE7DC4">
            <w:pPr>
              <w:spacing w:line="240" w:lineRule="auto"/>
              <w:ind w:firstLine="0"/>
              <w:rPr>
                <w:rFonts w:ascii="Times New Roman" w:hAnsi="Times New Roman" w:cs="Times New Roman"/>
                <w:i/>
                <w:sz w:val="16"/>
                <w:lang w:val="es-ES"/>
              </w:rPr>
            </w:pPr>
            <w:r w:rsidRPr="00265687">
              <w:rPr>
                <w:rFonts w:ascii="Times New Roman" w:hAnsi="Times New Roman" w:cs="Times New Roman"/>
                <w:i/>
                <w:sz w:val="16"/>
                <w:lang w:val="es-ES"/>
              </w:rPr>
              <w:t xml:space="preserve">Boyd et al., 2011; Cox et al., 2017; Judd et al., 2011; Munodawafa et al., 2017; Ormsby et al., 2018; Young et al., 2019; </w:t>
            </w:r>
          </w:p>
          <w:p w14:paraId="3D76221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Bina, 2020</w:t>
            </w:r>
          </w:p>
          <w:p w14:paraId="7806C80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tcPr>
          <w:p w14:paraId="3735E36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1" w:type="pct"/>
          </w:tcPr>
          <w:p w14:paraId="2960EAD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61EE5F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A69321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60B34B6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5960D7A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0A3992AB" w14:textId="77777777" w:rsidTr="00CC56AD">
        <w:tc>
          <w:tcPr>
            <w:tcW w:w="738" w:type="pct"/>
          </w:tcPr>
          <w:p w14:paraId="5604B6C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4.1.2 Service integration and collaborative working</w:t>
            </w:r>
          </w:p>
        </w:tc>
        <w:tc>
          <w:tcPr>
            <w:tcW w:w="787" w:type="pct"/>
          </w:tcPr>
          <w:p w14:paraId="0DE58BE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Collaborative working across services</w:t>
            </w:r>
          </w:p>
          <w:p w14:paraId="3A34BD9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960" w:type="pct"/>
            <w:shd w:val="clear" w:color="auto" w:fill="auto"/>
          </w:tcPr>
          <w:p w14:paraId="145A04D4"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Atif et al., 2016; Bina et al., 2018; Boyd et al., 2011; Byatt et al., 2013; Feinberg et al., 2006; Ganann et al., 2019; Hadfield et al., 2019; Judd et al., 2011; Lind et al., 2017; Lomonaco-Haycraft et al., 2018; Myors et al., 2015; Nithianandan et al., 2016; Noonan et al., 2018; Rowan et al., 2010</w:t>
            </w:r>
          </w:p>
          <w:p w14:paraId="5C77EA9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Newman et al., 2019; Sambrook Smith et al., 2019; Watson et al., 2019</w:t>
            </w:r>
          </w:p>
        </w:tc>
        <w:tc>
          <w:tcPr>
            <w:tcW w:w="160" w:type="pct"/>
          </w:tcPr>
          <w:p w14:paraId="7F7092A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1" w:type="pct"/>
          </w:tcPr>
          <w:p w14:paraId="1CB7EA8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6AD74F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576E0B5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3B5E4F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641EBCB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3C2AA939" w14:textId="77777777" w:rsidTr="00CC56AD">
        <w:tc>
          <w:tcPr>
            <w:tcW w:w="738" w:type="pct"/>
          </w:tcPr>
          <w:p w14:paraId="5DBC5EB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4.1.3 Collaboration within services </w:t>
            </w:r>
          </w:p>
        </w:tc>
        <w:tc>
          <w:tcPr>
            <w:tcW w:w="787" w:type="pct"/>
          </w:tcPr>
          <w:p w14:paraId="1E8AA65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Collaborative working within services</w:t>
            </w:r>
          </w:p>
          <w:p w14:paraId="481B335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960" w:type="pct"/>
            <w:shd w:val="clear" w:color="auto" w:fill="auto"/>
          </w:tcPr>
          <w:p w14:paraId="568E4AA1"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Ammerman et al., 2014; Cox et al., 2017; Eappen et al., 2018; Higgins et al., 2018; Judd et al., 2011; Kerker et al., 2018; Lind et al., 2017; McKenzie-McHarg et al., 2014; Munodawafa et al., 2017; Nithianandan et al., 2016; Ormsby et al., 2018; Segre et al., 2014; Willey et al., 2018</w:t>
            </w:r>
          </w:p>
          <w:p w14:paraId="2BD1E62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Sambrook Smith et al., 2019</w:t>
            </w:r>
          </w:p>
        </w:tc>
        <w:tc>
          <w:tcPr>
            <w:tcW w:w="160" w:type="pct"/>
            <w:shd w:val="clear" w:color="auto" w:fill="auto"/>
          </w:tcPr>
          <w:p w14:paraId="2E76E33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1" w:type="pct"/>
          </w:tcPr>
          <w:p w14:paraId="21F8BE8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EB133C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4F1D309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2DDEDB8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599820A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3DACE69A" w14:textId="77777777" w:rsidTr="00CC56AD">
        <w:tc>
          <w:tcPr>
            <w:tcW w:w="738" w:type="pct"/>
          </w:tcPr>
          <w:p w14:paraId="4BAACCC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4.1.4 Adequate workforce provision/ HCPs workload</w:t>
            </w:r>
          </w:p>
        </w:tc>
        <w:tc>
          <w:tcPr>
            <w:tcW w:w="787" w:type="pct"/>
          </w:tcPr>
          <w:p w14:paraId="727E6BF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Ensuring and adequate workforce provision so PMH can be addressed </w:t>
            </w:r>
          </w:p>
        </w:tc>
        <w:tc>
          <w:tcPr>
            <w:tcW w:w="960" w:type="pct"/>
            <w:shd w:val="clear" w:color="auto" w:fill="auto"/>
          </w:tcPr>
          <w:p w14:paraId="7700F117"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 xml:space="preserve">Ammerman et al., 2014; Bina et al., 2018; Drozd et al., 2018; Feinberg et al., 2006; Ganann et al., 2019; Higgins et al., 2018; Kerker et al., 2018; Kim et al., 2009; McCauley et al., 2019; Nakku et al., 2016; Nithianandan et al., 2016; Noonan et </w:t>
            </w:r>
            <w:r w:rsidRPr="00265687">
              <w:rPr>
                <w:rFonts w:ascii="Times New Roman" w:hAnsi="Times New Roman" w:cs="Times New Roman"/>
                <w:i/>
                <w:color w:val="000000"/>
                <w:sz w:val="16"/>
              </w:rPr>
              <w:lastRenderedPageBreak/>
              <w:t>al., 2018; Rowan et al., 2010; Vik et al., 2009; Willey et al., 2018</w:t>
            </w:r>
          </w:p>
          <w:p w14:paraId="7A2E040D" w14:textId="77777777" w:rsidR="00F26AE4" w:rsidRPr="00265687" w:rsidRDefault="00F26AE4" w:rsidP="00BE7DC4">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 Viveiros &amp; Darling, 2018</w:t>
            </w:r>
          </w:p>
          <w:p w14:paraId="525E5AF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08D3788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17</w:t>
            </w:r>
          </w:p>
        </w:tc>
        <w:tc>
          <w:tcPr>
            <w:tcW w:w="581" w:type="pct"/>
          </w:tcPr>
          <w:p w14:paraId="33C40752" w14:textId="7343EAC4" w:rsidR="00F26AE4" w:rsidRPr="00265687" w:rsidRDefault="00142F98"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Moderate confidence </w:t>
            </w:r>
          </w:p>
        </w:tc>
        <w:tc>
          <w:tcPr>
            <w:tcW w:w="470" w:type="pct"/>
          </w:tcPr>
          <w:p w14:paraId="0259AFA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45B5665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5B2450C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1B3AE697"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712919F2" w14:textId="77777777" w:rsidTr="00CC56AD">
        <w:tc>
          <w:tcPr>
            <w:tcW w:w="738" w:type="pct"/>
          </w:tcPr>
          <w:p w14:paraId="2D17812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4.1.5 Clear assessment and referral process</w:t>
            </w:r>
          </w:p>
        </w:tc>
        <w:tc>
          <w:tcPr>
            <w:tcW w:w="787" w:type="pct"/>
          </w:tcPr>
          <w:p w14:paraId="79C3966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Clear assessment and referral processes within the organisation</w:t>
            </w:r>
          </w:p>
        </w:tc>
        <w:tc>
          <w:tcPr>
            <w:tcW w:w="960" w:type="pct"/>
            <w:shd w:val="clear" w:color="auto" w:fill="auto"/>
          </w:tcPr>
          <w:p w14:paraId="5F6CEAD1"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Cox et al., 2017; Feinberg et al., 2006; Ganann et al., 2019; Judd et al., 2011; Kerker et al., 2018; Kim et al., 2009; Nithianandan et al., 2016; Rowan et al., 2010; Segre et al., 2014; Williams et al., 2016</w:t>
            </w:r>
          </w:p>
          <w:p w14:paraId="70793D33" w14:textId="77777777" w:rsidR="00F26AE4" w:rsidRPr="00265687" w:rsidRDefault="00F26AE4" w:rsidP="00BE7DC4">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w:t>
            </w:r>
          </w:p>
          <w:p w14:paraId="762DAF3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51A8653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1" w:type="pct"/>
          </w:tcPr>
          <w:p w14:paraId="4440CA4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049CB59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0AEF841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21AAB06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2C3E6804"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F77FBAA" w14:textId="77777777" w:rsidTr="00CC56AD">
        <w:tc>
          <w:tcPr>
            <w:tcW w:w="738" w:type="pct"/>
          </w:tcPr>
          <w:p w14:paraId="50D5577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4.1.6 Provision of supervision</w:t>
            </w:r>
          </w:p>
        </w:tc>
        <w:tc>
          <w:tcPr>
            <w:tcW w:w="787" w:type="pct"/>
          </w:tcPr>
          <w:p w14:paraId="2389687E" w14:textId="77777777" w:rsidR="00F26AE4" w:rsidRPr="00265687" w:rsidRDefault="00F26AE4" w:rsidP="00BE7DC4">
            <w:pPr>
              <w:spacing w:line="240" w:lineRule="auto"/>
              <w:ind w:left="720" w:firstLine="0"/>
              <w:rPr>
                <w:rFonts w:ascii="Times New Roman" w:hAnsi="Times New Roman" w:cs="Times New Roman"/>
                <w:sz w:val="16"/>
                <w:szCs w:val="16"/>
              </w:rPr>
            </w:pPr>
            <w:r w:rsidRPr="00265687">
              <w:rPr>
                <w:rFonts w:ascii="Times New Roman" w:hAnsi="Times New Roman" w:cs="Times New Roman"/>
                <w:sz w:val="16"/>
                <w:szCs w:val="16"/>
              </w:rPr>
              <w:t>Supervision for HCPs</w:t>
            </w:r>
          </w:p>
        </w:tc>
        <w:tc>
          <w:tcPr>
            <w:tcW w:w="960" w:type="pct"/>
            <w:shd w:val="clear" w:color="auto" w:fill="auto"/>
          </w:tcPr>
          <w:p w14:paraId="697A71B4" w14:textId="77777777" w:rsidR="00F26AE4" w:rsidRPr="00265687" w:rsidRDefault="00F26AE4" w:rsidP="00BE7DC4">
            <w:pPr>
              <w:spacing w:line="240" w:lineRule="auto"/>
              <w:ind w:firstLine="0"/>
              <w:rPr>
                <w:rFonts w:ascii="Times New Roman" w:hAnsi="Times New Roman" w:cs="Times New Roman"/>
                <w:i/>
                <w:sz w:val="16"/>
                <w:lang w:val="es-ES"/>
              </w:rPr>
            </w:pPr>
            <w:r w:rsidRPr="00265687">
              <w:rPr>
                <w:rFonts w:ascii="Times New Roman" w:hAnsi="Times New Roman" w:cs="Times New Roman"/>
                <w:i/>
                <w:color w:val="000000"/>
                <w:sz w:val="16"/>
                <w:lang w:val="es-ES"/>
              </w:rPr>
              <w:t>Atif et al., 2019; Munodawafa et al., 2017; Vik et al., 2009</w:t>
            </w:r>
          </w:p>
        </w:tc>
        <w:tc>
          <w:tcPr>
            <w:tcW w:w="160" w:type="pct"/>
            <w:shd w:val="clear" w:color="auto" w:fill="auto"/>
          </w:tcPr>
          <w:p w14:paraId="1968EE9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w:t>
            </w:r>
          </w:p>
        </w:tc>
        <w:tc>
          <w:tcPr>
            <w:tcW w:w="581" w:type="pct"/>
          </w:tcPr>
          <w:p w14:paraId="6996F046" w14:textId="5FC7618B" w:rsidR="00F26AE4" w:rsidRPr="00265687" w:rsidRDefault="006A43B6"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Low </w:t>
            </w:r>
            <w:r w:rsidR="00F26AE4" w:rsidRPr="00265687">
              <w:rPr>
                <w:rFonts w:ascii="Times New Roman" w:hAnsi="Times New Roman" w:cs="Times New Roman"/>
                <w:sz w:val="16"/>
                <w:szCs w:val="16"/>
              </w:rPr>
              <w:t>confidence</w:t>
            </w:r>
          </w:p>
        </w:tc>
        <w:tc>
          <w:tcPr>
            <w:tcW w:w="470" w:type="pct"/>
          </w:tcPr>
          <w:p w14:paraId="5E8C953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5244DBA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36ACA2B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7" w:type="pct"/>
          </w:tcPr>
          <w:p w14:paraId="17EB0DAA"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Very low confidence</w:t>
            </w:r>
          </w:p>
        </w:tc>
      </w:tr>
      <w:tr w:rsidR="00F26AE4" w:rsidRPr="00265687" w14:paraId="6A05694C" w14:textId="77777777" w:rsidTr="00CC56AD">
        <w:tc>
          <w:tcPr>
            <w:tcW w:w="738" w:type="pct"/>
          </w:tcPr>
          <w:p w14:paraId="28FE787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4.1.7 Training</w:t>
            </w:r>
          </w:p>
        </w:tc>
        <w:tc>
          <w:tcPr>
            <w:tcW w:w="787" w:type="pct"/>
          </w:tcPr>
          <w:p w14:paraId="4560EAB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Provision of training for all HCPs working with perinatal women</w:t>
            </w:r>
          </w:p>
        </w:tc>
        <w:tc>
          <w:tcPr>
            <w:tcW w:w="960" w:type="pct"/>
            <w:shd w:val="clear" w:color="auto" w:fill="auto"/>
          </w:tcPr>
          <w:p w14:paraId="321934C4"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Ammerman et al., 2014; Atif et al., 2016, 2019; Beeber et al., 2009; Bina et al., 2018; Boyd et al., 2011; Chartier et al., 2015; Doering et al., 2017; Drozd et al., 2018; Feinberg et al., 2006; Ganann et al., 2019; Judd et al., 2011; Kerker et al., 2018; Kim et al., 2009; Leger et al., 2015; Lind et al., 2017; McKenzie-McHarg et al., 2014; Munodawafa et al., 2017; Nakku et al., 2016; Nithianandan et al., 2016; Noonan et al., 2018; Reed et al., 2014; Rowan et al., 2010; Shorey &amp; Ng, 2019; Willey et al., 2018; Williams et al., 2016</w:t>
            </w:r>
          </w:p>
          <w:p w14:paraId="0C0A0538" w14:textId="77777777" w:rsidR="00F26AE4" w:rsidRPr="00265687" w:rsidRDefault="00F26AE4" w:rsidP="00BE7DC4">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 Brealey et al., 2010</w:t>
            </w:r>
          </w:p>
          <w:p w14:paraId="7776E9C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27F3F04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28</w:t>
            </w:r>
          </w:p>
        </w:tc>
        <w:tc>
          <w:tcPr>
            <w:tcW w:w="581" w:type="pct"/>
          </w:tcPr>
          <w:p w14:paraId="5455C46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795CCA3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77C639D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0AA56D7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0765DE14"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6D20C0C8" w14:textId="77777777" w:rsidTr="00CC56AD">
        <w:tc>
          <w:tcPr>
            <w:tcW w:w="738" w:type="pct"/>
          </w:tcPr>
          <w:p w14:paraId="6CA5861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4.1.9 Organisational goals/guidelines</w:t>
            </w:r>
          </w:p>
        </w:tc>
        <w:tc>
          <w:tcPr>
            <w:tcW w:w="787" w:type="pct"/>
          </w:tcPr>
          <w:p w14:paraId="2516E9E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Clear organisational goals and guidelines</w:t>
            </w:r>
          </w:p>
        </w:tc>
        <w:tc>
          <w:tcPr>
            <w:tcW w:w="960" w:type="pct"/>
          </w:tcPr>
          <w:p w14:paraId="7B17A445" w14:textId="77777777" w:rsidR="00F26AE4" w:rsidRPr="00265687" w:rsidRDefault="00F26AE4" w:rsidP="00BE7DC4">
            <w:pPr>
              <w:spacing w:line="240" w:lineRule="auto"/>
              <w:ind w:firstLine="0"/>
              <w:rPr>
                <w:rFonts w:ascii="Times New Roman" w:hAnsi="Times New Roman" w:cs="Times New Roman"/>
                <w:i/>
                <w:sz w:val="16"/>
              </w:rPr>
            </w:pPr>
            <w:r w:rsidRPr="00265687">
              <w:rPr>
                <w:rFonts w:ascii="Times New Roman" w:hAnsi="Times New Roman" w:cs="Times New Roman"/>
                <w:i/>
                <w:sz w:val="16"/>
              </w:rPr>
              <w:t>Ammerman et al., 2014; Willey et al., 2018</w:t>
            </w:r>
          </w:p>
        </w:tc>
        <w:tc>
          <w:tcPr>
            <w:tcW w:w="160" w:type="pct"/>
            <w:shd w:val="clear" w:color="auto" w:fill="auto"/>
          </w:tcPr>
          <w:p w14:paraId="5505E01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p>
        </w:tc>
        <w:tc>
          <w:tcPr>
            <w:tcW w:w="581" w:type="pct"/>
          </w:tcPr>
          <w:p w14:paraId="5D733B2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28B1551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3619E18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6" w:type="pct"/>
          </w:tcPr>
          <w:p w14:paraId="19ED6B7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7" w:type="pct"/>
          </w:tcPr>
          <w:p w14:paraId="44402D9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Very low confidence</w:t>
            </w:r>
          </w:p>
        </w:tc>
      </w:tr>
      <w:tr w:rsidR="00F26AE4" w:rsidRPr="00265687" w14:paraId="73508CDC" w14:textId="77777777" w:rsidTr="00CC56AD">
        <w:tc>
          <w:tcPr>
            <w:tcW w:w="5000" w:type="pct"/>
            <w:gridSpan w:val="9"/>
            <w:shd w:val="clear" w:color="auto" w:fill="DBDBDB" w:themeFill="accent3" w:themeFillTint="66"/>
          </w:tcPr>
          <w:p w14:paraId="1C909FD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 Characteristics of PMH Care</w:t>
            </w:r>
          </w:p>
        </w:tc>
      </w:tr>
      <w:tr w:rsidR="00F26AE4" w:rsidRPr="00265687" w14:paraId="43767E10" w14:textId="77777777" w:rsidTr="00CC56AD">
        <w:tc>
          <w:tcPr>
            <w:tcW w:w="5000" w:type="pct"/>
            <w:gridSpan w:val="9"/>
            <w:shd w:val="clear" w:color="auto" w:fill="EDEDED" w:themeFill="accent3" w:themeFillTint="33"/>
          </w:tcPr>
          <w:p w14:paraId="7438D5FF"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4.2.1 Across the care pathway</w:t>
            </w:r>
          </w:p>
        </w:tc>
      </w:tr>
      <w:tr w:rsidR="00F26AE4" w:rsidRPr="00265687" w14:paraId="0FFF4D47" w14:textId="77777777" w:rsidTr="00CC56AD">
        <w:tc>
          <w:tcPr>
            <w:tcW w:w="738" w:type="pct"/>
          </w:tcPr>
          <w:p w14:paraId="33CF115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4.2.1.1 Continuity of carer</w:t>
            </w:r>
          </w:p>
        </w:tc>
        <w:tc>
          <w:tcPr>
            <w:tcW w:w="787" w:type="pct"/>
          </w:tcPr>
          <w:p w14:paraId="29D9152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provides the same HCP along the care pathway</w:t>
            </w:r>
          </w:p>
        </w:tc>
        <w:tc>
          <w:tcPr>
            <w:tcW w:w="960" w:type="pct"/>
            <w:shd w:val="clear" w:color="auto" w:fill="auto"/>
          </w:tcPr>
          <w:p w14:paraId="080DCEF1"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Chartier et al., 2015; Higgins et al., 2018; Nithianandan et al., 2016; O’Mahen &amp; Flynn, 2008; Rowan et al., 2010; Willey et al., 2018</w:t>
            </w:r>
          </w:p>
          <w:p w14:paraId="14C8AF7F" w14:textId="77777777" w:rsidR="00F26AE4" w:rsidRPr="00265687" w:rsidRDefault="00F26AE4" w:rsidP="00BE7DC4">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 xml:space="preserve">Brealey et al., 2010; Button et al., 2017; Dennis &amp; Chung-Lee, 2006; Hadfield &amp; Wittkowski, 2017; Megnin-Viggars et al., 2015; Sambrook Smith et al., 2019; Slade et </w:t>
            </w:r>
            <w:r w:rsidRPr="00265687">
              <w:rPr>
                <w:rFonts w:ascii="Times New Roman" w:hAnsi="Times New Roman" w:cs="Times New Roman"/>
                <w:noProof/>
                <w:color w:val="000000"/>
                <w:sz w:val="16"/>
                <w:szCs w:val="16"/>
              </w:rPr>
              <w:lastRenderedPageBreak/>
              <w:t>al., 2020; Tobin et al., 2018; Viveiros &amp; Darling, 2018; Watson et al., 2019</w:t>
            </w:r>
          </w:p>
          <w:p w14:paraId="72015A9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38FD9A0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17</w:t>
            </w:r>
          </w:p>
        </w:tc>
        <w:tc>
          <w:tcPr>
            <w:tcW w:w="581" w:type="pct"/>
          </w:tcPr>
          <w:p w14:paraId="740A5DC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4CBD4CD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153A16D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708B398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282AE0D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0596A83C" w14:textId="77777777" w:rsidTr="00CC56AD">
        <w:tc>
          <w:tcPr>
            <w:tcW w:w="738" w:type="pct"/>
          </w:tcPr>
          <w:p w14:paraId="50445BB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4.2.1.2 Culturally sensitive care</w:t>
            </w:r>
          </w:p>
        </w:tc>
        <w:tc>
          <w:tcPr>
            <w:tcW w:w="787" w:type="pct"/>
          </w:tcPr>
          <w:p w14:paraId="698004F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culturally sensitive to women's needs</w:t>
            </w:r>
          </w:p>
        </w:tc>
        <w:tc>
          <w:tcPr>
            <w:tcW w:w="960" w:type="pct"/>
            <w:shd w:val="clear" w:color="auto" w:fill="auto"/>
          </w:tcPr>
          <w:p w14:paraId="6F4ACD52"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Ganann et al., 2019; Nithianandan et al., 2016; Noonan et al., 2018; Shorey &amp; Ng, 2019</w:t>
            </w:r>
            <w:r w:rsidRPr="00265687">
              <w:rPr>
                <w:rFonts w:ascii="Times New Roman" w:hAnsi="Times New Roman" w:cs="Times New Roman"/>
                <w:i/>
                <w:color w:val="000000"/>
                <w:sz w:val="16"/>
                <w:szCs w:val="16"/>
              </w:rPr>
              <w:t xml:space="preserve"> </w:t>
            </w:r>
          </w:p>
          <w:p w14:paraId="23B3A3F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Bina, 2020; Brealey et al., 2010; Button et al., 2017; Dennis &amp; Chung-Lee, 2006; Giscombe et al., 2020; Hadfield &amp; Wittkowski, 2017; Hansotte et al., 2017; Hewitt et al., 2009; Jones, 2019; Kassam, 2019; Sambrook Smith et al., 2019; Schmied et al., 2017; Tobin et al., 2018; Viveiros &amp; Darling, 2018; Watson et al., 2019</w:t>
            </w:r>
          </w:p>
        </w:tc>
        <w:tc>
          <w:tcPr>
            <w:tcW w:w="160" w:type="pct"/>
            <w:shd w:val="clear" w:color="auto" w:fill="auto"/>
          </w:tcPr>
          <w:p w14:paraId="3DA6519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19</w:t>
            </w:r>
          </w:p>
        </w:tc>
        <w:tc>
          <w:tcPr>
            <w:tcW w:w="581" w:type="pct"/>
          </w:tcPr>
          <w:p w14:paraId="3093CD7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313D308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137AB78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65DEA64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299CF603"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48F2C820" w14:textId="77777777" w:rsidTr="00CC56AD">
        <w:tc>
          <w:tcPr>
            <w:tcW w:w="738" w:type="pct"/>
          </w:tcPr>
          <w:p w14:paraId="7FC0C2C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4.2.1.3 Privacy &amp; confidentiality</w:t>
            </w:r>
          </w:p>
        </w:tc>
        <w:tc>
          <w:tcPr>
            <w:tcW w:w="787" w:type="pct"/>
          </w:tcPr>
          <w:p w14:paraId="20FD93A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private and maintains women's confidentiality</w:t>
            </w:r>
          </w:p>
        </w:tc>
        <w:tc>
          <w:tcPr>
            <w:tcW w:w="960" w:type="pct"/>
            <w:shd w:val="clear" w:color="auto" w:fill="auto"/>
          </w:tcPr>
          <w:p w14:paraId="3B173B06" w14:textId="77777777" w:rsidR="00F26AE4" w:rsidRPr="00265687" w:rsidRDefault="00F26AE4" w:rsidP="00BE7DC4">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Atif et al., 2019; Feinberg et al., 2006; Higgins et al., 2018; Jallo et al., 2015; Nithianandan et al., 2016; O’Mahen &amp; Flynn, 2008</w:t>
            </w:r>
          </w:p>
          <w:p w14:paraId="0540339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Giscombe et al., 2020</w:t>
            </w:r>
          </w:p>
        </w:tc>
        <w:tc>
          <w:tcPr>
            <w:tcW w:w="160" w:type="pct"/>
            <w:shd w:val="clear" w:color="auto" w:fill="auto"/>
          </w:tcPr>
          <w:p w14:paraId="0B07FC9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1" w:type="pct"/>
          </w:tcPr>
          <w:p w14:paraId="4C72642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B782B1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2C19064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571319E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12D67929"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62885D5F" w14:textId="77777777" w:rsidTr="00CC56AD">
        <w:tc>
          <w:tcPr>
            <w:tcW w:w="738" w:type="pct"/>
          </w:tcPr>
          <w:p w14:paraId="24F4503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4.2.1.4 Dedicated person/ PMH Champion</w:t>
            </w:r>
          </w:p>
        </w:tc>
        <w:tc>
          <w:tcPr>
            <w:tcW w:w="787" w:type="pct"/>
          </w:tcPr>
          <w:p w14:paraId="4BB6FB1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has a dedicated person or PMH champion</w:t>
            </w:r>
          </w:p>
        </w:tc>
        <w:tc>
          <w:tcPr>
            <w:tcW w:w="960" w:type="pct"/>
            <w:shd w:val="clear" w:color="auto" w:fill="auto"/>
          </w:tcPr>
          <w:p w14:paraId="45CC884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i/>
                <w:noProof/>
                <w:color w:val="000000"/>
                <w:sz w:val="16"/>
                <w:szCs w:val="16"/>
              </w:rPr>
              <w:t>Chartier et al., 2015; Ganann et al., 2019; Kim et al., 2009; Lomonaco-Haycraft et al., 2018; Nithianandan et al., 2016; Rowan et al., 2010; Willey et al., 2018</w:t>
            </w:r>
            <w:r w:rsidRPr="00265687">
              <w:rPr>
                <w:rFonts w:ascii="Times New Roman" w:hAnsi="Times New Roman" w:cs="Times New Roman"/>
                <w:i/>
                <w:color w:val="000000"/>
                <w:sz w:val="16"/>
                <w:szCs w:val="16"/>
              </w:rPr>
              <w:t xml:space="preserve"> </w:t>
            </w:r>
            <w:r w:rsidRPr="00265687">
              <w:rPr>
                <w:rFonts w:ascii="Times New Roman" w:hAnsi="Times New Roman" w:cs="Times New Roman"/>
                <w:noProof/>
                <w:color w:val="000000"/>
                <w:sz w:val="16"/>
                <w:szCs w:val="16"/>
              </w:rPr>
              <w:t>Bina, 2020; Megnin-Viggars et al., 2015</w:t>
            </w:r>
          </w:p>
        </w:tc>
        <w:tc>
          <w:tcPr>
            <w:tcW w:w="160" w:type="pct"/>
            <w:shd w:val="clear" w:color="auto" w:fill="auto"/>
          </w:tcPr>
          <w:p w14:paraId="52944E6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1" w:type="pct"/>
          </w:tcPr>
          <w:p w14:paraId="1E918E81" w14:textId="00B58F29" w:rsidR="00F26AE4" w:rsidRPr="00265687" w:rsidRDefault="002B7A29"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w:t>
            </w:r>
            <w:r w:rsidR="00F26AE4" w:rsidRPr="00265687">
              <w:rPr>
                <w:rFonts w:ascii="Times New Roman" w:hAnsi="Times New Roman" w:cs="Times New Roman"/>
                <w:sz w:val="16"/>
                <w:szCs w:val="16"/>
              </w:rPr>
              <w:t xml:space="preserve"> confidence</w:t>
            </w:r>
          </w:p>
        </w:tc>
        <w:tc>
          <w:tcPr>
            <w:tcW w:w="470" w:type="pct"/>
          </w:tcPr>
          <w:p w14:paraId="5114BBB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23720E9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69A63F5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29D81AC9"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6DE715ED" w14:textId="77777777" w:rsidTr="00CC56AD">
        <w:tc>
          <w:tcPr>
            <w:tcW w:w="738" w:type="pct"/>
          </w:tcPr>
          <w:p w14:paraId="2472E2E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4.2.1.5 Logistical support</w:t>
            </w:r>
          </w:p>
        </w:tc>
        <w:tc>
          <w:tcPr>
            <w:tcW w:w="787" w:type="pct"/>
          </w:tcPr>
          <w:p w14:paraId="66766B4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Logistical support for women including easily accessible location, childcare, travel costs</w:t>
            </w:r>
          </w:p>
        </w:tc>
        <w:tc>
          <w:tcPr>
            <w:tcW w:w="960" w:type="pct"/>
            <w:shd w:val="clear" w:color="auto" w:fill="auto"/>
          </w:tcPr>
          <w:p w14:paraId="67FECD66"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Ganann et al., 2019; Hadfield &amp; Wittkowski, 2017; Leger et al., 2015; Masood et al., 2015; Nakku et al., 2016; Nithianandan et al., 2016; Ormsby et al., 2018</w:t>
            </w:r>
          </w:p>
          <w:p w14:paraId="351AA1E4"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color w:val="000000"/>
                <w:sz w:val="16"/>
              </w:rPr>
              <w:t>Button et al., 2017; Jones, 2019; Mollard et al., 2016; Newman et al., 2019; Scope et al., 2017; Watson et al., 2019</w:t>
            </w:r>
          </w:p>
        </w:tc>
        <w:tc>
          <w:tcPr>
            <w:tcW w:w="160" w:type="pct"/>
            <w:shd w:val="clear" w:color="auto" w:fill="auto"/>
          </w:tcPr>
          <w:p w14:paraId="59C1678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13</w:t>
            </w:r>
          </w:p>
        </w:tc>
        <w:tc>
          <w:tcPr>
            <w:tcW w:w="581" w:type="pct"/>
          </w:tcPr>
          <w:p w14:paraId="6BAD1BE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6B153F4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292A052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4C155C9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6A8E3DD5"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4C4CC399" w14:textId="77777777" w:rsidTr="00CC56AD">
        <w:tc>
          <w:tcPr>
            <w:tcW w:w="738" w:type="pct"/>
          </w:tcPr>
          <w:p w14:paraId="5541277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4.2.1.6 Home delivery</w:t>
            </w:r>
          </w:p>
        </w:tc>
        <w:tc>
          <w:tcPr>
            <w:tcW w:w="787" w:type="pct"/>
          </w:tcPr>
          <w:p w14:paraId="3F9428E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delivered at home</w:t>
            </w:r>
          </w:p>
        </w:tc>
        <w:tc>
          <w:tcPr>
            <w:tcW w:w="960" w:type="pct"/>
            <w:shd w:val="clear" w:color="auto" w:fill="auto"/>
          </w:tcPr>
          <w:p w14:paraId="31F1AE29" w14:textId="77777777" w:rsidR="00F26AE4" w:rsidRPr="00265687" w:rsidRDefault="00F26AE4" w:rsidP="00BE7DC4">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Ammerman et al., 2014; Beeber et al., 2009; Judd et al., 2011; Leger et al., 2015; Munodawafa et al., 2017; Myors et al., 2015</w:t>
            </w:r>
          </w:p>
          <w:p w14:paraId="1FB333F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Brealey et al., 2010; Hadfield &amp; Wittkowski, 2017; Hansotte et al., 2017; Jones, 2019</w:t>
            </w:r>
          </w:p>
        </w:tc>
        <w:tc>
          <w:tcPr>
            <w:tcW w:w="160" w:type="pct"/>
            <w:shd w:val="clear" w:color="auto" w:fill="auto"/>
          </w:tcPr>
          <w:p w14:paraId="38DE234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10</w:t>
            </w:r>
          </w:p>
        </w:tc>
        <w:tc>
          <w:tcPr>
            <w:tcW w:w="581" w:type="pct"/>
          </w:tcPr>
          <w:p w14:paraId="3CFB9D9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1BD9013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6F11967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10C739F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46086D0F"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DC2D27C" w14:textId="77777777" w:rsidTr="00CC56AD">
        <w:tc>
          <w:tcPr>
            <w:tcW w:w="738" w:type="pct"/>
          </w:tcPr>
          <w:p w14:paraId="37F894A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4.2.1.7 Hospital delivery</w:t>
            </w:r>
          </w:p>
        </w:tc>
        <w:tc>
          <w:tcPr>
            <w:tcW w:w="787" w:type="pct"/>
          </w:tcPr>
          <w:p w14:paraId="566CB7B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Care that is delivered in hopsital/medical setting</w:t>
            </w:r>
          </w:p>
        </w:tc>
        <w:tc>
          <w:tcPr>
            <w:tcW w:w="960" w:type="pct"/>
            <w:shd w:val="clear" w:color="auto" w:fill="auto"/>
          </w:tcPr>
          <w:p w14:paraId="23D0E5E3"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Atif et al., 2019; Boyd et al., 2011; Kerker et al., 2018; Shakespeare et al., 2003</w:t>
            </w:r>
          </w:p>
          <w:p w14:paraId="200FF95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Dennis &amp; Chung-Lee, 2006</w:t>
            </w:r>
          </w:p>
        </w:tc>
        <w:tc>
          <w:tcPr>
            <w:tcW w:w="160" w:type="pct"/>
            <w:shd w:val="clear" w:color="auto" w:fill="auto"/>
          </w:tcPr>
          <w:p w14:paraId="1FDDBAE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w:t>
            </w:r>
          </w:p>
        </w:tc>
        <w:tc>
          <w:tcPr>
            <w:tcW w:w="581" w:type="pct"/>
          </w:tcPr>
          <w:p w14:paraId="1857F52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0164ACB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0E42B04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6" w:type="pct"/>
          </w:tcPr>
          <w:p w14:paraId="2F70D4A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169A051C"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18A97208" w14:textId="77777777" w:rsidTr="00CC56AD">
        <w:tc>
          <w:tcPr>
            <w:tcW w:w="738" w:type="pct"/>
          </w:tcPr>
          <w:p w14:paraId="2611AFE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4.2.1.8 Provision of information</w:t>
            </w:r>
          </w:p>
        </w:tc>
        <w:tc>
          <w:tcPr>
            <w:tcW w:w="787" w:type="pct"/>
          </w:tcPr>
          <w:p w14:paraId="0F972D9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Whether care provides information</w:t>
            </w:r>
          </w:p>
        </w:tc>
        <w:tc>
          <w:tcPr>
            <w:tcW w:w="960" w:type="pct"/>
          </w:tcPr>
          <w:p w14:paraId="35BCE02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Dennis &amp; Chung-Lee, 2006; Hadfield &amp; Wittkowski, 2017; Jones, 2019; Megnin-Viggars et al., 2015; Morrell et al., 2016; Randall &amp; Briscoe, 2018; Schmied et al., 2017</w:t>
            </w:r>
          </w:p>
        </w:tc>
        <w:tc>
          <w:tcPr>
            <w:tcW w:w="160" w:type="pct"/>
            <w:shd w:val="clear" w:color="auto" w:fill="auto"/>
          </w:tcPr>
          <w:p w14:paraId="29F0BFC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1" w:type="pct"/>
          </w:tcPr>
          <w:p w14:paraId="13FB0C7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211A07C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7EA908E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5C754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3B0DBA1B"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CE55D6B" w14:textId="77777777" w:rsidTr="00CC56AD">
        <w:tc>
          <w:tcPr>
            <w:tcW w:w="738" w:type="pct"/>
          </w:tcPr>
          <w:p w14:paraId="378856A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4.2.1.9 Technology</w:t>
            </w:r>
          </w:p>
        </w:tc>
        <w:tc>
          <w:tcPr>
            <w:tcW w:w="787" w:type="pct"/>
          </w:tcPr>
          <w:p w14:paraId="0472066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The use of technology in care</w:t>
            </w:r>
          </w:p>
        </w:tc>
        <w:tc>
          <w:tcPr>
            <w:tcW w:w="960" w:type="pct"/>
            <w:shd w:val="clear" w:color="auto" w:fill="auto"/>
          </w:tcPr>
          <w:p w14:paraId="256CC2A3"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Doering et al., 2017; Feinberg et al., 2006; Fernandez y Garcia et al., 2011; Jallo et al., 2015; Kim et al., 2009; Lind et al., 2017; Noonan et al., 2018; Pineros-Leano et al., 2015; Shorey &amp; Ng, 2019; Willey et al., 2018; Williams et al., 2016</w:t>
            </w:r>
          </w:p>
          <w:p w14:paraId="5873AE8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68FC07B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1" w:type="pct"/>
          </w:tcPr>
          <w:p w14:paraId="27C04BE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172B8EC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7D11C0F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2D25691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0F3CDC8A"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47315EEF" w14:textId="77777777" w:rsidTr="00CC56AD">
        <w:tc>
          <w:tcPr>
            <w:tcW w:w="738" w:type="pct"/>
          </w:tcPr>
          <w:p w14:paraId="763DB00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4.2.1.10 Service inclusion criteria</w:t>
            </w:r>
          </w:p>
        </w:tc>
        <w:tc>
          <w:tcPr>
            <w:tcW w:w="787" w:type="pct"/>
          </w:tcPr>
          <w:p w14:paraId="3797EF4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Inclusion criteria of services </w:t>
            </w:r>
          </w:p>
        </w:tc>
        <w:tc>
          <w:tcPr>
            <w:tcW w:w="960" w:type="pct"/>
            <w:shd w:val="clear" w:color="auto" w:fill="auto"/>
          </w:tcPr>
          <w:p w14:paraId="5AC3BA6E"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Boyd et al., 2011; Ganann et al., 2019</w:t>
            </w:r>
          </w:p>
          <w:p w14:paraId="21D3F1E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Viveiros &amp; Darling, 2018</w:t>
            </w:r>
          </w:p>
        </w:tc>
        <w:tc>
          <w:tcPr>
            <w:tcW w:w="160" w:type="pct"/>
            <w:shd w:val="clear" w:color="auto" w:fill="auto"/>
          </w:tcPr>
          <w:p w14:paraId="5AF483A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3</w:t>
            </w:r>
          </w:p>
        </w:tc>
        <w:tc>
          <w:tcPr>
            <w:tcW w:w="581" w:type="pct"/>
          </w:tcPr>
          <w:p w14:paraId="716CBD11" w14:textId="17A77A62" w:rsidR="00F26AE4" w:rsidRPr="00265687" w:rsidRDefault="00302D87"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Moderate confidence </w:t>
            </w:r>
          </w:p>
        </w:tc>
        <w:tc>
          <w:tcPr>
            <w:tcW w:w="470" w:type="pct"/>
          </w:tcPr>
          <w:p w14:paraId="739E35F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17899AF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150A421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4596D9E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30B72A3B" w14:textId="77777777" w:rsidTr="00CC56AD">
        <w:tc>
          <w:tcPr>
            <w:tcW w:w="5000" w:type="pct"/>
            <w:gridSpan w:val="9"/>
            <w:shd w:val="clear" w:color="auto" w:fill="EDEDED" w:themeFill="accent3" w:themeFillTint="33"/>
          </w:tcPr>
          <w:p w14:paraId="4C13DAA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4.2.2 Assessment specific characteristics</w:t>
            </w:r>
          </w:p>
        </w:tc>
      </w:tr>
      <w:tr w:rsidR="00F26AE4" w:rsidRPr="00265687" w14:paraId="4936FC4A" w14:textId="77777777" w:rsidTr="00CC56AD">
        <w:tc>
          <w:tcPr>
            <w:tcW w:w="738" w:type="pct"/>
          </w:tcPr>
          <w:p w14:paraId="7DDBE7C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4.2.2.1 Wording of assessment tools</w:t>
            </w:r>
          </w:p>
        </w:tc>
        <w:tc>
          <w:tcPr>
            <w:tcW w:w="787" w:type="pct"/>
          </w:tcPr>
          <w:p w14:paraId="7858C9E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How assessment tools are worded</w:t>
            </w:r>
          </w:p>
        </w:tc>
        <w:tc>
          <w:tcPr>
            <w:tcW w:w="960" w:type="pct"/>
            <w:shd w:val="clear" w:color="auto" w:fill="auto"/>
          </w:tcPr>
          <w:p w14:paraId="0145F3A4"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Doering et al., 2017; Segre et al., 2014; Williams et al., 2016</w:t>
            </w:r>
          </w:p>
          <w:p w14:paraId="73A09CE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Brealey et al., 2010; Button et al., 2017; Hewitt et al., 2009</w:t>
            </w:r>
          </w:p>
        </w:tc>
        <w:tc>
          <w:tcPr>
            <w:tcW w:w="160" w:type="pct"/>
            <w:shd w:val="clear" w:color="auto" w:fill="auto"/>
          </w:tcPr>
          <w:p w14:paraId="73AFA72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w:t>
            </w:r>
          </w:p>
        </w:tc>
        <w:tc>
          <w:tcPr>
            <w:tcW w:w="581" w:type="pct"/>
          </w:tcPr>
          <w:p w14:paraId="34AC5DC2" w14:textId="6567FAEE" w:rsidR="00F26AE4" w:rsidRPr="00265687" w:rsidRDefault="008379F5"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w:t>
            </w:r>
            <w:r w:rsidR="00F26AE4" w:rsidRPr="00265687">
              <w:rPr>
                <w:rFonts w:ascii="Times New Roman" w:hAnsi="Times New Roman" w:cs="Times New Roman"/>
                <w:sz w:val="16"/>
                <w:szCs w:val="16"/>
              </w:rPr>
              <w:t xml:space="preserve"> confidence</w:t>
            </w:r>
          </w:p>
        </w:tc>
        <w:tc>
          <w:tcPr>
            <w:tcW w:w="470" w:type="pct"/>
          </w:tcPr>
          <w:p w14:paraId="5395A62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2F15103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561C288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114CC53A"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628A0B23" w14:textId="77777777" w:rsidTr="00CC56AD">
        <w:tc>
          <w:tcPr>
            <w:tcW w:w="738" w:type="pct"/>
          </w:tcPr>
          <w:p w14:paraId="5D7981E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4.2.2.2 Acceptability of assessment/ screening</w:t>
            </w:r>
          </w:p>
        </w:tc>
        <w:tc>
          <w:tcPr>
            <w:tcW w:w="787" w:type="pct"/>
          </w:tcPr>
          <w:p w14:paraId="1978EDF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Whether assessment tools and assessment/screening in general are acceptable to women and HCPs</w:t>
            </w:r>
          </w:p>
        </w:tc>
        <w:tc>
          <w:tcPr>
            <w:tcW w:w="960" w:type="pct"/>
            <w:shd w:val="clear" w:color="auto" w:fill="auto"/>
          </w:tcPr>
          <w:p w14:paraId="4F4D9995"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Boyd et al., 2011; Doering et al., 2017; Feinberg et al., 2006; Ganann et al., 2019; Kim et al., 2009; Nithianandan et al., 2016; Segre et al., 2014; Shakespeare et al., 2003; Vik et al., 2009; Willey et al., 2018</w:t>
            </w:r>
          </w:p>
          <w:p w14:paraId="6F09D134"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color w:val="000000"/>
                <w:sz w:val="16"/>
              </w:rPr>
              <w:t>Brealey et al., 2010; Evans et al., 2020; Hewitt et al., 2009; Megnin-Viggars et al., 2015; Mollard et al., 2016; Sambrook Smith et al., 2019; Viveiros &amp; Darling, 2018</w:t>
            </w:r>
          </w:p>
        </w:tc>
        <w:tc>
          <w:tcPr>
            <w:tcW w:w="160" w:type="pct"/>
            <w:shd w:val="clear" w:color="auto" w:fill="auto"/>
          </w:tcPr>
          <w:p w14:paraId="66AB9D3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17</w:t>
            </w:r>
          </w:p>
        </w:tc>
        <w:tc>
          <w:tcPr>
            <w:tcW w:w="581" w:type="pct"/>
          </w:tcPr>
          <w:p w14:paraId="60BA50D1" w14:textId="56F2105F" w:rsidR="00F26AE4" w:rsidRPr="00265687" w:rsidRDefault="00F908CE"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Moderate confidence </w:t>
            </w:r>
          </w:p>
        </w:tc>
        <w:tc>
          <w:tcPr>
            <w:tcW w:w="470" w:type="pct"/>
          </w:tcPr>
          <w:p w14:paraId="66BB50F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3B1E1B4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0D093CD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366F2FD0"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216F8A1A" w14:textId="77777777" w:rsidTr="00CC56AD">
        <w:tc>
          <w:tcPr>
            <w:tcW w:w="5000" w:type="pct"/>
            <w:gridSpan w:val="9"/>
            <w:shd w:val="clear" w:color="auto" w:fill="EDEDED" w:themeFill="accent3" w:themeFillTint="33"/>
          </w:tcPr>
          <w:p w14:paraId="64DA2FFB"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4.2.3 Intervention characteristics</w:t>
            </w:r>
          </w:p>
        </w:tc>
      </w:tr>
      <w:tr w:rsidR="00F26AE4" w:rsidRPr="00265687" w14:paraId="2FCB863E" w14:textId="77777777" w:rsidTr="00CC56AD">
        <w:tc>
          <w:tcPr>
            <w:tcW w:w="738" w:type="pct"/>
          </w:tcPr>
          <w:p w14:paraId="4F11B9B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4.2.3.1 Opportunity to talk</w:t>
            </w:r>
          </w:p>
        </w:tc>
        <w:tc>
          <w:tcPr>
            <w:tcW w:w="787" w:type="pct"/>
          </w:tcPr>
          <w:p w14:paraId="760EC37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Interventions that provide an opportunity to talk</w:t>
            </w:r>
          </w:p>
        </w:tc>
        <w:tc>
          <w:tcPr>
            <w:tcW w:w="960" w:type="pct"/>
            <w:shd w:val="clear" w:color="auto" w:fill="auto"/>
          </w:tcPr>
          <w:p w14:paraId="2F6DEDE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Dennis &amp; Chung-Lee, 2006; Evans et al., 2020; Hadfield &amp; Wittkowski, 2017; Jones et al., 2014; Kassam, 2019; Morrell et al., 2016; Praetorius et al., 2020</w:t>
            </w:r>
          </w:p>
        </w:tc>
        <w:tc>
          <w:tcPr>
            <w:tcW w:w="160" w:type="pct"/>
            <w:shd w:val="clear" w:color="auto" w:fill="auto"/>
          </w:tcPr>
          <w:p w14:paraId="274D3F0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w:t>
            </w:r>
          </w:p>
        </w:tc>
        <w:tc>
          <w:tcPr>
            <w:tcW w:w="581" w:type="pct"/>
          </w:tcPr>
          <w:p w14:paraId="5978475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70" w:type="pct"/>
          </w:tcPr>
          <w:p w14:paraId="76558CE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4B0A570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66B95F8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709218BA"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7C2AD5A5" w14:textId="77777777" w:rsidTr="00CC56AD">
        <w:tc>
          <w:tcPr>
            <w:tcW w:w="738" w:type="pct"/>
          </w:tcPr>
          <w:p w14:paraId="2DE9B6F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4.2.3.2 Individualised and person centred</w:t>
            </w:r>
          </w:p>
        </w:tc>
        <w:tc>
          <w:tcPr>
            <w:tcW w:w="787" w:type="pct"/>
          </w:tcPr>
          <w:p w14:paraId="7A1BFAC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Indiviudalised and person centred interventions/care</w:t>
            </w:r>
          </w:p>
        </w:tc>
        <w:tc>
          <w:tcPr>
            <w:tcW w:w="960" w:type="pct"/>
            <w:shd w:val="clear" w:color="auto" w:fill="auto"/>
          </w:tcPr>
          <w:p w14:paraId="1E70FCEA"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 xml:space="preserve">Chartier et al., 2015; Doering et al., 2017; Ganann et al., 2019; Masood et al., 2015; McKenzie-McHarg et al., </w:t>
            </w:r>
            <w:r w:rsidRPr="00265687">
              <w:rPr>
                <w:rFonts w:ascii="Times New Roman" w:hAnsi="Times New Roman" w:cs="Times New Roman"/>
                <w:i/>
                <w:noProof/>
                <w:color w:val="000000"/>
                <w:sz w:val="16"/>
                <w:szCs w:val="16"/>
              </w:rPr>
              <w:lastRenderedPageBreak/>
              <w:t>2014; Noonan et al., 2018; O’Mahen &amp; Flynn, 2008; Pugh et al., 2015; Segre et al., 2014; Shorey &amp; Ng, 2019</w:t>
            </w:r>
          </w:p>
          <w:p w14:paraId="6FA35547" w14:textId="77777777" w:rsidR="00F26AE4" w:rsidRPr="00265687" w:rsidRDefault="00F26AE4" w:rsidP="00BE7DC4">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Evans et al., 2020; Hadfield &amp; Wittkowski, 2017; Megnin-Viggars et al., 2015; Morrell et al., 2016; Schmied et al., 2017; Scope et al., 2017; Slade et al., 2020; Watson et al., 2019</w:t>
            </w:r>
          </w:p>
          <w:p w14:paraId="680B6E7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SH </w:t>
            </w:r>
          </w:p>
        </w:tc>
        <w:tc>
          <w:tcPr>
            <w:tcW w:w="160" w:type="pct"/>
            <w:shd w:val="clear" w:color="auto" w:fill="auto"/>
          </w:tcPr>
          <w:p w14:paraId="1998C36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19</w:t>
            </w:r>
          </w:p>
        </w:tc>
        <w:tc>
          <w:tcPr>
            <w:tcW w:w="581" w:type="pct"/>
          </w:tcPr>
          <w:p w14:paraId="148C7AB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6C4D935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7719E23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7085CF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56E3CC8B"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4B765751" w14:textId="77777777" w:rsidTr="00CC56AD">
        <w:tc>
          <w:tcPr>
            <w:tcW w:w="738" w:type="pct"/>
          </w:tcPr>
          <w:p w14:paraId="1253236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4.2.3.3 Appropriateness</w:t>
            </w:r>
          </w:p>
        </w:tc>
        <w:tc>
          <w:tcPr>
            <w:tcW w:w="787" w:type="pct"/>
          </w:tcPr>
          <w:p w14:paraId="1A815DF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Appropriateness of intervention being offered, from women and HCPs point of view</w:t>
            </w:r>
          </w:p>
        </w:tc>
        <w:tc>
          <w:tcPr>
            <w:tcW w:w="960" w:type="pct"/>
            <w:shd w:val="clear" w:color="auto" w:fill="auto"/>
          </w:tcPr>
          <w:p w14:paraId="6FFE8DC4"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Atif et al., 2019; Bina et al., 2018; Chartier et al., 2015; Drozd et al., 2018; Leger et al., 2015; McKenzie-McHarg et al., 2014; Munodawafa et al., 2017; Noonan et al., 2018; Ormsby et al., 2018; Pugh et al., 2015; Reed et al., 2014; Shorey &amp; Ng, 2019</w:t>
            </w:r>
          </w:p>
          <w:p w14:paraId="13918B85" w14:textId="77777777" w:rsidR="00F26AE4" w:rsidRPr="00265687" w:rsidRDefault="00F26AE4" w:rsidP="00BE7DC4">
            <w:pPr>
              <w:spacing w:line="240" w:lineRule="auto"/>
              <w:ind w:firstLine="0"/>
              <w:rPr>
                <w:rFonts w:ascii="Times New Roman" w:hAnsi="Times New Roman" w:cs="Times New Roman"/>
                <w:sz w:val="16"/>
              </w:rPr>
            </w:pPr>
            <w:r w:rsidRPr="00265687">
              <w:rPr>
                <w:rFonts w:ascii="Times New Roman" w:hAnsi="Times New Roman" w:cs="Times New Roman"/>
                <w:color w:val="000000"/>
                <w:sz w:val="16"/>
              </w:rPr>
              <w:t>Evans et al., 2020; Megnin-Viggars et al., 2015; Scope et al., 2017</w:t>
            </w:r>
          </w:p>
        </w:tc>
        <w:tc>
          <w:tcPr>
            <w:tcW w:w="160" w:type="pct"/>
            <w:shd w:val="clear" w:color="auto" w:fill="auto"/>
          </w:tcPr>
          <w:p w14:paraId="51A235C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15</w:t>
            </w:r>
          </w:p>
        </w:tc>
        <w:tc>
          <w:tcPr>
            <w:tcW w:w="581" w:type="pct"/>
          </w:tcPr>
          <w:p w14:paraId="56F5B93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2BCEFCA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3EBF305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47AE50B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055C92BF"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1C37FC63" w14:textId="77777777" w:rsidTr="00CC56AD">
        <w:tc>
          <w:tcPr>
            <w:tcW w:w="738" w:type="pct"/>
          </w:tcPr>
          <w:p w14:paraId="1600A58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4.2.3.4 Flexible</w:t>
            </w:r>
          </w:p>
        </w:tc>
        <w:tc>
          <w:tcPr>
            <w:tcW w:w="787" w:type="pct"/>
          </w:tcPr>
          <w:p w14:paraId="31DB037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Flexibility of intervention</w:t>
            </w:r>
          </w:p>
        </w:tc>
        <w:tc>
          <w:tcPr>
            <w:tcW w:w="960" w:type="pct"/>
            <w:shd w:val="clear" w:color="auto" w:fill="auto"/>
          </w:tcPr>
          <w:p w14:paraId="3A2184EA"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Atif et al., 2019; Bina et al., 2018; Ganann et al., 2019; Hadfield et al., 2019; Judd et al., 2011; Munodawafa et al., 2017; O’Mahen &amp; Flynn, 2008; Pugh et al., 2015; Shorey &amp; Ng, 2019</w:t>
            </w:r>
          </w:p>
          <w:p w14:paraId="32F4C8D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color w:val="000000"/>
                <w:sz w:val="16"/>
                <w:szCs w:val="16"/>
              </w:rPr>
              <w:t>Sorsa et al., 2021; Watson et al., 2019</w:t>
            </w:r>
          </w:p>
        </w:tc>
        <w:tc>
          <w:tcPr>
            <w:tcW w:w="160" w:type="pct"/>
            <w:shd w:val="clear" w:color="auto" w:fill="auto"/>
          </w:tcPr>
          <w:p w14:paraId="73C8E28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11</w:t>
            </w:r>
          </w:p>
        </w:tc>
        <w:tc>
          <w:tcPr>
            <w:tcW w:w="581" w:type="pct"/>
          </w:tcPr>
          <w:p w14:paraId="7CA71E6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3246024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42D3165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370C132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6548281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0424CD90" w14:textId="77777777" w:rsidTr="00CC56AD">
        <w:tc>
          <w:tcPr>
            <w:tcW w:w="738" w:type="pct"/>
          </w:tcPr>
          <w:p w14:paraId="2ADA349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4.2.3.5 Group support</w:t>
            </w:r>
          </w:p>
        </w:tc>
        <w:tc>
          <w:tcPr>
            <w:tcW w:w="787" w:type="pct"/>
          </w:tcPr>
          <w:p w14:paraId="10212BE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Group/peer support as an intervention</w:t>
            </w:r>
          </w:p>
        </w:tc>
        <w:tc>
          <w:tcPr>
            <w:tcW w:w="960" w:type="pct"/>
            <w:shd w:val="clear" w:color="auto" w:fill="auto"/>
          </w:tcPr>
          <w:p w14:paraId="639EE21C"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Hadfield et al., 2019; Masood et al., 2015; Nakku et al., 2016</w:t>
            </w:r>
          </w:p>
          <w:p w14:paraId="61554328" w14:textId="77777777" w:rsidR="00F26AE4" w:rsidRPr="00265687" w:rsidRDefault="00F26AE4" w:rsidP="00BE7DC4">
            <w:pPr>
              <w:spacing w:line="240" w:lineRule="auto"/>
              <w:ind w:firstLine="0"/>
              <w:rPr>
                <w:rFonts w:ascii="Times New Roman" w:hAnsi="Times New Roman" w:cs="Times New Roman"/>
                <w:color w:val="000000"/>
                <w:sz w:val="16"/>
              </w:rPr>
            </w:pPr>
            <w:r w:rsidRPr="00265687">
              <w:rPr>
                <w:rFonts w:ascii="Times New Roman" w:hAnsi="Times New Roman" w:cs="Times New Roman"/>
                <w:color w:val="000000"/>
                <w:sz w:val="16"/>
              </w:rPr>
              <w:t>Dennis &amp; Chung-Lee, 2006; Evans et al., 2020; Hadfield &amp; Wittkowski, 2017; Holopainen &amp; Hakulinen, 2019; Jones et al., 2014; Megnin-Viggars et al., 2015; Schmied et al., 2017; Scope et al., 2017; Slade et al., 2020; Tobin et al., 2018; Watson et al., 2019</w:t>
            </w:r>
          </w:p>
          <w:p w14:paraId="1EFE407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1AFB83B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14</w:t>
            </w:r>
          </w:p>
        </w:tc>
        <w:tc>
          <w:tcPr>
            <w:tcW w:w="581" w:type="pct"/>
          </w:tcPr>
          <w:p w14:paraId="3DF8308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756ACEA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1D88046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061D2AB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27FBDB9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6E0EBC1E" w14:textId="77777777" w:rsidTr="00CC56AD">
        <w:tc>
          <w:tcPr>
            <w:tcW w:w="738" w:type="pct"/>
          </w:tcPr>
          <w:p w14:paraId="12EEB14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4.2.3.7 Face to face delivery</w:t>
            </w:r>
          </w:p>
        </w:tc>
        <w:tc>
          <w:tcPr>
            <w:tcW w:w="787" w:type="pct"/>
          </w:tcPr>
          <w:p w14:paraId="6A13D1D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Face to face delivery of intervention</w:t>
            </w:r>
          </w:p>
        </w:tc>
        <w:tc>
          <w:tcPr>
            <w:tcW w:w="960" w:type="pct"/>
          </w:tcPr>
          <w:p w14:paraId="15656E1C" w14:textId="77777777" w:rsidR="00F26AE4" w:rsidRPr="00265687" w:rsidRDefault="00F26AE4" w:rsidP="00BE7DC4">
            <w:pPr>
              <w:spacing w:line="240" w:lineRule="auto"/>
              <w:ind w:firstLine="0"/>
              <w:rPr>
                <w:rFonts w:ascii="Times New Roman" w:hAnsi="Times New Roman" w:cs="Times New Roman"/>
                <w:i/>
                <w:sz w:val="16"/>
                <w:szCs w:val="16"/>
              </w:rPr>
            </w:pPr>
            <w:r w:rsidRPr="00265687">
              <w:rPr>
                <w:rFonts w:ascii="Times New Roman" w:hAnsi="Times New Roman" w:cs="Times New Roman"/>
                <w:i/>
                <w:noProof/>
                <w:sz w:val="16"/>
                <w:szCs w:val="16"/>
              </w:rPr>
              <w:t>O’Mahen &amp; Flynn, 2008; Pugh et al., 2015; Shorey &amp; Ng, 2019</w:t>
            </w:r>
            <w:r w:rsidRPr="00265687">
              <w:rPr>
                <w:rFonts w:ascii="Times New Roman" w:hAnsi="Times New Roman" w:cs="Times New Roman"/>
                <w:i/>
                <w:sz w:val="16"/>
                <w:szCs w:val="16"/>
              </w:rPr>
              <w:t xml:space="preserve"> </w:t>
            </w:r>
          </w:p>
          <w:p w14:paraId="6F3DF59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noProof/>
                <w:sz w:val="16"/>
                <w:szCs w:val="16"/>
              </w:rPr>
              <w:t>Schmied et al., 2017</w:t>
            </w:r>
          </w:p>
          <w:p w14:paraId="3702D43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shd w:val="clear" w:color="auto" w:fill="auto"/>
          </w:tcPr>
          <w:p w14:paraId="0294AE6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w:t>
            </w:r>
          </w:p>
        </w:tc>
        <w:tc>
          <w:tcPr>
            <w:tcW w:w="581" w:type="pct"/>
          </w:tcPr>
          <w:p w14:paraId="1CF29C01"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225780E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Very low confidence</w:t>
            </w:r>
          </w:p>
        </w:tc>
        <w:tc>
          <w:tcPr>
            <w:tcW w:w="431" w:type="pct"/>
          </w:tcPr>
          <w:p w14:paraId="11F8BA5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0E10893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2B6C1FDA"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Low confidence</w:t>
            </w:r>
          </w:p>
        </w:tc>
      </w:tr>
      <w:tr w:rsidR="00F26AE4" w:rsidRPr="00265687" w14:paraId="17197C67" w14:textId="77777777" w:rsidTr="00CC56AD">
        <w:tc>
          <w:tcPr>
            <w:tcW w:w="5000" w:type="pct"/>
            <w:gridSpan w:val="9"/>
            <w:shd w:val="clear" w:color="auto" w:fill="A5A5A5" w:themeFill="accent3"/>
          </w:tcPr>
          <w:p w14:paraId="4653C78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 xml:space="preserve">5. Commissioners </w:t>
            </w:r>
          </w:p>
        </w:tc>
      </w:tr>
      <w:tr w:rsidR="00F26AE4" w:rsidRPr="00265687" w14:paraId="08ECB588" w14:textId="77777777" w:rsidTr="00CC56AD">
        <w:tc>
          <w:tcPr>
            <w:tcW w:w="738" w:type="pct"/>
          </w:tcPr>
          <w:p w14:paraId="47C63B6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5.1 Referral pathways</w:t>
            </w:r>
          </w:p>
        </w:tc>
        <w:tc>
          <w:tcPr>
            <w:tcW w:w="787" w:type="pct"/>
          </w:tcPr>
          <w:p w14:paraId="1AE1E34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Clear referral pathways</w:t>
            </w:r>
          </w:p>
        </w:tc>
        <w:tc>
          <w:tcPr>
            <w:tcW w:w="960" w:type="pct"/>
            <w:shd w:val="clear" w:color="auto" w:fill="auto"/>
          </w:tcPr>
          <w:p w14:paraId="66D8836A"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 xml:space="preserve">Ammerman et al., 2014; Boyd et al., 2011; Higgins et al., 2018; </w:t>
            </w:r>
            <w:r w:rsidRPr="00265687">
              <w:rPr>
                <w:rFonts w:ascii="Times New Roman" w:hAnsi="Times New Roman" w:cs="Times New Roman"/>
                <w:i/>
                <w:color w:val="000000"/>
                <w:sz w:val="16"/>
              </w:rPr>
              <w:lastRenderedPageBreak/>
              <w:t>Nithianandan et al., 2016; Rowan et al., 2010; Willey et al., 2018</w:t>
            </w:r>
          </w:p>
          <w:p w14:paraId="1B365FF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SH</w:t>
            </w:r>
          </w:p>
        </w:tc>
        <w:tc>
          <w:tcPr>
            <w:tcW w:w="160" w:type="pct"/>
            <w:shd w:val="clear" w:color="auto" w:fill="auto"/>
          </w:tcPr>
          <w:p w14:paraId="100B394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6</w:t>
            </w:r>
          </w:p>
        </w:tc>
        <w:tc>
          <w:tcPr>
            <w:tcW w:w="581" w:type="pct"/>
          </w:tcPr>
          <w:p w14:paraId="19A1306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7CA066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7C647F5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367662A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76B4960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32499CC1" w14:textId="77777777" w:rsidTr="00CC56AD">
        <w:tc>
          <w:tcPr>
            <w:tcW w:w="738" w:type="pct"/>
          </w:tcPr>
          <w:p w14:paraId="7BFCE95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5.2 Lack of appropriate or timely services</w:t>
            </w:r>
          </w:p>
        </w:tc>
        <w:tc>
          <w:tcPr>
            <w:tcW w:w="787" w:type="pct"/>
          </w:tcPr>
          <w:p w14:paraId="30916F2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 xml:space="preserve">Lack of appropriate and timely services to refer women onto </w:t>
            </w:r>
          </w:p>
        </w:tc>
        <w:tc>
          <w:tcPr>
            <w:tcW w:w="960" w:type="pct"/>
            <w:shd w:val="clear" w:color="auto" w:fill="auto"/>
          </w:tcPr>
          <w:p w14:paraId="5661E10A" w14:textId="77777777" w:rsidR="00F26AE4" w:rsidRPr="00265687" w:rsidRDefault="00F26AE4" w:rsidP="00BE7DC4">
            <w:pPr>
              <w:spacing w:line="240" w:lineRule="auto"/>
              <w:ind w:firstLine="0"/>
              <w:rPr>
                <w:rFonts w:ascii="Times New Roman" w:hAnsi="Times New Roman" w:cs="Times New Roman"/>
                <w:i/>
                <w:color w:val="000000"/>
                <w:sz w:val="16"/>
              </w:rPr>
            </w:pPr>
            <w:r w:rsidRPr="00265687">
              <w:rPr>
                <w:rFonts w:ascii="Times New Roman" w:hAnsi="Times New Roman" w:cs="Times New Roman"/>
                <w:i/>
                <w:color w:val="000000"/>
                <w:sz w:val="16"/>
              </w:rPr>
              <w:t xml:space="preserve">Boyd et al., 2011; Doering et al., 2017; Ganann et al., 2019; Higgins et al., 2018; Kerker et al., 2018; Leger et al., 2015; Lomonaco-Haycraft et al., 2018; Munodawafa et al., 2017; Myors et al., 2015; Nakku et al., 2016; Noonan et al., 2018; Rowan et al., 2010; Williams et al., 2016 </w:t>
            </w:r>
          </w:p>
          <w:p w14:paraId="04032D7B" w14:textId="77777777" w:rsidR="00F26AE4" w:rsidRPr="00265687" w:rsidRDefault="00F26AE4" w:rsidP="00BE7DC4">
            <w:pPr>
              <w:spacing w:line="240" w:lineRule="auto"/>
              <w:ind w:firstLine="0"/>
              <w:rPr>
                <w:rFonts w:ascii="Times New Roman" w:hAnsi="Times New Roman" w:cs="Times New Roman"/>
                <w:color w:val="000000"/>
                <w:sz w:val="16"/>
              </w:rPr>
            </w:pPr>
            <w:r w:rsidRPr="00265687">
              <w:rPr>
                <w:rFonts w:ascii="Times New Roman" w:hAnsi="Times New Roman" w:cs="Times New Roman"/>
                <w:color w:val="000000"/>
                <w:sz w:val="16"/>
              </w:rPr>
              <w:t>Bina, 2020; Button et al., 2017; Jones, 2019; Jones et al., 2014; Megnin-Viggars et al., 2015; Newman et al., 2019; Sambrook Smith et al., 2019; Tobin et al., 2018; Viveiros &amp; Darling, 2018</w:t>
            </w:r>
          </w:p>
          <w:p w14:paraId="08F469E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2390835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22</w:t>
            </w:r>
          </w:p>
        </w:tc>
        <w:tc>
          <w:tcPr>
            <w:tcW w:w="581" w:type="pct"/>
          </w:tcPr>
          <w:p w14:paraId="7A0A6236" w14:textId="4DDBDCF8" w:rsidR="00F26AE4" w:rsidRPr="00265687" w:rsidRDefault="009336B1"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w:t>
            </w:r>
            <w:r w:rsidR="00F26AE4" w:rsidRPr="00265687">
              <w:rPr>
                <w:rFonts w:ascii="Times New Roman" w:hAnsi="Times New Roman" w:cs="Times New Roman"/>
                <w:sz w:val="16"/>
                <w:szCs w:val="16"/>
              </w:rPr>
              <w:t xml:space="preserve"> confidence</w:t>
            </w:r>
          </w:p>
        </w:tc>
        <w:tc>
          <w:tcPr>
            <w:tcW w:w="470" w:type="pct"/>
          </w:tcPr>
          <w:p w14:paraId="7B669CC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2A98DB7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4527B94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1FFC6F61"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1D3B237D" w14:textId="77777777" w:rsidTr="00CC56AD">
        <w:tc>
          <w:tcPr>
            <w:tcW w:w="738" w:type="pct"/>
          </w:tcPr>
          <w:p w14:paraId="4D0F5AA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5.3 Financial complexities</w:t>
            </w:r>
          </w:p>
        </w:tc>
        <w:tc>
          <w:tcPr>
            <w:tcW w:w="787" w:type="pct"/>
          </w:tcPr>
          <w:p w14:paraId="6115778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Financial complexities including funding, and sourcing money and resources for services and financial reimbursement</w:t>
            </w:r>
          </w:p>
        </w:tc>
        <w:tc>
          <w:tcPr>
            <w:tcW w:w="960" w:type="pct"/>
            <w:shd w:val="clear" w:color="auto" w:fill="auto"/>
          </w:tcPr>
          <w:p w14:paraId="0F978576"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Cox et al., 2017; Feinberg et al., 2006; Friedman et al., 2010; Ganann et al., 2019; Kim et al., 2009; Lomonaco-Haycraft et al., 2018; Ormsby et al., 2018; Rowan et al., 2010</w:t>
            </w:r>
          </w:p>
          <w:p w14:paraId="42E7A64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4BE3DF2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8</w:t>
            </w:r>
          </w:p>
        </w:tc>
        <w:tc>
          <w:tcPr>
            <w:tcW w:w="581" w:type="pct"/>
          </w:tcPr>
          <w:p w14:paraId="7FF45BF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5C79F90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4E53BF7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6" w:type="pct"/>
          </w:tcPr>
          <w:p w14:paraId="7DE5E37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7" w:type="pct"/>
          </w:tcPr>
          <w:p w14:paraId="775544BE"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5A35FB7F" w14:textId="77777777" w:rsidTr="00CC56AD">
        <w:tc>
          <w:tcPr>
            <w:tcW w:w="5000" w:type="pct"/>
            <w:gridSpan w:val="9"/>
            <w:shd w:val="clear" w:color="auto" w:fill="A5A5A5" w:themeFill="accent3"/>
          </w:tcPr>
          <w:p w14:paraId="00CD2CA2"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6. Political</w:t>
            </w:r>
          </w:p>
        </w:tc>
      </w:tr>
      <w:tr w:rsidR="00F26AE4" w:rsidRPr="00265687" w14:paraId="157DBBCF" w14:textId="77777777" w:rsidTr="00CC56AD">
        <w:tc>
          <w:tcPr>
            <w:tcW w:w="738" w:type="pct"/>
          </w:tcPr>
          <w:p w14:paraId="63FE1D4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6.1 Immigration status</w:t>
            </w:r>
          </w:p>
        </w:tc>
        <w:tc>
          <w:tcPr>
            <w:tcW w:w="787" w:type="pct"/>
          </w:tcPr>
          <w:p w14:paraId="26B58EC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How the immigration status of women may impact their PMH care journey</w:t>
            </w:r>
          </w:p>
        </w:tc>
        <w:tc>
          <w:tcPr>
            <w:tcW w:w="960" w:type="pct"/>
            <w:shd w:val="clear" w:color="auto" w:fill="auto"/>
          </w:tcPr>
          <w:p w14:paraId="1E321572" w14:textId="77777777" w:rsidR="00F26AE4" w:rsidRPr="00265687" w:rsidRDefault="00F26AE4" w:rsidP="00BE7DC4">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Cox et al., 2017; Ganann et al., 2019</w:t>
            </w:r>
          </w:p>
          <w:p w14:paraId="026D8B03" w14:textId="77777777" w:rsidR="00F26AE4" w:rsidRPr="00265687" w:rsidRDefault="00F26AE4" w:rsidP="00BE7DC4">
            <w:pPr>
              <w:spacing w:line="240" w:lineRule="auto"/>
              <w:ind w:firstLine="0"/>
              <w:rPr>
                <w:rFonts w:ascii="Times New Roman" w:hAnsi="Times New Roman" w:cs="Times New Roman"/>
                <w:color w:val="000000"/>
                <w:sz w:val="16"/>
              </w:rPr>
            </w:pPr>
            <w:r w:rsidRPr="00265687">
              <w:rPr>
                <w:rFonts w:ascii="Times New Roman" w:hAnsi="Times New Roman" w:cs="Times New Roman"/>
                <w:color w:val="000000"/>
                <w:sz w:val="16"/>
              </w:rPr>
              <w:t>Bina, 2020; Giscombe et al., 2020; Hansotte et al., 2017; Kassam, 2019; Schmied et al., 2017; Tobin et al., 2018; Watson et al., 2019</w:t>
            </w:r>
          </w:p>
          <w:p w14:paraId="3F7AA85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5F98D89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9</w:t>
            </w:r>
          </w:p>
        </w:tc>
        <w:tc>
          <w:tcPr>
            <w:tcW w:w="581" w:type="pct"/>
          </w:tcPr>
          <w:p w14:paraId="05B8FDA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24E8CF3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1" w:type="pct"/>
          </w:tcPr>
          <w:p w14:paraId="1262EE2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7857920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528A0F67"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37564B4E" w14:textId="77777777" w:rsidTr="00CC56AD">
        <w:tc>
          <w:tcPr>
            <w:tcW w:w="738" w:type="pct"/>
          </w:tcPr>
          <w:p w14:paraId="139AC26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5.2 Economic status &amp; healthcare costs</w:t>
            </w:r>
          </w:p>
        </w:tc>
        <w:tc>
          <w:tcPr>
            <w:tcW w:w="787" w:type="pct"/>
          </w:tcPr>
          <w:p w14:paraId="33219B5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How the cost of healthcare, and women's economic status may impact their PMH care journey</w:t>
            </w:r>
          </w:p>
        </w:tc>
        <w:tc>
          <w:tcPr>
            <w:tcW w:w="960" w:type="pct"/>
            <w:shd w:val="clear" w:color="auto" w:fill="auto"/>
          </w:tcPr>
          <w:p w14:paraId="2B5197AD"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Atif et al., 2016; Boyd et al., 2011; Cox et al., 2017; Doering et al., 2017; Ganann et al., 2019; Lomonaco-Haycraft et al., 2018; Munodawafa et al., 2017; Nakku et al., 2016; Ormsby et al., 2018</w:t>
            </w:r>
          </w:p>
          <w:p w14:paraId="7434825D" w14:textId="77777777" w:rsidR="00F26AE4" w:rsidRPr="00265687" w:rsidRDefault="00F26AE4" w:rsidP="00BE7DC4">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2020; Hansotte et al., 2017; Jones, 2019; Kassam, 2019; Lucas et al., 2019; Tobin et al., 2018; Viveiros &amp; Darling, 2018</w:t>
            </w:r>
          </w:p>
          <w:p w14:paraId="1D7A24AC"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71DD89C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16</w:t>
            </w:r>
          </w:p>
        </w:tc>
        <w:tc>
          <w:tcPr>
            <w:tcW w:w="581" w:type="pct"/>
          </w:tcPr>
          <w:p w14:paraId="5AFAEF4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67BA774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31" w:type="pct"/>
          </w:tcPr>
          <w:p w14:paraId="777F65C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6D70E5A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 confidence</w:t>
            </w:r>
          </w:p>
        </w:tc>
        <w:tc>
          <w:tcPr>
            <w:tcW w:w="437" w:type="pct"/>
          </w:tcPr>
          <w:p w14:paraId="1F27077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Moderate confidence</w:t>
            </w:r>
          </w:p>
        </w:tc>
      </w:tr>
      <w:tr w:rsidR="00F26AE4" w:rsidRPr="00265687" w14:paraId="321891DC" w14:textId="77777777" w:rsidTr="00CC56AD">
        <w:tc>
          <w:tcPr>
            <w:tcW w:w="5000" w:type="pct"/>
            <w:gridSpan w:val="9"/>
            <w:shd w:val="clear" w:color="auto" w:fill="A5A5A5" w:themeFill="accent3"/>
          </w:tcPr>
          <w:p w14:paraId="0493B878"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7. Societal</w:t>
            </w:r>
          </w:p>
        </w:tc>
      </w:tr>
      <w:tr w:rsidR="00F26AE4" w:rsidRPr="00265687" w14:paraId="3345823D" w14:textId="77777777" w:rsidTr="00CC56AD">
        <w:tc>
          <w:tcPr>
            <w:tcW w:w="738" w:type="pct"/>
          </w:tcPr>
          <w:p w14:paraId="73A07C96"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7.1 Stigma</w:t>
            </w:r>
          </w:p>
        </w:tc>
        <w:tc>
          <w:tcPr>
            <w:tcW w:w="787" w:type="pct"/>
          </w:tcPr>
          <w:p w14:paraId="6ED8744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Stigma related to mental illness</w:t>
            </w:r>
          </w:p>
        </w:tc>
        <w:tc>
          <w:tcPr>
            <w:tcW w:w="960" w:type="pct"/>
            <w:shd w:val="clear" w:color="auto" w:fill="auto"/>
          </w:tcPr>
          <w:p w14:paraId="00F10C3B"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Atif et al., 2016, 2019; Boyd et al., 2011; Chartier et al., 2015; Cox et al., 2017; Feinberg et al., 2006; Higgins et al., 2018; Kerker et al., 2018; McCauley et al., 2019; McKenzie-McHarg et al., 2014; Munodawafa et al., 2017; Myors et al., 2015; Nakku et al., 2016; Nithianandan et al., 2016; Noonan et al., 2018; O’Mahen &amp; Flynn, 2008; Shakespeare et al., 2003; Vik et al., 2009; Williams et al., 2016; Young et al., 2019</w:t>
            </w:r>
          </w:p>
          <w:p w14:paraId="3A6ED77A" w14:textId="77777777" w:rsidR="00F26AE4" w:rsidRPr="00265687" w:rsidRDefault="00F26AE4" w:rsidP="00BE7DC4">
            <w:pPr>
              <w:spacing w:line="240" w:lineRule="auto"/>
              <w:ind w:firstLine="0"/>
              <w:rPr>
                <w:rFonts w:ascii="Times New Roman" w:hAnsi="Times New Roman" w:cs="Times New Roman"/>
                <w:color w:val="000000"/>
                <w:sz w:val="16"/>
                <w:szCs w:val="16"/>
              </w:rPr>
            </w:pPr>
            <w:r w:rsidRPr="00265687">
              <w:rPr>
                <w:rFonts w:ascii="Times New Roman" w:hAnsi="Times New Roman" w:cs="Times New Roman"/>
                <w:noProof/>
                <w:color w:val="000000"/>
                <w:sz w:val="16"/>
                <w:szCs w:val="16"/>
              </w:rPr>
              <w:t>Bina et al., 2018; Button et al., 2017; Dennis &amp; Chung-Lee, 2006; Giscombe et al., 2020; Hadfield &amp; Wittkowski, 2017; Hansotte et al., 2017; Hewitt et al., 2009; Holopainen &amp; Hakulinen, 2019; A. Jones, 2019; Kassam, 2019; Lucas et al., 2019; Megnin-Viggars et al., 2015; Mollard et al., 2016; Morrell et al., 2016; Nilaweera et al., 2014; Sambrook Smith et al., 2019; Schmied et al., 2017; Scope et al., 2017; Sorsa et al., 2021; Tobin et al., 2018; Viveiros &amp; Darling, 2018; Watson et al., 2019</w:t>
            </w:r>
          </w:p>
          <w:p w14:paraId="494D24F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2F8FB4C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43</w:t>
            </w:r>
          </w:p>
        </w:tc>
        <w:tc>
          <w:tcPr>
            <w:tcW w:w="581" w:type="pct"/>
          </w:tcPr>
          <w:p w14:paraId="37180898"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300E8D2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394AEF02"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0ABFFCA4"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024BDC0D"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265687" w14:paraId="17D54D02" w14:textId="77777777" w:rsidTr="00CC56AD">
        <w:tc>
          <w:tcPr>
            <w:tcW w:w="738" w:type="pct"/>
          </w:tcPr>
          <w:p w14:paraId="0CA23BC0"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7.2 Culture</w:t>
            </w:r>
          </w:p>
        </w:tc>
        <w:tc>
          <w:tcPr>
            <w:tcW w:w="787" w:type="pct"/>
          </w:tcPr>
          <w:p w14:paraId="46DAFA3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Cultural beliefs about mental illness and seeking and accessing help</w:t>
            </w:r>
          </w:p>
        </w:tc>
        <w:tc>
          <w:tcPr>
            <w:tcW w:w="960" w:type="pct"/>
            <w:shd w:val="clear" w:color="auto" w:fill="auto"/>
          </w:tcPr>
          <w:p w14:paraId="59BDABB4" w14:textId="77777777" w:rsidR="00F26AE4" w:rsidRPr="00265687" w:rsidRDefault="00F26AE4" w:rsidP="00BE7DC4">
            <w:pPr>
              <w:spacing w:line="240" w:lineRule="auto"/>
              <w:ind w:firstLine="0"/>
              <w:rPr>
                <w:rFonts w:ascii="Times New Roman" w:hAnsi="Times New Roman" w:cs="Times New Roman"/>
                <w:i/>
                <w:color w:val="000000"/>
                <w:sz w:val="16"/>
                <w:lang w:val="es-ES"/>
              </w:rPr>
            </w:pPr>
            <w:r w:rsidRPr="00265687">
              <w:rPr>
                <w:rFonts w:ascii="Times New Roman" w:hAnsi="Times New Roman" w:cs="Times New Roman"/>
                <w:i/>
                <w:color w:val="000000"/>
                <w:sz w:val="16"/>
                <w:lang w:val="es-ES"/>
              </w:rPr>
              <w:t xml:space="preserve">Atif et al., 2016; Bina et al., 2018; Boyd et al., 2011; Feinberg et al., 2006; Friedman et al., 2010; Ganann et al., 2019; Higgins et al., 2018; Masood et al., 2015; McCauley et al., 2019; Nakku et al., 2016; Noonan et al., 2018; Segre et al., 2014  </w:t>
            </w:r>
          </w:p>
          <w:p w14:paraId="5C70FA2C" w14:textId="77777777" w:rsidR="00F26AE4" w:rsidRPr="00265687" w:rsidRDefault="00F26AE4" w:rsidP="00BE7DC4">
            <w:pPr>
              <w:spacing w:line="240" w:lineRule="auto"/>
              <w:ind w:firstLine="0"/>
              <w:rPr>
                <w:rFonts w:ascii="Times New Roman" w:hAnsi="Times New Roman" w:cs="Times New Roman"/>
                <w:color w:val="000000"/>
                <w:sz w:val="16"/>
                <w:lang w:val="es-ES"/>
              </w:rPr>
            </w:pPr>
            <w:r w:rsidRPr="00265687">
              <w:rPr>
                <w:rFonts w:ascii="Times New Roman" w:hAnsi="Times New Roman" w:cs="Times New Roman"/>
                <w:color w:val="000000"/>
                <w:sz w:val="16"/>
                <w:lang w:val="es-ES"/>
              </w:rPr>
              <w:t xml:space="preserve">Brealey et al., 2010; Button et al., 2017; Dennis &amp; Chung-Lee, 2006; Giscombe et al., 2020; Hansotte et al., 2017; Hewitt et al., 2009; Holopainen &amp; Hakulinen, 2019; Jones, 2019; Kassam, 2019; Megnin-Viggars et al., 2015; Praetorius et al., 2020; Sambrook Smith et al., 2019; Schmied et al., 2017; Staneva et al., </w:t>
            </w:r>
            <w:r w:rsidRPr="00265687">
              <w:rPr>
                <w:rFonts w:ascii="Times New Roman" w:hAnsi="Times New Roman" w:cs="Times New Roman"/>
                <w:color w:val="000000"/>
                <w:sz w:val="16"/>
                <w:lang w:val="es-ES"/>
              </w:rPr>
              <w:lastRenderedPageBreak/>
              <w:t>2015; Tobin et al., 2018; Viveiros &amp; Darling, 2018; Watson et al., 2019; Wittkowski et al., 2014</w:t>
            </w:r>
          </w:p>
          <w:p w14:paraId="753A456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5785249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lastRenderedPageBreak/>
              <w:t>30</w:t>
            </w:r>
          </w:p>
        </w:tc>
        <w:tc>
          <w:tcPr>
            <w:tcW w:w="581" w:type="pct"/>
          </w:tcPr>
          <w:p w14:paraId="29DA4453"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Moderate confidence</w:t>
            </w:r>
          </w:p>
        </w:tc>
        <w:tc>
          <w:tcPr>
            <w:tcW w:w="470" w:type="pct"/>
          </w:tcPr>
          <w:p w14:paraId="357BDADA"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6B87A799"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4E358095"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7592B276" w14:textId="77777777" w:rsidR="00F26AE4" w:rsidRPr="00265687"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r w:rsidR="00F26AE4" w:rsidRPr="00BE7DC4" w14:paraId="5940FF73" w14:textId="77777777" w:rsidTr="00CC56AD">
        <w:tc>
          <w:tcPr>
            <w:tcW w:w="738" w:type="pct"/>
          </w:tcPr>
          <w:p w14:paraId="6CF80E2E"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7.3 Maternal norms</w:t>
            </w:r>
          </w:p>
        </w:tc>
        <w:tc>
          <w:tcPr>
            <w:tcW w:w="787" w:type="pct"/>
          </w:tcPr>
          <w:p w14:paraId="0344ED5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Maternal norms of being a "good mother" and a "strong woman"</w:t>
            </w:r>
          </w:p>
        </w:tc>
        <w:tc>
          <w:tcPr>
            <w:tcW w:w="960" w:type="pct"/>
            <w:shd w:val="clear" w:color="auto" w:fill="auto"/>
          </w:tcPr>
          <w:p w14:paraId="06526C3E" w14:textId="77777777" w:rsidR="00F26AE4" w:rsidRPr="00265687" w:rsidRDefault="00F26AE4" w:rsidP="00BE7DC4">
            <w:pPr>
              <w:spacing w:line="240" w:lineRule="auto"/>
              <w:ind w:firstLine="0"/>
              <w:rPr>
                <w:rFonts w:ascii="Times New Roman" w:hAnsi="Times New Roman" w:cs="Times New Roman"/>
                <w:i/>
                <w:color w:val="000000"/>
                <w:sz w:val="16"/>
                <w:szCs w:val="16"/>
              </w:rPr>
            </w:pPr>
            <w:r w:rsidRPr="00265687">
              <w:rPr>
                <w:rFonts w:ascii="Times New Roman" w:hAnsi="Times New Roman" w:cs="Times New Roman"/>
                <w:i/>
                <w:noProof/>
                <w:color w:val="000000"/>
                <w:sz w:val="16"/>
                <w:szCs w:val="16"/>
              </w:rPr>
              <w:t>Shakespeare et al., 2003; Williams et al., 2016</w:t>
            </w:r>
          </w:p>
          <w:p w14:paraId="230F3223" w14:textId="5DACC4B7" w:rsidR="00F26AE4" w:rsidRPr="00265687" w:rsidRDefault="00F26AE4" w:rsidP="00BE7DC4">
            <w:pPr>
              <w:spacing w:line="240" w:lineRule="auto"/>
              <w:ind w:firstLine="0"/>
              <w:rPr>
                <w:rFonts w:ascii="Times New Roman" w:hAnsi="Times New Roman" w:cs="Times New Roman"/>
                <w:noProof/>
                <w:color w:val="000000"/>
                <w:sz w:val="16"/>
                <w:szCs w:val="16"/>
              </w:rPr>
            </w:pPr>
            <w:r w:rsidRPr="00265687">
              <w:rPr>
                <w:rFonts w:ascii="Times New Roman" w:hAnsi="Times New Roman" w:cs="Times New Roman"/>
                <w:noProof/>
                <w:color w:val="000000"/>
                <w:sz w:val="16"/>
                <w:szCs w:val="16"/>
              </w:rPr>
              <w:t>Bina, 2020; Brealey et al., 2010; Button et al., 2017; Dennis &amp; Chung-Lee, 2006; Hadfield &amp; Wittkowski, 2017; Hansotte et al., 2017; Hewitt et al., 2009; Holopainen &amp; Hakulinen, 2019; Jones et al., 2014; Kassam, 2019; Lucas et al., 2019; Megnin-Viggars et al., 2015; Mollard et al., 2016; Newman et al., 2019; Nilaweera et al., 2014; Praetorius et al., 2020; Sambrook Smith et al., 2019; Schmied et al., 2017; Slade et al., 2020; Sorsa et al., 2021; Staneva et al., 2015; Viveiros &amp; Darling, 2018; Watson et al., 2019</w:t>
            </w:r>
          </w:p>
          <w:p w14:paraId="1903283F"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color w:val="000000"/>
                <w:sz w:val="16"/>
                <w:szCs w:val="16"/>
              </w:rPr>
              <w:t>SH</w:t>
            </w:r>
          </w:p>
        </w:tc>
        <w:tc>
          <w:tcPr>
            <w:tcW w:w="160" w:type="pct"/>
            <w:shd w:val="clear" w:color="auto" w:fill="auto"/>
          </w:tcPr>
          <w:p w14:paraId="292BC4AE" w14:textId="4AA054A1"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2</w:t>
            </w:r>
            <w:r w:rsidR="007B0BC1" w:rsidRPr="00265687">
              <w:rPr>
                <w:rFonts w:ascii="Times New Roman" w:hAnsi="Times New Roman" w:cs="Times New Roman"/>
                <w:sz w:val="16"/>
                <w:szCs w:val="16"/>
              </w:rPr>
              <w:t>6</w:t>
            </w:r>
          </w:p>
        </w:tc>
        <w:tc>
          <w:tcPr>
            <w:tcW w:w="581" w:type="pct"/>
          </w:tcPr>
          <w:p w14:paraId="0F25037E" w14:textId="58D698F4" w:rsidR="00F26AE4" w:rsidRPr="00265687" w:rsidRDefault="007B0BC1"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Low</w:t>
            </w:r>
            <w:r w:rsidR="00F26AE4" w:rsidRPr="00265687">
              <w:rPr>
                <w:rFonts w:ascii="Times New Roman" w:hAnsi="Times New Roman" w:cs="Times New Roman"/>
                <w:sz w:val="16"/>
                <w:szCs w:val="16"/>
              </w:rPr>
              <w:t xml:space="preserve"> confidence</w:t>
            </w:r>
          </w:p>
        </w:tc>
        <w:tc>
          <w:tcPr>
            <w:tcW w:w="470" w:type="pct"/>
          </w:tcPr>
          <w:p w14:paraId="1A03C46B"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1" w:type="pct"/>
          </w:tcPr>
          <w:p w14:paraId="1D92EB37"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6" w:type="pct"/>
          </w:tcPr>
          <w:p w14:paraId="285670DD" w14:textId="77777777" w:rsidR="00F26AE4" w:rsidRPr="00265687" w:rsidRDefault="00F26AE4" w:rsidP="00BE7DC4">
            <w:pPr>
              <w:spacing w:line="240" w:lineRule="auto"/>
              <w:ind w:firstLine="0"/>
              <w:rPr>
                <w:rFonts w:ascii="Times New Roman" w:hAnsi="Times New Roman" w:cs="Times New Roman"/>
                <w:sz w:val="16"/>
                <w:szCs w:val="16"/>
              </w:rPr>
            </w:pPr>
            <w:r w:rsidRPr="00265687">
              <w:rPr>
                <w:rFonts w:ascii="Times New Roman" w:hAnsi="Times New Roman" w:cs="Times New Roman"/>
                <w:sz w:val="16"/>
                <w:szCs w:val="16"/>
              </w:rPr>
              <w:t>High confidence</w:t>
            </w:r>
          </w:p>
        </w:tc>
        <w:tc>
          <w:tcPr>
            <w:tcW w:w="437" w:type="pct"/>
          </w:tcPr>
          <w:p w14:paraId="1734A23F" w14:textId="77777777" w:rsidR="00F26AE4" w:rsidRPr="00BE7DC4" w:rsidRDefault="00F26AE4" w:rsidP="00BE7DC4">
            <w:pPr>
              <w:spacing w:line="240" w:lineRule="auto"/>
              <w:ind w:firstLine="0"/>
              <w:rPr>
                <w:rFonts w:ascii="Times New Roman" w:hAnsi="Times New Roman" w:cs="Times New Roman"/>
                <w:b/>
                <w:bCs/>
                <w:sz w:val="16"/>
                <w:szCs w:val="16"/>
              </w:rPr>
            </w:pPr>
            <w:r w:rsidRPr="00265687">
              <w:rPr>
                <w:rFonts w:ascii="Times New Roman" w:hAnsi="Times New Roman" w:cs="Times New Roman"/>
                <w:b/>
                <w:bCs/>
                <w:sz w:val="16"/>
                <w:szCs w:val="16"/>
              </w:rPr>
              <w:t>High confidence</w:t>
            </w:r>
          </w:p>
        </w:tc>
      </w:tr>
    </w:tbl>
    <w:p w14:paraId="4AE416BC" w14:textId="77777777" w:rsidR="00FB1036" w:rsidRPr="00BE7DC4" w:rsidRDefault="00FB1036" w:rsidP="00BE7DC4">
      <w:pPr>
        <w:spacing w:line="240" w:lineRule="auto"/>
        <w:ind w:firstLine="0"/>
        <w:rPr>
          <w:rFonts w:ascii="Times New Roman" w:hAnsi="Times New Roman" w:cs="Times New Roman"/>
        </w:rPr>
      </w:pPr>
    </w:p>
    <w:p w14:paraId="524967F4" w14:textId="77777777" w:rsidR="0023701C" w:rsidRDefault="0023701C" w:rsidP="00BE7DC4">
      <w:pPr>
        <w:spacing w:line="240" w:lineRule="auto"/>
        <w:ind w:firstLine="0"/>
        <w:rPr>
          <w:rFonts w:ascii="Times New Roman" w:hAnsi="Times New Roman" w:cs="Times New Roman"/>
        </w:rPr>
        <w:sectPr w:rsidR="0023701C" w:rsidSect="00554D17">
          <w:pgSz w:w="16838" w:h="11906" w:orient="landscape"/>
          <w:pgMar w:top="1440" w:right="1440" w:bottom="1440" w:left="1440" w:header="708" w:footer="708" w:gutter="0"/>
          <w:cols w:space="708"/>
          <w:docGrid w:linePitch="360"/>
        </w:sectPr>
      </w:pPr>
    </w:p>
    <w:p w14:paraId="507CF817" w14:textId="193B7532" w:rsidR="006B2564" w:rsidRDefault="0023701C" w:rsidP="00B77E25">
      <w:pPr>
        <w:pStyle w:val="Heading1"/>
        <w:rPr>
          <w:rFonts w:ascii="Times New Roman" w:hAnsi="Times New Roman" w:cs="Times New Roman"/>
          <w:color w:val="auto"/>
          <w:sz w:val="24"/>
          <w:szCs w:val="24"/>
        </w:rPr>
      </w:pPr>
      <w:bookmarkStart w:id="16" w:name="_Toc108781729"/>
      <w:r>
        <w:rPr>
          <w:rFonts w:ascii="Times New Roman" w:hAnsi="Times New Roman" w:cs="Times New Roman"/>
          <w:i/>
          <w:iCs/>
          <w:color w:val="auto"/>
          <w:sz w:val="24"/>
          <w:szCs w:val="24"/>
        </w:rPr>
        <w:lastRenderedPageBreak/>
        <w:t>Supplementary Materials</w:t>
      </w:r>
      <w:r w:rsidRPr="00265687">
        <w:rPr>
          <w:rFonts w:ascii="Times New Roman" w:hAnsi="Times New Roman" w:cs="Times New Roman"/>
          <w:i/>
          <w:iCs/>
          <w:color w:val="auto"/>
          <w:sz w:val="24"/>
          <w:szCs w:val="24"/>
        </w:rPr>
        <w:t xml:space="preserve"> 1</w:t>
      </w:r>
      <w:r>
        <w:rPr>
          <w:rFonts w:ascii="Times New Roman" w:hAnsi="Times New Roman" w:cs="Times New Roman"/>
          <w:i/>
          <w:iCs/>
          <w:color w:val="auto"/>
          <w:sz w:val="24"/>
          <w:szCs w:val="24"/>
        </w:rPr>
        <w:t>0</w:t>
      </w:r>
      <w:r w:rsidRPr="00265687">
        <w:rPr>
          <w:rFonts w:ascii="Times New Roman" w:hAnsi="Times New Roman" w:cs="Times New Roman"/>
          <w:i/>
          <w:iCs/>
          <w:color w:val="auto"/>
          <w:sz w:val="24"/>
          <w:szCs w:val="24"/>
        </w:rPr>
        <w:t>:</w:t>
      </w:r>
      <w:r>
        <w:rPr>
          <w:rFonts w:ascii="Times New Roman" w:hAnsi="Times New Roman" w:cs="Times New Roman"/>
          <w:i/>
          <w:iCs/>
          <w:color w:val="auto"/>
          <w:sz w:val="24"/>
          <w:szCs w:val="24"/>
        </w:rPr>
        <w:t xml:space="preserve"> </w:t>
      </w:r>
      <w:r w:rsidR="00B77E25">
        <w:rPr>
          <w:rFonts w:ascii="Times New Roman" w:hAnsi="Times New Roman" w:cs="Times New Roman"/>
          <w:color w:val="auto"/>
          <w:sz w:val="24"/>
          <w:szCs w:val="24"/>
        </w:rPr>
        <w:t>Identified barriers and facilitators to perinatal mental health care</w:t>
      </w:r>
      <w:bookmarkEnd w:id="16"/>
    </w:p>
    <w:p w14:paraId="48751FA3" w14:textId="77777777" w:rsidR="00367A93" w:rsidRPr="00367A93" w:rsidRDefault="00367A93" w:rsidP="00367A93">
      <w:pPr>
        <w:rPr>
          <w:lang w:eastAsia="en-US"/>
        </w:rPr>
      </w:pPr>
    </w:p>
    <w:tbl>
      <w:tblPr>
        <w:tblStyle w:val="TableGridLight"/>
        <w:tblW w:w="9351" w:type="dxa"/>
        <w:tblLook w:val="04A0" w:firstRow="1" w:lastRow="0" w:firstColumn="1" w:lastColumn="0" w:noHBand="0" w:noVBand="1"/>
      </w:tblPr>
      <w:tblGrid>
        <w:gridCol w:w="456"/>
        <w:gridCol w:w="4036"/>
        <w:gridCol w:w="482"/>
        <w:gridCol w:w="4377"/>
      </w:tblGrid>
      <w:tr w:rsidR="00474D75" w:rsidRPr="004C2DB2" w14:paraId="37209E58" w14:textId="77777777" w:rsidTr="006A54BC">
        <w:tc>
          <w:tcPr>
            <w:tcW w:w="421" w:type="dxa"/>
            <w:tcBorders>
              <w:top w:val="single" w:sz="4" w:space="0" w:color="auto"/>
              <w:bottom w:val="single" w:sz="4" w:space="0" w:color="auto"/>
            </w:tcBorders>
          </w:tcPr>
          <w:p w14:paraId="3F38C860" w14:textId="77777777" w:rsidR="00474D75" w:rsidRPr="004C2DB2" w:rsidRDefault="00474D75" w:rsidP="006A54BC">
            <w:pPr>
              <w:spacing w:line="240" w:lineRule="auto"/>
              <w:ind w:firstLine="0"/>
              <w:rPr>
                <w:rFonts w:ascii="Times New Roman" w:hAnsi="Times New Roman" w:cs="Times New Roman"/>
                <w:b/>
                <w:bCs/>
              </w:rPr>
            </w:pPr>
            <w:r w:rsidRPr="004C2DB2">
              <w:rPr>
                <w:rFonts w:ascii="Times New Roman" w:hAnsi="Times New Roman" w:cs="Times New Roman"/>
                <w:b/>
                <w:bCs/>
              </w:rPr>
              <w:t>#</w:t>
            </w:r>
          </w:p>
        </w:tc>
        <w:tc>
          <w:tcPr>
            <w:tcW w:w="4054" w:type="dxa"/>
            <w:tcBorders>
              <w:top w:val="single" w:sz="4" w:space="0" w:color="auto"/>
              <w:bottom w:val="single" w:sz="4" w:space="0" w:color="auto"/>
            </w:tcBorders>
          </w:tcPr>
          <w:p w14:paraId="006BE791" w14:textId="77777777" w:rsidR="00474D75" w:rsidRPr="004C2DB2" w:rsidRDefault="00474D75" w:rsidP="006A54BC">
            <w:pPr>
              <w:spacing w:line="240" w:lineRule="auto"/>
              <w:ind w:firstLine="0"/>
              <w:rPr>
                <w:rFonts w:ascii="Times New Roman" w:hAnsi="Times New Roman" w:cs="Times New Roman"/>
                <w:b/>
                <w:bCs/>
              </w:rPr>
            </w:pPr>
            <w:r w:rsidRPr="004C2DB2">
              <w:rPr>
                <w:rFonts w:ascii="Times New Roman" w:hAnsi="Times New Roman" w:cs="Times New Roman"/>
                <w:b/>
                <w:bCs/>
              </w:rPr>
              <w:t>Barriers</w:t>
            </w:r>
          </w:p>
        </w:tc>
        <w:tc>
          <w:tcPr>
            <w:tcW w:w="482" w:type="dxa"/>
            <w:tcBorders>
              <w:top w:val="single" w:sz="4" w:space="0" w:color="auto"/>
              <w:bottom w:val="single" w:sz="4" w:space="0" w:color="auto"/>
            </w:tcBorders>
          </w:tcPr>
          <w:p w14:paraId="469F4D3D" w14:textId="77777777" w:rsidR="00474D75" w:rsidRPr="004C2DB2" w:rsidRDefault="00474D75" w:rsidP="006A54BC">
            <w:pPr>
              <w:spacing w:line="240" w:lineRule="auto"/>
              <w:ind w:firstLine="0"/>
              <w:rPr>
                <w:rFonts w:ascii="Times New Roman" w:hAnsi="Times New Roman" w:cs="Times New Roman"/>
                <w:b/>
                <w:bCs/>
              </w:rPr>
            </w:pPr>
            <w:r w:rsidRPr="004C2DB2">
              <w:rPr>
                <w:rFonts w:ascii="Times New Roman" w:hAnsi="Times New Roman" w:cs="Times New Roman"/>
                <w:b/>
                <w:bCs/>
              </w:rPr>
              <w:t>#</w:t>
            </w:r>
          </w:p>
        </w:tc>
        <w:tc>
          <w:tcPr>
            <w:tcW w:w="4394" w:type="dxa"/>
            <w:tcBorders>
              <w:top w:val="single" w:sz="4" w:space="0" w:color="auto"/>
              <w:bottom w:val="single" w:sz="4" w:space="0" w:color="auto"/>
            </w:tcBorders>
          </w:tcPr>
          <w:p w14:paraId="6862F367" w14:textId="77777777" w:rsidR="00474D75" w:rsidRPr="004C2DB2" w:rsidRDefault="00474D75" w:rsidP="006A54BC">
            <w:pPr>
              <w:spacing w:line="240" w:lineRule="auto"/>
              <w:ind w:firstLine="0"/>
              <w:rPr>
                <w:rFonts w:ascii="Times New Roman" w:hAnsi="Times New Roman" w:cs="Times New Roman"/>
                <w:b/>
                <w:bCs/>
              </w:rPr>
            </w:pPr>
            <w:r w:rsidRPr="004C2DB2">
              <w:rPr>
                <w:rFonts w:ascii="Times New Roman" w:hAnsi="Times New Roman" w:cs="Times New Roman"/>
                <w:b/>
                <w:bCs/>
              </w:rPr>
              <w:t>Facilitators</w:t>
            </w:r>
          </w:p>
        </w:tc>
      </w:tr>
      <w:tr w:rsidR="00474D75" w:rsidRPr="004C2DB2" w14:paraId="38AD8669" w14:textId="77777777" w:rsidTr="006A54BC">
        <w:tc>
          <w:tcPr>
            <w:tcW w:w="421" w:type="dxa"/>
            <w:tcBorders>
              <w:top w:val="single" w:sz="4" w:space="0" w:color="auto"/>
            </w:tcBorders>
          </w:tcPr>
          <w:p w14:paraId="79676D55" w14:textId="77777777" w:rsidR="00474D75" w:rsidRPr="004C2DB2" w:rsidRDefault="00474D75" w:rsidP="006A54BC">
            <w:pPr>
              <w:spacing w:line="240" w:lineRule="auto"/>
              <w:ind w:firstLine="0"/>
              <w:rPr>
                <w:rFonts w:ascii="Times New Roman" w:hAnsi="Times New Roman" w:cs="Times New Roman"/>
                <w:b/>
                <w:bCs/>
                <w:i/>
                <w:iCs/>
              </w:rPr>
            </w:pPr>
            <w:r w:rsidRPr="004C2DB2">
              <w:rPr>
                <w:rFonts w:ascii="Times New Roman" w:hAnsi="Times New Roman" w:cs="Times New Roman"/>
                <w:i/>
                <w:iCs/>
              </w:rPr>
              <w:t>1</w:t>
            </w:r>
          </w:p>
        </w:tc>
        <w:tc>
          <w:tcPr>
            <w:tcW w:w="4054" w:type="dxa"/>
            <w:tcBorders>
              <w:top w:val="single" w:sz="4" w:space="0" w:color="auto"/>
            </w:tcBorders>
          </w:tcPr>
          <w:p w14:paraId="0FDA4E24"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Assessment viewed as not acceptable by women and HPs</w:t>
            </w:r>
          </w:p>
        </w:tc>
        <w:tc>
          <w:tcPr>
            <w:tcW w:w="482" w:type="dxa"/>
            <w:tcBorders>
              <w:top w:val="single" w:sz="4" w:space="0" w:color="auto"/>
            </w:tcBorders>
          </w:tcPr>
          <w:p w14:paraId="44F48316"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1</w:t>
            </w:r>
          </w:p>
        </w:tc>
        <w:tc>
          <w:tcPr>
            <w:tcW w:w="4394" w:type="dxa"/>
            <w:tcBorders>
              <w:top w:val="single" w:sz="4" w:space="0" w:color="auto"/>
            </w:tcBorders>
          </w:tcPr>
          <w:p w14:paraId="7355ABD2"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Assessment viewed as acceptable by women and HPs</w:t>
            </w:r>
          </w:p>
        </w:tc>
      </w:tr>
      <w:tr w:rsidR="00474D75" w:rsidRPr="004C2DB2" w14:paraId="2F0FD123" w14:textId="77777777" w:rsidTr="006A54BC">
        <w:tc>
          <w:tcPr>
            <w:tcW w:w="421" w:type="dxa"/>
          </w:tcPr>
          <w:p w14:paraId="740A2C01" w14:textId="77777777" w:rsidR="00474D75" w:rsidRPr="004C2DB2" w:rsidRDefault="00474D75" w:rsidP="006A54BC">
            <w:pPr>
              <w:spacing w:line="240" w:lineRule="auto"/>
              <w:ind w:firstLine="0"/>
              <w:rPr>
                <w:rFonts w:ascii="Times New Roman" w:hAnsi="Times New Roman" w:cs="Times New Roman"/>
                <w:b/>
                <w:bCs/>
                <w:i/>
                <w:iCs/>
              </w:rPr>
            </w:pPr>
            <w:r w:rsidRPr="004C2DB2">
              <w:rPr>
                <w:rFonts w:ascii="Times New Roman" w:hAnsi="Times New Roman" w:cs="Times New Roman"/>
                <w:i/>
                <w:iCs/>
              </w:rPr>
              <w:t>2</w:t>
            </w:r>
          </w:p>
        </w:tc>
        <w:tc>
          <w:tcPr>
            <w:tcW w:w="4054" w:type="dxa"/>
          </w:tcPr>
          <w:p w14:paraId="4547159A"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Care provision lacks privacy and confidentiality</w:t>
            </w:r>
          </w:p>
        </w:tc>
        <w:tc>
          <w:tcPr>
            <w:tcW w:w="482" w:type="dxa"/>
          </w:tcPr>
          <w:p w14:paraId="53149CDF"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2</w:t>
            </w:r>
          </w:p>
        </w:tc>
        <w:tc>
          <w:tcPr>
            <w:tcW w:w="4394" w:type="dxa"/>
          </w:tcPr>
          <w:p w14:paraId="58D2EE60"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Care offered in undisturbed settings</w:t>
            </w:r>
            <w:r>
              <w:rPr>
                <w:rFonts w:ascii="Times New Roman" w:hAnsi="Times New Roman" w:cs="Times New Roman"/>
                <w:i/>
                <w:iCs/>
              </w:rPr>
              <w:t xml:space="preserve"> that ensure privacy</w:t>
            </w:r>
          </w:p>
        </w:tc>
      </w:tr>
      <w:tr w:rsidR="00474D75" w:rsidRPr="004C2DB2" w14:paraId="37B2E870" w14:textId="77777777" w:rsidTr="006A54BC">
        <w:tc>
          <w:tcPr>
            <w:tcW w:w="421" w:type="dxa"/>
          </w:tcPr>
          <w:p w14:paraId="0CD6F3A6" w14:textId="77777777" w:rsidR="00474D75" w:rsidRPr="004C2DB2" w:rsidRDefault="00474D75" w:rsidP="006A54BC">
            <w:pPr>
              <w:spacing w:line="240" w:lineRule="auto"/>
              <w:ind w:firstLine="0"/>
              <w:rPr>
                <w:rFonts w:ascii="Times New Roman" w:hAnsi="Times New Roman" w:cs="Times New Roman"/>
                <w:b/>
                <w:bCs/>
                <w:i/>
                <w:iCs/>
              </w:rPr>
            </w:pPr>
            <w:r w:rsidRPr="004C2DB2">
              <w:rPr>
                <w:rFonts w:ascii="Times New Roman" w:hAnsi="Times New Roman" w:cs="Times New Roman"/>
                <w:i/>
                <w:iCs/>
              </w:rPr>
              <w:t>3</w:t>
            </w:r>
          </w:p>
        </w:tc>
        <w:tc>
          <w:tcPr>
            <w:tcW w:w="4054" w:type="dxa"/>
          </w:tcPr>
          <w:p w14:paraId="2D4DE92B"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Care that does not provide logistical support</w:t>
            </w:r>
          </w:p>
        </w:tc>
        <w:tc>
          <w:tcPr>
            <w:tcW w:w="482" w:type="dxa"/>
          </w:tcPr>
          <w:p w14:paraId="20F6E380"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3</w:t>
            </w:r>
          </w:p>
        </w:tc>
        <w:tc>
          <w:tcPr>
            <w:tcW w:w="4394" w:type="dxa"/>
          </w:tcPr>
          <w:p w14:paraId="3A8266EA"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Care provides logistical support</w:t>
            </w:r>
          </w:p>
        </w:tc>
      </w:tr>
      <w:tr w:rsidR="00474D75" w:rsidRPr="004C2DB2" w14:paraId="29CE7564" w14:textId="77777777" w:rsidTr="006A54BC">
        <w:tc>
          <w:tcPr>
            <w:tcW w:w="421" w:type="dxa"/>
          </w:tcPr>
          <w:p w14:paraId="658BEAD3" w14:textId="77777777" w:rsidR="00474D75" w:rsidRPr="004C2DB2" w:rsidRDefault="00474D75" w:rsidP="006A54BC">
            <w:pPr>
              <w:spacing w:line="240" w:lineRule="auto"/>
              <w:ind w:firstLine="0"/>
              <w:rPr>
                <w:rFonts w:ascii="Times New Roman" w:hAnsi="Times New Roman" w:cs="Times New Roman"/>
                <w:b/>
                <w:bCs/>
                <w:i/>
                <w:iCs/>
              </w:rPr>
            </w:pPr>
            <w:r w:rsidRPr="004C2DB2">
              <w:rPr>
                <w:rFonts w:ascii="Times New Roman" w:hAnsi="Times New Roman" w:cs="Times New Roman"/>
                <w:i/>
                <w:iCs/>
              </w:rPr>
              <w:t>4</w:t>
            </w:r>
          </w:p>
        </w:tc>
        <w:tc>
          <w:tcPr>
            <w:tcW w:w="4054" w:type="dxa"/>
          </w:tcPr>
          <w:p w14:paraId="43BC8E33"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Care that is not appropriate to women’s needs</w:t>
            </w:r>
          </w:p>
        </w:tc>
        <w:tc>
          <w:tcPr>
            <w:tcW w:w="482" w:type="dxa"/>
          </w:tcPr>
          <w:p w14:paraId="33A8036F"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4</w:t>
            </w:r>
          </w:p>
        </w:tc>
        <w:tc>
          <w:tcPr>
            <w:tcW w:w="4394" w:type="dxa"/>
          </w:tcPr>
          <w:p w14:paraId="4F98890C"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 xml:space="preserve">Care that is appropriate to women’s needs </w:t>
            </w:r>
          </w:p>
        </w:tc>
      </w:tr>
      <w:tr w:rsidR="00474D75" w:rsidRPr="004C2DB2" w14:paraId="5C729C62" w14:textId="77777777" w:rsidTr="006A54BC">
        <w:tc>
          <w:tcPr>
            <w:tcW w:w="421" w:type="dxa"/>
          </w:tcPr>
          <w:p w14:paraId="707A439C"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5</w:t>
            </w:r>
          </w:p>
        </w:tc>
        <w:tc>
          <w:tcPr>
            <w:tcW w:w="4054" w:type="dxa"/>
          </w:tcPr>
          <w:p w14:paraId="1D80A00D"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Care that is not delivered in a home setting</w:t>
            </w:r>
          </w:p>
        </w:tc>
        <w:tc>
          <w:tcPr>
            <w:tcW w:w="482" w:type="dxa"/>
          </w:tcPr>
          <w:p w14:paraId="6A88C73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5</w:t>
            </w:r>
          </w:p>
        </w:tc>
        <w:tc>
          <w:tcPr>
            <w:tcW w:w="4394" w:type="dxa"/>
          </w:tcPr>
          <w:p w14:paraId="1C50A264"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Home delivery of care</w:t>
            </w:r>
          </w:p>
        </w:tc>
      </w:tr>
      <w:tr w:rsidR="00474D75" w:rsidRPr="004C2DB2" w14:paraId="2BADA184" w14:textId="77777777" w:rsidTr="006A54BC">
        <w:tc>
          <w:tcPr>
            <w:tcW w:w="421" w:type="dxa"/>
          </w:tcPr>
          <w:p w14:paraId="33E65570"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6</w:t>
            </w:r>
          </w:p>
        </w:tc>
        <w:tc>
          <w:tcPr>
            <w:tcW w:w="4054" w:type="dxa"/>
          </w:tcPr>
          <w:p w14:paraId="26686A81"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Care that lacks cultural sensitivity</w:t>
            </w:r>
          </w:p>
        </w:tc>
        <w:tc>
          <w:tcPr>
            <w:tcW w:w="482" w:type="dxa"/>
          </w:tcPr>
          <w:p w14:paraId="0ECA8EEA"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6</w:t>
            </w:r>
          </w:p>
        </w:tc>
        <w:tc>
          <w:tcPr>
            <w:tcW w:w="4394" w:type="dxa"/>
          </w:tcPr>
          <w:p w14:paraId="0BD95564"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Culturally sensitive care</w:t>
            </w:r>
          </w:p>
        </w:tc>
      </w:tr>
      <w:tr w:rsidR="00474D75" w:rsidRPr="004C2DB2" w14:paraId="0E7A93DB" w14:textId="77777777" w:rsidTr="006A54BC">
        <w:tc>
          <w:tcPr>
            <w:tcW w:w="421" w:type="dxa"/>
          </w:tcPr>
          <w:p w14:paraId="3F1A03AB"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7</w:t>
            </w:r>
          </w:p>
        </w:tc>
        <w:tc>
          <w:tcPr>
            <w:tcW w:w="4054" w:type="dxa"/>
          </w:tcPr>
          <w:p w14:paraId="640B923B"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Confusing organisational referral and assessment processes</w:t>
            </w:r>
          </w:p>
        </w:tc>
        <w:tc>
          <w:tcPr>
            <w:tcW w:w="482" w:type="dxa"/>
          </w:tcPr>
          <w:p w14:paraId="2AF5DCD8"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7</w:t>
            </w:r>
          </w:p>
        </w:tc>
        <w:tc>
          <w:tcPr>
            <w:tcW w:w="4394" w:type="dxa"/>
          </w:tcPr>
          <w:p w14:paraId="3526042A"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color w:val="000000"/>
              </w:rPr>
              <w:t>Clear organisational assessment and referral processes</w:t>
            </w:r>
          </w:p>
        </w:tc>
      </w:tr>
      <w:tr w:rsidR="00474D75" w:rsidRPr="004C2DB2" w14:paraId="6951C1B2" w14:textId="77777777" w:rsidTr="006A54BC">
        <w:tc>
          <w:tcPr>
            <w:tcW w:w="421" w:type="dxa"/>
          </w:tcPr>
          <w:p w14:paraId="0F86EECF"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8</w:t>
            </w:r>
          </w:p>
        </w:tc>
        <w:tc>
          <w:tcPr>
            <w:tcW w:w="4054" w:type="dxa"/>
          </w:tcPr>
          <w:p w14:paraId="46844228"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 xml:space="preserve">HPs not making time to address PMH difficulties </w:t>
            </w:r>
          </w:p>
        </w:tc>
        <w:tc>
          <w:tcPr>
            <w:tcW w:w="482" w:type="dxa"/>
          </w:tcPr>
          <w:p w14:paraId="5AEAD2E5"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8</w:t>
            </w:r>
          </w:p>
        </w:tc>
        <w:tc>
          <w:tcPr>
            <w:tcW w:w="4394" w:type="dxa"/>
          </w:tcPr>
          <w:p w14:paraId="7DA97746"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making time to address PMH</w:t>
            </w:r>
          </w:p>
        </w:tc>
      </w:tr>
      <w:tr w:rsidR="00474D75" w:rsidRPr="004C2DB2" w14:paraId="73DFCC06" w14:textId="77777777" w:rsidTr="006A54BC">
        <w:tc>
          <w:tcPr>
            <w:tcW w:w="421" w:type="dxa"/>
          </w:tcPr>
          <w:p w14:paraId="0080C0E1"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9</w:t>
            </w:r>
          </w:p>
        </w:tc>
        <w:tc>
          <w:tcPr>
            <w:tcW w:w="4054" w:type="dxa"/>
          </w:tcPr>
          <w:p w14:paraId="66742AD6"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carrying out assessment in an impersonal way (e.g., tick box exercise)</w:t>
            </w:r>
          </w:p>
        </w:tc>
        <w:tc>
          <w:tcPr>
            <w:tcW w:w="482" w:type="dxa"/>
          </w:tcPr>
          <w:p w14:paraId="119C4F4E"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9</w:t>
            </w:r>
          </w:p>
        </w:tc>
        <w:tc>
          <w:tcPr>
            <w:tcW w:w="4394" w:type="dxa"/>
          </w:tcPr>
          <w:p w14:paraId="349B1012"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carrying out assessment in a personalised way</w:t>
            </w:r>
          </w:p>
          <w:p w14:paraId="3BC446E0" w14:textId="77777777" w:rsidR="00474D75" w:rsidRPr="004C2DB2" w:rsidRDefault="00474D75" w:rsidP="006A54BC">
            <w:pPr>
              <w:spacing w:line="240" w:lineRule="auto"/>
              <w:ind w:firstLine="0"/>
              <w:rPr>
                <w:rFonts w:ascii="Times New Roman" w:hAnsi="Times New Roman" w:cs="Times New Roman"/>
                <w:i/>
                <w:iCs/>
                <w:color w:val="000000"/>
              </w:rPr>
            </w:pPr>
          </w:p>
        </w:tc>
      </w:tr>
      <w:tr w:rsidR="00474D75" w:rsidRPr="004C2DB2" w14:paraId="500F7BAF" w14:textId="77777777" w:rsidTr="006A54BC">
        <w:tc>
          <w:tcPr>
            <w:tcW w:w="421" w:type="dxa"/>
          </w:tcPr>
          <w:p w14:paraId="6BA2FB69"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10</w:t>
            </w:r>
          </w:p>
        </w:tc>
        <w:tc>
          <w:tcPr>
            <w:tcW w:w="4054" w:type="dxa"/>
          </w:tcPr>
          <w:p w14:paraId="6693E773"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having a poor knowledge about PMI</w:t>
            </w:r>
          </w:p>
        </w:tc>
        <w:tc>
          <w:tcPr>
            <w:tcW w:w="482" w:type="dxa"/>
          </w:tcPr>
          <w:p w14:paraId="53230DCE"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10</w:t>
            </w:r>
          </w:p>
        </w:tc>
        <w:tc>
          <w:tcPr>
            <w:tcW w:w="4394" w:type="dxa"/>
          </w:tcPr>
          <w:p w14:paraId="02D56850"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having a good knowledge of PMH</w:t>
            </w:r>
          </w:p>
        </w:tc>
      </w:tr>
      <w:tr w:rsidR="00474D75" w:rsidRPr="004C2DB2" w14:paraId="01D7E0DE" w14:textId="77777777" w:rsidTr="006A54BC">
        <w:tc>
          <w:tcPr>
            <w:tcW w:w="421" w:type="dxa"/>
          </w:tcPr>
          <w:p w14:paraId="7D08D25F"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11</w:t>
            </w:r>
          </w:p>
        </w:tc>
        <w:tc>
          <w:tcPr>
            <w:tcW w:w="4054" w:type="dxa"/>
          </w:tcPr>
          <w:p w14:paraId="567B89A3"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having a poor knowledge about services</w:t>
            </w:r>
          </w:p>
        </w:tc>
        <w:tc>
          <w:tcPr>
            <w:tcW w:w="482" w:type="dxa"/>
          </w:tcPr>
          <w:p w14:paraId="5C5C0742"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11</w:t>
            </w:r>
          </w:p>
        </w:tc>
        <w:tc>
          <w:tcPr>
            <w:tcW w:w="4394" w:type="dxa"/>
          </w:tcPr>
          <w:p w14:paraId="518F4F09"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having a good knowledge of services and pathways</w:t>
            </w:r>
          </w:p>
        </w:tc>
      </w:tr>
      <w:tr w:rsidR="00474D75" w:rsidRPr="004C2DB2" w14:paraId="14BB3DEA" w14:textId="77777777" w:rsidTr="006A54BC">
        <w:tc>
          <w:tcPr>
            <w:tcW w:w="421" w:type="dxa"/>
          </w:tcPr>
          <w:p w14:paraId="51DA5AE5"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12</w:t>
            </w:r>
          </w:p>
        </w:tc>
        <w:tc>
          <w:tcPr>
            <w:tcW w:w="4054" w:type="dxa"/>
          </w:tcPr>
          <w:p w14:paraId="40DDF084"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having low confidence about addressing PMH</w:t>
            </w:r>
          </w:p>
        </w:tc>
        <w:tc>
          <w:tcPr>
            <w:tcW w:w="482" w:type="dxa"/>
          </w:tcPr>
          <w:p w14:paraId="1D60C2F5"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12</w:t>
            </w:r>
          </w:p>
        </w:tc>
        <w:tc>
          <w:tcPr>
            <w:tcW w:w="4394" w:type="dxa"/>
          </w:tcPr>
          <w:p w14:paraId="24240407"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having high confidence about addressing PMH</w:t>
            </w:r>
          </w:p>
        </w:tc>
      </w:tr>
      <w:tr w:rsidR="00474D75" w:rsidRPr="004C2DB2" w14:paraId="6C45B32C" w14:textId="77777777" w:rsidTr="006A54BC">
        <w:tc>
          <w:tcPr>
            <w:tcW w:w="421" w:type="dxa"/>
          </w:tcPr>
          <w:p w14:paraId="6E42E46A"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13</w:t>
            </w:r>
          </w:p>
        </w:tc>
        <w:tc>
          <w:tcPr>
            <w:tcW w:w="4054" w:type="dxa"/>
          </w:tcPr>
          <w:p w14:paraId="1741AF5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not having received adequate PMH training</w:t>
            </w:r>
          </w:p>
        </w:tc>
        <w:tc>
          <w:tcPr>
            <w:tcW w:w="482" w:type="dxa"/>
          </w:tcPr>
          <w:p w14:paraId="4DF1828A"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13</w:t>
            </w:r>
          </w:p>
        </w:tc>
        <w:tc>
          <w:tcPr>
            <w:tcW w:w="4394" w:type="dxa"/>
          </w:tcPr>
          <w:p w14:paraId="4529B65C"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having received adequate PMH training</w:t>
            </w:r>
          </w:p>
        </w:tc>
      </w:tr>
      <w:tr w:rsidR="00474D75" w:rsidRPr="004C2DB2" w14:paraId="0DE6921B" w14:textId="77777777" w:rsidTr="006A54BC">
        <w:tc>
          <w:tcPr>
            <w:tcW w:w="421" w:type="dxa"/>
          </w:tcPr>
          <w:p w14:paraId="48F79153"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14</w:t>
            </w:r>
          </w:p>
        </w:tc>
        <w:tc>
          <w:tcPr>
            <w:tcW w:w="4054" w:type="dxa"/>
          </w:tcPr>
          <w:p w14:paraId="5C8EFE2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HPs workload too heavy due to inadequate workforce provision</w:t>
            </w:r>
          </w:p>
        </w:tc>
        <w:tc>
          <w:tcPr>
            <w:tcW w:w="482" w:type="dxa"/>
          </w:tcPr>
          <w:p w14:paraId="74BA3387"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color w:val="000000"/>
              </w:rPr>
              <w:t>14</w:t>
            </w:r>
          </w:p>
        </w:tc>
        <w:tc>
          <w:tcPr>
            <w:tcW w:w="4394" w:type="dxa"/>
          </w:tcPr>
          <w:p w14:paraId="2657B5CF"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Adequate workforce provision to meet women’s needs</w:t>
            </w:r>
          </w:p>
        </w:tc>
      </w:tr>
      <w:tr w:rsidR="00474D75" w:rsidRPr="004C2DB2" w14:paraId="4FEA9968" w14:textId="77777777" w:rsidTr="006A54BC">
        <w:tc>
          <w:tcPr>
            <w:tcW w:w="421" w:type="dxa"/>
          </w:tcPr>
          <w:p w14:paraId="617FC95C"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15</w:t>
            </w:r>
          </w:p>
        </w:tc>
        <w:tc>
          <w:tcPr>
            <w:tcW w:w="4054" w:type="dxa"/>
          </w:tcPr>
          <w:p w14:paraId="7E5CA70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Inflexible care</w:t>
            </w:r>
          </w:p>
        </w:tc>
        <w:tc>
          <w:tcPr>
            <w:tcW w:w="482" w:type="dxa"/>
          </w:tcPr>
          <w:p w14:paraId="4381E615"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15</w:t>
            </w:r>
          </w:p>
        </w:tc>
        <w:tc>
          <w:tcPr>
            <w:tcW w:w="4394" w:type="dxa"/>
          </w:tcPr>
          <w:p w14:paraId="69648260"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Flexible care</w:t>
            </w:r>
          </w:p>
        </w:tc>
      </w:tr>
      <w:tr w:rsidR="00474D75" w:rsidRPr="004C2DB2" w14:paraId="20EF4242" w14:textId="77777777" w:rsidTr="006A54BC">
        <w:tc>
          <w:tcPr>
            <w:tcW w:w="421" w:type="dxa"/>
          </w:tcPr>
          <w:p w14:paraId="760C0045"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16</w:t>
            </w:r>
          </w:p>
        </w:tc>
        <w:tc>
          <w:tcPr>
            <w:tcW w:w="4054" w:type="dxa"/>
          </w:tcPr>
          <w:p w14:paraId="457360E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Issues with technology</w:t>
            </w:r>
          </w:p>
        </w:tc>
        <w:tc>
          <w:tcPr>
            <w:tcW w:w="482" w:type="dxa"/>
          </w:tcPr>
          <w:p w14:paraId="765A930D"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16</w:t>
            </w:r>
          </w:p>
        </w:tc>
        <w:tc>
          <w:tcPr>
            <w:tcW w:w="4394" w:type="dxa"/>
          </w:tcPr>
          <w:p w14:paraId="0BC85EF3"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Technology that is fit for purpose</w:t>
            </w:r>
          </w:p>
        </w:tc>
      </w:tr>
      <w:tr w:rsidR="00474D75" w:rsidRPr="004C2DB2" w14:paraId="76D0308C" w14:textId="77777777" w:rsidTr="006A54BC">
        <w:tc>
          <w:tcPr>
            <w:tcW w:w="421" w:type="dxa"/>
          </w:tcPr>
          <w:p w14:paraId="15CD9760"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17</w:t>
            </w:r>
          </w:p>
        </w:tc>
        <w:tc>
          <w:tcPr>
            <w:tcW w:w="4054" w:type="dxa"/>
          </w:tcPr>
          <w:p w14:paraId="0B34F699"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Lack of collaboration between services</w:t>
            </w:r>
          </w:p>
        </w:tc>
        <w:tc>
          <w:tcPr>
            <w:tcW w:w="482" w:type="dxa"/>
          </w:tcPr>
          <w:p w14:paraId="09E51251"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17</w:t>
            </w:r>
          </w:p>
        </w:tc>
        <w:tc>
          <w:tcPr>
            <w:tcW w:w="4394" w:type="dxa"/>
          </w:tcPr>
          <w:p w14:paraId="33FC72E3"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Collaboration between services</w:t>
            </w:r>
          </w:p>
        </w:tc>
      </w:tr>
      <w:tr w:rsidR="00474D75" w:rsidRPr="004C2DB2" w14:paraId="575E5E45" w14:textId="77777777" w:rsidTr="006A54BC">
        <w:tc>
          <w:tcPr>
            <w:tcW w:w="421" w:type="dxa"/>
          </w:tcPr>
          <w:p w14:paraId="2BE37301"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18</w:t>
            </w:r>
          </w:p>
        </w:tc>
        <w:tc>
          <w:tcPr>
            <w:tcW w:w="4054" w:type="dxa"/>
          </w:tcPr>
          <w:p w14:paraId="4FBFC8DA"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Lack of information provision about care and PMH</w:t>
            </w:r>
          </w:p>
          <w:p w14:paraId="0B8924B9" w14:textId="77777777" w:rsidR="00474D75" w:rsidRPr="004C2DB2" w:rsidRDefault="00474D75" w:rsidP="006A54BC">
            <w:pPr>
              <w:spacing w:line="240" w:lineRule="auto"/>
              <w:ind w:firstLine="0"/>
              <w:rPr>
                <w:rFonts w:ascii="Times New Roman" w:hAnsi="Times New Roman" w:cs="Times New Roman"/>
                <w:i/>
                <w:iCs/>
              </w:rPr>
            </w:pPr>
          </w:p>
        </w:tc>
        <w:tc>
          <w:tcPr>
            <w:tcW w:w="482" w:type="dxa"/>
          </w:tcPr>
          <w:p w14:paraId="2752724C"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color w:val="000000"/>
              </w:rPr>
              <w:t>18</w:t>
            </w:r>
          </w:p>
        </w:tc>
        <w:tc>
          <w:tcPr>
            <w:tcW w:w="4394" w:type="dxa"/>
          </w:tcPr>
          <w:p w14:paraId="20F7A414" w14:textId="77777777" w:rsidR="00474D75" w:rsidRPr="004C2DB2" w:rsidRDefault="00474D75" w:rsidP="006A54BC">
            <w:pPr>
              <w:spacing w:line="240" w:lineRule="auto"/>
              <w:ind w:firstLine="0"/>
              <w:rPr>
                <w:rFonts w:ascii="Times New Roman" w:hAnsi="Times New Roman" w:cs="Times New Roman"/>
                <w:i/>
                <w:iCs/>
              </w:rPr>
            </w:pPr>
            <w:r w:rsidRPr="004C2DB2">
              <w:rPr>
                <w:rFonts w:ascii="Times New Roman" w:hAnsi="Times New Roman" w:cs="Times New Roman"/>
                <w:i/>
                <w:iCs/>
              </w:rPr>
              <w:t xml:space="preserve">Care provides information about PMI and available services </w:t>
            </w:r>
          </w:p>
        </w:tc>
      </w:tr>
      <w:tr w:rsidR="00474D75" w:rsidRPr="004C2DB2" w14:paraId="1C290B9A" w14:textId="77777777" w:rsidTr="006A54BC">
        <w:tc>
          <w:tcPr>
            <w:tcW w:w="421" w:type="dxa"/>
          </w:tcPr>
          <w:p w14:paraId="5A535016"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19</w:t>
            </w:r>
          </w:p>
        </w:tc>
        <w:tc>
          <w:tcPr>
            <w:tcW w:w="4054" w:type="dxa"/>
          </w:tcPr>
          <w:p w14:paraId="49343FB9"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Lack of support from family and friends</w:t>
            </w:r>
          </w:p>
        </w:tc>
        <w:tc>
          <w:tcPr>
            <w:tcW w:w="482" w:type="dxa"/>
          </w:tcPr>
          <w:p w14:paraId="747D6CFA"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19</w:t>
            </w:r>
          </w:p>
        </w:tc>
        <w:tc>
          <w:tcPr>
            <w:tcW w:w="4394" w:type="dxa"/>
          </w:tcPr>
          <w:p w14:paraId="0ACAABA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Supportive family and friends</w:t>
            </w:r>
          </w:p>
        </w:tc>
      </w:tr>
      <w:tr w:rsidR="00474D75" w:rsidRPr="004C2DB2" w14:paraId="4DEC81A4" w14:textId="77777777" w:rsidTr="006A54BC">
        <w:tc>
          <w:tcPr>
            <w:tcW w:w="421" w:type="dxa"/>
          </w:tcPr>
          <w:p w14:paraId="6DAEE12B"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20</w:t>
            </w:r>
          </w:p>
        </w:tc>
        <w:tc>
          <w:tcPr>
            <w:tcW w:w="4054" w:type="dxa"/>
          </w:tcPr>
          <w:p w14:paraId="690120BC"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No continuity of carer</w:t>
            </w:r>
          </w:p>
        </w:tc>
        <w:tc>
          <w:tcPr>
            <w:tcW w:w="482" w:type="dxa"/>
          </w:tcPr>
          <w:p w14:paraId="6B51BEB6"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20</w:t>
            </w:r>
          </w:p>
        </w:tc>
        <w:tc>
          <w:tcPr>
            <w:tcW w:w="4394" w:type="dxa"/>
          </w:tcPr>
          <w:p w14:paraId="3A0E33F8"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Continuity of carer</w:t>
            </w:r>
          </w:p>
        </w:tc>
      </w:tr>
      <w:tr w:rsidR="00474D75" w:rsidRPr="004C2DB2" w14:paraId="4349AFDE" w14:textId="77777777" w:rsidTr="006A54BC">
        <w:tc>
          <w:tcPr>
            <w:tcW w:w="421" w:type="dxa"/>
          </w:tcPr>
          <w:p w14:paraId="05365489"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21</w:t>
            </w:r>
          </w:p>
        </w:tc>
        <w:tc>
          <w:tcPr>
            <w:tcW w:w="4054" w:type="dxa"/>
          </w:tcPr>
          <w:p w14:paraId="1055CB16"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No open honest communication between women and HPs</w:t>
            </w:r>
          </w:p>
        </w:tc>
        <w:tc>
          <w:tcPr>
            <w:tcW w:w="482" w:type="dxa"/>
          </w:tcPr>
          <w:p w14:paraId="465CD120"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21</w:t>
            </w:r>
          </w:p>
        </w:tc>
        <w:tc>
          <w:tcPr>
            <w:tcW w:w="4394" w:type="dxa"/>
          </w:tcPr>
          <w:p w14:paraId="71CF9310"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Open and honest communication</w:t>
            </w:r>
          </w:p>
        </w:tc>
      </w:tr>
      <w:tr w:rsidR="00474D75" w:rsidRPr="004C2DB2" w14:paraId="1E6089A0" w14:textId="77777777" w:rsidTr="006A54BC">
        <w:tc>
          <w:tcPr>
            <w:tcW w:w="421" w:type="dxa"/>
          </w:tcPr>
          <w:p w14:paraId="7CECB694"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22</w:t>
            </w:r>
          </w:p>
        </w:tc>
        <w:tc>
          <w:tcPr>
            <w:tcW w:w="4054" w:type="dxa"/>
          </w:tcPr>
          <w:p w14:paraId="2025514A"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No relationship and rapport between women and HPs</w:t>
            </w:r>
          </w:p>
        </w:tc>
        <w:tc>
          <w:tcPr>
            <w:tcW w:w="482" w:type="dxa"/>
          </w:tcPr>
          <w:p w14:paraId="52AC51BC"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22</w:t>
            </w:r>
          </w:p>
        </w:tc>
        <w:tc>
          <w:tcPr>
            <w:tcW w:w="4394" w:type="dxa"/>
          </w:tcPr>
          <w:p w14:paraId="37C86892"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Trusting relationship between women and HPs</w:t>
            </w:r>
          </w:p>
        </w:tc>
      </w:tr>
      <w:tr w:rsidR="00474D75" w:rsidRPr="004C2DB2" w14:paraId="21137E66" w14:textId="77777777" w:rsidTr="006A54BC">
        <w:tc>
          <w:tcPr>
            <w:tcW w:w="421" w:type="dxa"/>
          </w:tcPr>
          <w:p w14:paraId="788C77C5"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23</w:t>
            </w:r>
          </w:p>
        </w:tc>
        <w:tc>
          <w:tcPr>
            <w:tcW w:w="4054" w:type="dxa"/>
          </w:tcPr>
          <w:p w14:paraId="3FDBA6B2"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No shared decision making between women and HPs</w:t>
            </w:r>
          </w:p>
        </w:tc>
        <w:tc>
          <w:tcPr>
            <w:tcW w:w="482" w:type="dxa"/>
          </w:tcPr>
          <w:p w14:paraId="6896C451"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23</w:t>
            </w:r>
          </w:p>
        </w:tc>
        <w:tc>
          <w:tcPr>
            <w:tcW w:w="4394" w:type="dxa"/>
          </w:tcPr>
          <w:p w14:paraId="7AF64677"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Shared decision making between women and HPs</w:t>
            </w:r>
          </w:p>
          <w:p w14:paraId="54FA4AC6" w14:textId="77777777" w:rsidR="00474D75" w:rsidRPr="004C2DB2" w:rsidRDefault="00474D75" w:rsidP="006A54BC">
            <w:pPr>
              <w:spacing w:line="240" w:lineRule="auto"/>
              <w:ind w:firstLine="0"/>
              <w:rPr>
                <w:rFonts w:ascii="Times New Roman" w:hAnsi="Times New Roman" w:cs="Times New Roman"/>
                <w:i/>
                <w:iCs/>
                <w:color w:val="000000"/>
              </w:rPr>
            </w:pPr>
          </w:p>
        </w:tc>
      </w:tr>
      <w:tr w:rsidR="00474D75" w:rsidRPr="004C2DB2" w14:paraId="32165FDF" w14:textId="77777777" w:rsidTr="006A54BC">
        <w:tc>
          <w:tcPr>
            <w:tcW w:w="421" w:type="dxa"/>
          </w:tcPr>
          <w:p w14:paraId="03E4DB30"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lastRenderedPageBreak/>
              <w:t>24</w:t>
            </w:r>
          </w:p>
        </w:tc>
        <w:tc>
          <w:tcPr>
            <w:tcW w:w="4054" w:type="dxa"/>
          </w:tcPr>
          <w:p w14:paraId="7DB96287"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 xml:space="preserve">Staff within services not working together </w:t>
            </w:r>
          </w:p>
        </w:tc>
        <w:tc>
          <w:tcPr>
            <w:tcW w:w="482" w:type="dxa"/>
          </w:tcPr>
          <w:p w14:paraId="4C05C7A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24</w:t>
            </w:r>
          </w:p>
        </w:tc>
        <w:tc>
          <w:tcPr>
            <w:tcW w:w="4394" w:type="dxa"/>
          </w:tcPr>
          <w:p w14:paraId="14CA5B1F"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 xml:space="preserve">Collaboration within services </w:t>
            </w:r>
          </w:p>
        </w:tc>
      </w:tr>
      <w:tr w:rsidR="00474D75" w:rsidRPr="004C2DB2" w14:paraId="7DCD59CC" w14:textId="77777777" w:rsidTr="006A54BC">
        <w:tc>
          <w:tcPr>
            <w:tcW w:w="421" w:type="dxa"/>
          </w:tcPr>
          <w:p w14:paraId="1F68BCEA"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25</w:t>
            </w:r>
          </w:p>
        </w:tc>
        <w:tc>
          <w:tcPr>
            <w:tcW w:w="4054" w:type="dxa"/>
          </w:tcPr>
          <w:p w14:paraId="10241AC1"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Women being socially isolated</w:t>
            </w:r>
          </w:p>
        </w:tc>
        <w:tc>
          <w:tcPr>
            <w:tcW w:w="482" w:type="dxa"/>
          </w:tcPr>
          <w:p w14:paraId="54230500"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25</w:t>
            </w:r>
          </w:p>
        </w:tc>
        <w:tc>
          <w:tcPr>
            <w:tcW w:w="4394" w:type="dxa"/>
          </w:tcPr>
          <w:p w14:paraId="5E83B541"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Women’s social support network</w:t>
            </w:r>
          </w:p>
        </w:tc>
      </w:tr>
      <w:tr w:rsidR="00474D75" w:rsidRPr="004C2DB2" w14:paraId="4B74BCB6" w14:textId="77777777" w:rsidTr="006A54BC">
        <w:tc>
          <w:tcPr>
            <w:tcW w:w="421" w:type="dxa"/>
          </w:tcPr>
          <w:p w14:paraId="49FAE97C"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26</w:t>
            </w:r>
          </w:p>
        </w:tc>
        <w:tc>
          <w:tcPr>
            <w:tcW w:w="4054" w:type="dxa"/>
          </w:tcPr>
          <w:p w14:paraId="39DC15FC"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Women viewing peer support as not an acceptable intervention</w:t>
            </w:r>
          </w:p>
        </w:tc>
        <w:tc>
          <w:tcPr>
            <w:tcW w:w="482" w:type="dxa"/>
          </w:tcPr>
          <w:p w14:paraId="4B443984"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26</w:t>
            </w:r>
          </w:p>
        </w:tc>
        <w:tc>
          <w:tcPr>
            <w:tcW w:w="4394" w:type="dxa"/>
          </w:tcPr>
          <w:p w14:paraId="135F560C"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Women finding group support acceptable</w:t>
            </w:r>
          </w:p>
        </w:tc>
      </w:tr>
      <w:tr w:rsidR="00474D75" w:rsidRPr="004C2DB2" w14:paraId="134EF087" w14:textId="77777777" w:rsidTr="006A54BC">
        <w:tc>
          <w:tcPr>
            <w:tcW w:w="421" w:type="dxa"/>
          </w:tcPr>
          <w:p w14:paraId="58786E5A" w14:textId="77777777" w:rsidR="00474D75" w:rsidRPr="004C2DB2" w:rsidRDefault="00474D75" w:rsidP="006A54BC">
            <w:pPr>
              <w:spacing w:line="240" w:lineRule="auto"/>
              <w:ind w:firstLine="0"/>
              <w:rPr>
                <w:rFonts w:ascii="Times New Roman" w:hAnsi="Times New Roman" w:cs="Times New Roman"/>
                <w:b/>
                <w:bCs/>
                <w:i/>
                <w:iCs/>
                <w:color w:val="000000"/>
              </w:rPr>
            </w:pPr>
            <w:r w:rsidRPr="004C2DB2">
              <w:rPr>
                <w:rFonts w:ascii="Times New Roman" w:hAnsi="Times New Roman" w:cs="Times New Roman"/>
                <w:i/>
                <w:iCs/>
                <w:color w:val="000000"/>
              </w:rPr>
              <w:t>27</w:t>
            </w:r>
          </w:p>
        </w:tc>
        <w:tc>
          <w:tcPr>
            <w:tcW w:w="4054" w:type="dxa"/>
          </w:tcPr>
          <w:p w14:paraId="1F2E638A"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Women's previous negative experiences of mental health services</w:t>
            </w:r>
          </w:p>
        </w:tc>
        <w:tc>
          <w:tcPr>
            <w:tcW w:w="482" w:type="dxa"/>
          </w:tcPr>
          <w:p w14:paraId="51AD6DBD"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27</w:t>
            </w:r>
          </w:p>
        </w:tc>
        <w:tc>
          <w:tcPr>
            <w:tcW w:w="4394" w:type="dxa"/>
          </w:tcPr>
          <w:p w14:paraId="0557C5E1" w14:textId="77777777" w:rsidR="00474D75" w:rsidRPr="004C2DB2" w:rsidRDefault="00474D75" w:rsidP="006A54BC">
            <w:pPr>
              <w:spacing w:line="240" w:lineRule="auto"/>
              <w:ind w:firstLine="0"/>
              <w:rPr>
                <w:rFonts w:ascii="Times New Roman" w:hAnsi="Times New Roman" w:cs="Times New Roman"/>
                <w:i/>
                <w:iCs/>
                <w:color w:val="000000"/>
              </w:rPr>
            </w:pPr>
            <w:r w:rsidRPr="004C2DB2">
              <w:rPr>
                <w:rFonts w:ascii="Times New Roman" w:hAnsi="Times New Roman" w:cs="Times New Roman"/>
                <w:i/>
                <w:iCs/>
                <w:color w:val="000000"/>
              </w:rPr>
              <w:t>Women’s previous positive experiences of mental health services</w:t>
            </w:r>
          </w:p>
        </w:tc>
      </w:tr>
      <w:tr w:rsidR="00474D75" w:rsidRPr="004C2DB2" w14:paraId="04C51286" w14:textId="77777777" w:rsidTr="006A54BC">
        <w:tc>
          <w:tcPr>
            <w:tcW w:w="421" w:type="dxa"/>
          </w:tcPr>
          <w:p w14:paraId="566E2FD3"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28</w:t>
            </w:r>
          </w:p>
        </w:tc>
        <w:tc>
          <w:tcPr>
            <w:tcW w:w="4054" w:type="dxa"/>
          </w:tcPr>
          <w:p w14:paraId="5C2DA81D"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 xml:space="preserve">Women being an immigrant or a refugee </w:t>
            </w:r>
          </w:p>
        </w:tc>
        <w:tc>
          <w:tcPr>
            <w:tcW w:w="482" w:type="dxa"/>
          </w:tcPr>
          <w:p w14:paraId="5E97410B"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28</w:t>
            </w:r>
          </w:p>
        </w:tc>
        <w:tc>
          <w:tcPr>
            <w:tcW w:w="4394" w:type="dxa"/>
          </w:tcPr>
          <w:p w14:paraId="6BA71B09"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Care that offers an opportunity to talk</w:t>
            </w:r>
          </w:p>
        </w:tc>
      </w:tr>
      <w:tr w:rsidR="00474D75" w:rsidRPr="004C2DB2" w14:paraId="7D13440B" w14:textId="77777777" w:rsidTr="006A54BC">
        <w:tc>
          <w:tcPr>
            <w:tcW w:w="421" w:type="dxa"/>
          </w:tcPr>
          <w:p w14:paraId="176441AD"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29</w:t>
            </w:r>
          </w:p>
        </w:tc>
        <w:tc>
          <w:tcPr>
            <w:tcW w:w="4054" w:type="dxa"/>
          </w:tcPr>
          <w:p w14:paraId="7C3836A7"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Care that is carried out in medical setting</w:t>
            </w:r>
          </w:p>
        </w:tc>
        <w:tc>
          <w:tcPr>
            <w:tcW w:w="482" w:type="dxa"/>
          </w:tcPr>
          <w:p w14:paraId="13959656"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29</w:t>
            </w:r>
          </w:p>
        </w:tc>
        <w:tc>
          <w:tcPr>
            <w:tcW w:w="4394" w:type="dxa"/>
          </w:tcPr>
          <w:p w14:paraId="6CB529D8"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Champion/dedicated PMH person</w:t>
            </w:r>
          </w:p>
        </w:tc>
      </w:tr>
      <w:tr w:rsidR="00474D75" w:rsidRPr="004C2DB2" w14:paraId="661789F9" w14:textId="77777777" w:rsidTr="006A54BC">
        <w:tc>
          <w:tcPr>
            <w:tcW w:w="421" w:type="dxa"/>
          </w:tcPr>
          <w:p w14:paraId="67264E82"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30</w:t>
            </w:r>
          </w:p>
        </w:tc>
        <w:tc>
          <w:tcPr>
            <w:tcW w:w="4054" w:type="dxa"/>
          </w:tcPr>
          <w:p w14:paraId="439EBC73"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Complicated or confusing wording of assessment tools</w:t>
            </w:r>
          </w:p>
        </w:tc>
        <w:tc>
          <w:tcPr>
            <w:tcW w:w="482" w:type="dxa"/>
          </w:tcPr>
          <w:p w14:paraId="3BB05ED8"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30</w:t>
            </w:r>
          </w:p>
        </w:tc>
        <w:tc>
          <w:tcPr>
            <w:tcW w:w="4394" w:type="dxa"/>
          </w:tcPr>
          <w:p w14:paraId="783360DA"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Clear goals and guidelines</w:t>
            </w:r>
          </w:p>
        </w:tc>
      </w:tr>
      <w:tr w:rsidR="00474D75" w:rsidRPr="004C2DB2" w14:paraId="7143F336" w14:textId="77777777" w:rsidTr="006A54BC">
        <w:tc>
          <w:tcPr>
            <w:tcW w:w="421" w:type="dxa"/>
          </w:tcPr>
          <w:p w14:paraId="3014FC2F"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31</w:t>
            </w:r>
          </w:p>
        </w:tc>
        <w:tc>
          <w:tcPr>
            <w:tcW w:w="4054" w:type="dxa"/>
          </w:tcPr>
          <w:p w14:paraId="301B720A"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Women’s belief that services are too complex or complicated – difficult to navigate</w:t>
            </w:r>
          </w:p>
        </w:tc>
        <w:tc>
          <w:tcPr>
            <w:tcW w:w="482" w:type="dxa"/>
          </w:tcPr>
          <w:p w14:paraId="27F2B0BE"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31</w:t>
            </w:r>
          </w:p>
        </w:tc>
        <w:tc>
          <w:tcPr>
            <w:tcW w:w="4394" w:type="dxa"/>
          </w:tcPr>
          <w:p w14:paraId="24732AF6"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Clear referral pathways</w:t>
            </w:r>
          </w:p>
        </w:tc>
      </w:tr>
      <w:tr w:rsidR="00474D75" w:rsidRPr="004C2DB2" w14:paraId="61FC0EB4" w14:textId="77777777" w:rsidTr="006A54BC">
        <w:tc>
          <w:tcPr>
            <w:tcW w:w="421" w:type="dxa"/>
          </w:tcPr>
          <w:p w14:paraId="56D64245"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32</w:t>
            </w:r>
          </w:p>
        </w:tc>
        <w:tc>
          <w:tcPr>
            <w:tcW w:w="4054" w:type="dxa"/>
          </w:tcPr>
          <w:p w14:paraId="74B94162"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Cultural barriers</w:t>
            </w:r>
          </w:p>
        </w:tc>
        <w:tc>
          <w:tcPr>
            <w:tcW w:w="482" w:type="dxa"/>
          </w:tcPr>
          <w:p w14:paraId="020E3129"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32</w:t>
            </w:r>
          </w:p>
        </w:tc>
        <w:tc>
          <w:tcPr>
            <w:tcW w:w="4394" w:type="dxa"/>
          </w:tcPr>
          <w:p w14:paraId="75809C60"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Co-location of services</w:t>
            </w:r>
          </w:p>
        </w:tc>
      </w:tr>
      <w:tr w:rsidR="00474D75" w:rsidRPr="004C2DB2" w14:paraId="11E469A4" w14:textId="77777777" w:rsidTr="006A54BC">
        <w:tc>
          <w:tcPr>
            <w:tcW w:w="421" w:type="dxa"/>
          </w:tcPr>
          <w:p w14:paraId="1DCCFBAA"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33</w:t>
            </w:r>
          </w:p>
        </w:tc>
        <w:tc>
          <w:tcPr>
            <w:tcW w:w="4054" w:type="dxa"/>
          </w:tcPr>
          <w:p w14:paraId="5BDF6E4A"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Current symptoms getting in the way of treatment</w:t>
            </w:r>
          </w:p>
        </w:tc>
        <w:tc>
          <w:tcPr>
            <w:tcW w:w="482" w:type="dxa"/>
          </w:tcPr>
          <w:p w14:paraId="2596FC4E"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33</w:t>
            </w:r>
          </w:p>
        </w:tc>
        <w:tc>
          <w:tcPr>
            <w:tcW w:w="4394" w:type="dxa"/>
          </w:tcPr>
          <w:p w14:paraId="2C59F3A2"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Face to face care</w:t>
            </w:r>
          </w:p>
        </w:tc>
      </w:tr>
      <w:tr w:rsidR="00474D75" w:rsidRPr="004C2DB2" w14:paraId="7318D7B8" w14:textId="77777777" w:rsidTr="006A54BC">
        <w:tc>
          <w:tcPr>
            <w:tcW w:w="421" w:type="dxa"/>
          </w:tcPr>
          <w:p w14:paraId="02B57F9D"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34</w:t>
            </w:r>
          </w:p>
        </w:tc>
        <w:tc>
          <w:tcPr>
            <w:tcW w:w="4054" w:type="dxa"/>
          </w:tcPr>
          <w:p w14:paraId="07ED6502"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Funding complexities</w:t>
            </w:r>
          </w:p>
        </w:tc>
        <w:tc>
          <w:tcPr>
            <w:tcW w:w="482" w:type="dxa"/>
          </w:tcPr>
          <w:p w14:paraId="3948AF55"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34</w:t>
            </w:r>
          </w:p>
        </w:tc>
        <w:tc>
          <w:tcPr>
            <w:tcW w:w="4394" w:type="dxa"/>
          </w:tcPr>
          <w:p w14:paraId="347B23CA"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HPs receiving supervision</w:t>
            </w:r>
          </w:p>
        </w:tc>
      </w:tr>
      <w:tr w:rsidR="00474D75" w:rsidRPr="004C2DB2" w14:paraId="6AFFFE62" w14:textId="77777777" w:rsidTr="006A54BC">
        <w:tc>
          <w:tcPr>
            <w:tcW w:w="421" w:type="dxa"/>
          </w:tcPr>
          <w:p w14:paraId="1B1897CC"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35</w:t>
            </w:r>
          </w:p>
        </w:tc>
        <w:tc>
          <w:tcPr>
            <w:tcW w:w="4054" w:type="dxa"/>
          </w:tcPr>
          <w:p w14:paraId="19841A98"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HPs dismissive or normalising symptoms</w:t>
            </w:r>
          </w:p>
        </w:tc>
        <w:tc>
          <w:tcPr>
            <w:tcW w:w="482" w:type="dxa"/>
          </w:tcPr>
          <w:p w14:paraId="7BFCF682"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35</w:t>
            </w:r>
          </w:p>
        </w:tc>
        <w:tc>
          <w:tcPr>
            <w:tcW w:w="4394" w:type="dxa"/>
          </w:tcPr>
          <w:p w14:paraId="3289C965"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Individualised person-centred care</w:t>
            </w:r>
          </w:p>
        </w:tc>
      </w:tr>
      <w:tr w:rsidR="00474D75" w:rsidRPr="004C2DB2" w14:paraId="0D6CAFBC" w14:textId="77777777" w:rsidTr="006A54BC">
        <w:tc>
          <w:tcPr>
            <w:tcW w:w="421" w:type="dxa"/>
          </w:tcPr>
          <w:p w14:paraId="79CED582"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36</w:t>
            </w:r>
          </w:p>
        </w:tc>
        <w:tc>
          <w:tcPr>
            <w:tcW w:w="4054" w:type="dxa"/>
          </w:tcPr>
          <w:p w14:paraId="0EE1C940"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HPs focusing only on infant</w:t>
            </w:r>
          </w:p>
        </w:tc>
        <w:tc>
          <w:tcPr>
            <w:tcW w:w="482" w:type="dxa"/>
          </w:tcPr>
          <w:p w14:paraId="06F25AD2"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36</w:t>
            </w:r>
          </w:p>
        </w:tc>
        <w:tc>
          <w:tcPr>
            <w:tcW w:w="4394" w:type="dxa"/>
          </w:tcPr>
          <w:p w14:paraId="1A92D11B"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Previous mental health diagnoses/symptoms</w:t>
            </w:r>
          </w:p>
        </w:tc>
      </w:tr>
      <w:tr w:rsidR="00474D75" w:rsidRPr="004C2DB2" w14:paraId="3E7B1649" w14:textId="77777777" w:rsidTr="006A54BC">
        <w:tc>
          <w:tcPr>
            <w:tcW w:w="421" w:type="dxa"/>
          </w:tcPr>
          <w:p w14:paraId="1D9E783F"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37</w:t>
            </w:r>
          </w:p>
        </w:tc>
        <w:tc>
          <w:tcPr>
            <w:tcW w:w="4054" w:type="dxa"/>
          </w:tcPr>
          <w:p w14:paraId="6377BE29"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HPs lacking cross cultural knowledge of PMH</w:t>
            </w:r>
          </w:p>
        </w:tc>
        <w:tc>
          <w:tcPr>
            <w:tcW w:w="482" w:type="dxa"/>
          </w:tcPr>
          <w:p w14:paraId="03C70A5B"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37</w:t>
            </w:r>
          </w:p>
        </w:tc>
        <w:tc>
          <w:tcPr>
            <w:tcW w:w="4394" w:type="dxa"/>
          </w:tcPr>
          <w:p w14:paraId="05E50846"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Recognising something is wrong</w:t>
            </w:r>
          </w:p>
        </w:tc>
      </w:tr>
      <w:tr w:rsidR="00474D75" w:rsidRPr="004C2DB2" w14:paraId="0B513E10" w14:textId="77777777" w:rsidTr="006A54BC">
        <w:tc>
          <w:tcPr>
            <w:tcW w:w="421" w:type="dxa"/>
          </w:tcPr>
          <w:p w14:paraId="1312B27C"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38</w:t>
            </w:r>
          </w:p>
        </w:tc>
        <w:tc>
          <w:tcPr>
            <w:tcW w:w="4054" w:type="dxa"/>
          </w:tcPr>
          <w:p w14:paraId="4F55E8DB"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HPs not being interested in PMI</w:t>
            </w:r>
          </w:p>
        </w:tc>
        <w:tc>
          <w:tcPr>
            <w:tcW w:w="482" w:type="dxa"/>
          </w:tcPr>
          <w:p w14:paraId="2DD30109"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38</w:t>
            </w:r>
          </w:p>
        </w:tc>
        <w:tc>
          <w:tcPr>
            <w:tcW w:w="4394" w:type="dxa"/>
          </w:tcPr>
          <w:p w14:paraId="12DB8A31"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Valued characteristics of HPs</w:t>
            </w:r>
          </w:p>
        </w:tc>
      </w:tr>
      <w:tr w:rsidR="00474D75" w:rsidRPr="004C2DB2" w14:paraId="1B7F8EC8" w14:textId="77777777" w:rsidTr="006A54BC">
        <w:tc>
          <w:tcPr>
            <w:tcW w:w="421" w:type="dxa"/>
          </w:tcPr>
          <w:p w14:paraId="46C6B17F"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39</w:t>
            </w:r>
          </w:p>
        </w:tc>
        <w:tc>
          <w:tcPr>
            <w:tcW w:w="4054" w:type="dxa"/>
          </w:tcPr>
          <w:p w14:paraId="4F942C21"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HPs not recognising help seeking</w:t>
            </w:r>
          </w:p>
        </w:tc>
        <w:tc>
          <w:tcPr>
            <w:tcW w:w="482" w:type="dxa"/>
          </w:tcPr>
          <w:p w14:paraId="026DC369"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39</w:t>
            </w:r>
          </w:p>
        </w:tc>
        <w:tc>
          <w:tcPr>
            <w:tcW w:w="4394" w:type="dxa"/>
          </w:tcPr>
          <w:p w14:paraId="47EE4951"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 and HPs having similar demographics</w:t>
            </w:r>
          </w:p>
        </w:tc>
      </w:tr>
      <w:tr w:rsidR="00474D75" w:rsidRPr="004C2DB2" w14:paraId="71E169B0" w14:textId="77777777" w:rsidTr="006A54BC">
        <w:tc>
          <w:tcPr>
            <w:tcW w:w="421" w:type="dxa"/>
          </w:tcPr>
          <w:p w14:paraId="07955DC9"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40</w:t>
            </w:r>
          </w:p>
        </w:tc>
        <w:tc>
          <w:tcPr>
            <w:tcW w:w="4054" w:type="dxa"/>
          </w:tcPr>
          <w:p w14:paraId="083B944E"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Lack of appropriate PMH services</w:t>
            </w:r>
          </w:p>
        </w:tc>
        <w:tc>
          <w:tcPr>
            <w:tcW w:w="482" w:type="dxa"/>
          </w:tcPr>
          <w:p w14:paraId="70B53539"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72C7B115"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74A83EF1" w14:textId="77777777" w:rsidTr="006A54BC">
        <w:tc>
          <w:tcPr>
            <w:tcW w:w="421" w:type="dxa"/>
          </w:tcPr>
          <w:p w14:paraId="6FA076E7"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41</w:t>
            </w:r>
          </w:p>
        </w:tc>
        <w:tc>
          <w:tcPr>
            <w:tcW w:w="4054" w:type="dxa"/>
          </w:tcPr>
          <w:p w14:paraId="79FE6065"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Lack of childcare</w:t>
            </w:r>
          </w:p>
        </w:tc>
        <w:tc>
          <w:tcPr>
            <w:tcW w:w="482" w:type="dxa"/>
          </w:tcPr>
          <w:p w14:paraId="2EC4F2DC"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54A5B89D"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490B020B" w14:textId="77777777" w:rsidTr="006A54BC">
        <w:tc>
          <w:tcPr>
            <w:tcW w:w="421" w:type="dxa"/>
          </w:tcPr>
          <w:p w14:paraId="75839092"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42</w:t>
            </w:r>
          </w:p>
        </w:tc>
        <w:tc>
          <w:tcPr>
            <w:tcW w:w="4054" w:type="dxa"/>
          </w:tcPr>
          <w:p w14:paraId="534E15F7"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Language barriers</w:t>
            </w:r>
          </w:p>
        </w:tc>
        <w:tc>
          <w:tcPr>
            <w:tcW w:w="482" w:type="dxa"/>
          </w:tcPr>
          <w:p w14:paraId="75AD9858"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1FBA4C3A"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241780BF" w14:textId="77777777" w:rsidTr="006A54BC">
        <w:tc>
          <w:tcPr>
            <w:tcW w:w="421" w:type="dxa"/>
          </w:tcPr>
          <w:p w14:paraId="465A49F2"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43</w:t>
            </w:r>
          </w:p>
        </w:tc>
        <w:tc>
          <w:tcPr>
            <w:tcW w:w="4054" w:type="dxa"/>
          </w:tcPr>
          <w:p w14:paraId="10D39C9D"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 xml:space="preserve">Maternal norms of being a "good mother" and a "strong" woman </w:t>
            </w:r>
          </w:p>
        </w:tc>
        <w:tc>
          <w:tcPr>
            <w:tcW w:w="482" w:type="dxa"/>
          </w:tcPr>
          <w:p w14:paraId="212BE264"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2B98E860"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3ACE5C62" w14:textId="77777777" w:rsidTr="006A54BC">
        <w:tc>
          <w:tcPr>
            <w:tcW w:w="421" w:type="dxa"/>
          </w:tcPr>
          <w:p w14:paraId="34B2D902"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44</w:t>
            </w:r>
          </w:p>
        </w:tc>
        <w:tc>
          <w:tcPr>
            <w:tcW w:w="4054" w:type="dxa"/>
          </w:tcPr>
          <w:p w14:paraId="4C3BEF5A"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Mother's worries about being judged as a "bad mum"</w:t>
            </w:r>
          </w:p>
        </w:tc>
        <w:tc>
          <w:tcPr>
            <w:tcW w:w="482" w:type="dxa"/>
          </w:tcPr>
          <w:p w14:paraId="325A306E"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4900B28B"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7D490191" w14:textId="77777777" w:rsidTr="006A54BC">
        <w:tc>
          <w:tcPr>
            <w:tcW w:w="421" w:type="dxa"/>
          </w:tcPr>
          <w:p w14:paraId="19BAE5EF"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45</w:t>
            </w:r>
          </w:p>
        </w:tc>
        <w:tc>
          <w:tcPr>
            <w:tcW w:w="4054" w:type="dxa"/>
          </w:tcPr>
          <w:p w14:paraId="3213BC7F"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Restrictive eligibility criteria of care</w:t>
            </w:r>
          </w:p>
        </w:tc>
        <w:tc>
          <w:tcPr>
            <w:tcW w:w="482" w:type="dxa"/>
          </w:tcPr>
          <w:p w14:paraId="3A33103B"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540274D5"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7C96A888" w14:textId="77777777" w:rsidTr="006A54BC">
        <w:tc>
          <w:tcPr>
            <w:tcW w:w="421" w:type="dxa"/>
          </w:tcPr>
          <w:p w14:paraId="74CE10FB"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46</w:t>
            </w:r>
          </w:p>
        </w:tc>
        <w:tc>
          <w:tcPr>
            <w:tcW w:w="4054" w:type="dxa"/>
          </w:tcPr>
          <w:p w14:paraId="206E7063"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Stigma</w:t>
            </w:r>
          </w:p>
        </w:tc>
        <w:tc>
          <w:tcPr>
            <w:tcW w:w="482" w:type="dxa"/>
          </w:tcPr>
          <w:p w14:paraId="47DA3B8A"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1A2AF21B"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1DC7AC86" w14:textId="77777777" w:rsidTr="006A54BC">
        <w:tc>
          <w:tcPr>
            <w:tcW w:w="421" w:type="dxa"/>
          </w:tcPr>
          <w:p w14:paraId="3ACC687C"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47</w:t>
            </w:r>
          </w:p>
        </w:tc>
        <w:tc>
          <w:tcPr>
            <w:tcW w:w="4054" w:type="dxa"/>
          </w:tcPr>
          <w:p w14:paraId="4ED13948"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Stretched services</w:t>
            </w:r>
          </w:p>
        </w:tc>
        <w:tc>
          <w:tcPr>
            <w:tcW w:w="482" w:type="dxa"/>
          </w:tcPr>
          <w:p w14:paraId="4B8F6FFF"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58C8789B"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23786A97" w14:textId="77777777" w:rsidTr="006A54BC">
        <w:tc>
          <w:tcPr>
            <w:tcW w:w="421" w:type="dxa"/>
          </w:tcPr>
          <w:p w14:paraId="10325ED5"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48</w:t>
            </w:r>
          </w:p>
        </w:tc>
        <w:tc>
          <w:tcPr>
            <w:tcW w:w="4054" w:type="dxa"/>
          </w:tcPr>
          <w:p w14:paraId="776CD629"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 xml:space="preserve">The belief that services only offer medication </w:t>
            </w:r>
          </w:p>
        </w:tc>
        <w:tc>
          <w:tcPr>
            <w:tcW w:w="482" w:type="dxa"/>
          </w:tcPr>
          <w:p w14:paraId="2560D95C"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0F7F58A5"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3B96759C" w14:textId="77777777" w:rsidTr="006A54BC">
        <w:tc>
          <w:tcPr>
            <w:tcW w:w="421" w:type="dxa"/>
          </w:tcPr>
          <w:p w14:paraId="5D9DE29E"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49</w:t>
            </w:r>
          </w:p>
        </w:tc>
        <w:tc>
          <w:tcPr>
            <w:tcW w:w="4054" w:type="dxa"/>
          </w:tcPr>
          <w:p w14:paraId="0D0BB758"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Timing of services not suitable to women's needs</w:t>
            </w:r>
          </w:p>
        </w:tc>
        <w:tc>
          <w:tcPr>
            <w:tcW w:w="482" w:type="dxa"/>
          </w:tcPr>
          <w:p w14:paraId="15856CAF"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3AA73484"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76A87225" w14:textId="77777777" w:rsidTr="006A54BC">
        <w:tc>
          <w:tcPr>
            <w:tcW w:w="421" w:type="dxa"/>
          </w:tcPr>
          <w:p w14:paraId="162AAA5B"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50</w:t>
            </w:r>
          </w:p>
        </w:tc>
        <w:tc>
          <w:tcPr>
            <w:tcW w:w="4054" w:type="dxa"/>
          </w:tcPr>
          <w:p w14:paraId="7DD61FE0"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Travel costs</w:t>
            </w:r>
          </w:p>
        </w:tc>
        <w:tc>
          <w:tcPr>
            <w:tcW w:w="482" w:type="dxa"/>
          </w:tcPr>
          <w:p w14:paraId="1A91C4C5"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65367EB9"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2BE1130D" w14:textId="77777777" w:rsidTr="006A54BC">
        <w:tc>
          <w:tcPr>
            <w:tcW w:w="421" w:type="dxa"/>
          </w:tcPr>
          <w:p w14:paraId="372FE7B5"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51</w:t>
            </w:r>
          </w:p>
        </w:tc>
        <w:tc>
          <w:tcPr>
            <w:tcW w:w="4054" w:type="dxa"/>
          </w:tcPr>
          <w:p w14:paraId="43D8E4BE"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Women’s additional personal difficulties</w:t>
            </w:r>
          </w:p>
        </w:tc>
        <w:tc>
          <w:tcPr>
            <w:tcW w:w="482" w:type="dxa"/>
          </w:tcPr>
          <w:p w14:paraId="72CC2CA1"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1DD91400"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62942048" w14:textId="77777777" w:rsidTr="006A54BC">
        <w:tc>
          <w:tcPr>
            <w:tcW w:w="421" w:type="dxa"/>
          </w:tcPr>
          <w:p w14:paraId="74A4A566"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52</w:t>
            </w:r>
          </w:p>
        </w:tc>
        <w:tc>
          <w:tcPr>
            <w:tcW w:w="4054" w:type="dxa"/>
          </w:tcPr>
          <w:p w14:paraId="6B6A256D"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 being from an ethnic minority</w:t>
            </w:r>
          </w:p>
        </w:tc>
        <w:tc>
          <w:tcPr>
            <w:tcW w:w="482" w:type="dxa"/>
          </w:tcPr>
          <w:p w14:paraId="622AABAD"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1A08E70A"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2D35F937" w14:textId="77777777" w:rsidTr="006A54BC">
        <w:tc>
          <w:tcPr>
            <w:tcW w:w="421" w:type="dxa"/>
          </w:tcPr>
          <w:p w14:paraId="67A74617"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53</w:t>
            </w:r>
          </w:p>
        </w:tc>
        <w:tc>
          <w:tcPr>
            <w:tcW w:w="4054" w:type="dxa"/>
          </w:tcPr>
          <w:p w14:paraId="1738DBB1"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 being on a low income</w:t>
            </w:r>
          </w:p>
        </w:tc>
        <w:tc>
          <w:tcPr>
            <w:tcW w:w="482" w:type="dxa"/>
          </w:tcPr>
          <w:p w14:paraId="7B50C806"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65168D42"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39694D80" w14:textId="77777777" w:rsidTr="006A54BC">
        <w:tc>
          <w:tcPr>
            <w:tcW w:w="421" w:type="dxa"/>
          </w:tcPr>
          <w:p w14:paraId="0AA67D76"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lastRenderedPageBreak/>
              <w:t>54</w:t>
            </w:r>
          </w:p>
        </w:tc>
        <w:tc>
          <w:tcPr>
            <w:tcW w:w="4054" w:type="dxa"/>
          </w:tcPr>
          <w:p w14:paraId="3027E079"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 being worried about social services involvement</w:t>
            </w:r>
          </w:p>
        </w:tc>
        <w:tc>
          <w:tcPr>
            <w:tcW w:w="482" w:type="dxa"/>
          </w:tcPr>
          <w:p w14:paraId="04DB5C2D"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6E6BD222"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07D59871" w14:textId="77777777" w:rsidTr="006A54BC">
        <w:tc>
          <w:tcPr>
            <w:tcW w:w="421" w:type="dxa"/>
          </w:tcPr>
          <w:p w14:paraId="17CEF7C0"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55</w:t>
            </w:r>
          </w:p>
        </w:tc>
        <w:tc>
          <w:tcPr>
            <w:tcW w:w="4054" w:type="dxa"/>
          </w:tcPr>
          <w:p w14:paraId="7A0348D4"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 being younger</w:t>
            </w:r>
          </w:p>
        </w:tc>
        <w:tc>
          <w:tcPr>
            <w:tcW w:w="482" w:type="dxa"/>
          </w:tcPr>
          <w:p w14:paraId="6B0DE32D"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0ED1206C" w14:textId="77777777" w:rsidR="00474D75" w:rsidRPr="004C2DB2" w:rsidRDefault="00474D75" w:rsidP="006A54BC">
            <w:pPr>
              <w:spacing w:line="240" w:lineRule="auto"/>
              <w:ind w:firstLine="0"/>
              <w:rPr>
                <w:rFonts w:ascii="Times New Roman" w:hAnsi="Times New Roman" w:cs="Times New Roman"/>
                <w:color w:val="000000"/>
              </w:rPr>
            </w:pPr>
          </w:p>
        </w:tc>
      </w:tr>
      <w:tr w:rsidR="00474D75" w:rsidRPr="004C2DB2" w14:paraId="7B8F6A5C" w14:textId="77777777" w:rsidTr="006A54BC">
        <w:tc>
          <w:tcPr>
            <w:tcW w:w="421" w:type="dxa"/>
          </w:tcPr>
          <w:p w14:paraId="2845EC49" w14:textId="77777777" w:rsidR="00474D75" w:rsidRPr="004C2DB2" w:rsidRDefault="00474D75" w:rsidP="006A54BC">
            <w:pPr>
              <w:spacing w:line="240" w:lineRule="auto"/>
              <w:ind w:firstLine="0"/>
              <w:rPr>
                <w:rFonts w:ascii="Times New Roman" w:hAnsi="Times New Roman" w:cs="Times New Roman"/>
                <w:b/>
                <w:bCs/>
                <w:color w:val="000000"/>
              </w:rPr>
            </w:pPr>
            <w:r w:rsidRPr="004C2DB2">
              <w:rPr>
                <w:rFonts w:ascii="Times New Roman" w:hAnsi="Times New Roman" w:cs="Times New Roman"/>
                <w:color w:val="000000"/>
              </w:rPr>
              <w:t>56</w:t>
            </w:r>
          </w:p>
        </w:tc>
        <w:tc>
          <w:tcPr>
            <w:tcW w:w="4054" w:type="dxa"/>
          </w:tcPr>
          <w:p w14:paraId="1D868011" w14:textId="77777777" w:rsidR="00474D75" w:rsidRPr="004C2DB2" w:rsidRDefault="00474D75" w:rsidP="006A54BC">
            <w:pPr>
              <w:spacing w:line="240" w:lineRule="auto"/>
              <w:ind w:firstLine="0"/>
              <w:rPr>
                <w:rFonts w:ascii="Times New Roman" w:hAnsi="Times New Roman" w:cs="Times New Roman"/>
                <w:color w:val="000000"/>
              </w:rPr>
            </w:pPr>
            <w:r w:rsidRPr="004C2DB2">
              <w:rPr>
                <w:rFonts w:ascii="Times New Roman" w:hAnsi="Times New Roman" w:cs="Times New Roman"/>
                <w:color w:val="000000"/>
              </w:rPr>
              <w:t>Women believing PMH symptoms are a normal part of motherhood</w:t>
            </w:r>
          </w:p>
        </w:tc>
        <w:tc>
          <w:tcPr>
            <w:tcW w:w="482" w:type="dxa"/>
          </w:tcPr>
          <w:p w14:paraId="4BEBD3F5" w14:textId="77777777" w:rsidR="00474D75" w:rsidRPr="004C2DB2" w:rsidRDefault="00474D75" w:rsidP="006A54BC">
            <w:pPr>
              <w:spacing w:line="240" w:lineRule="auto"/>
              <w:ind w:firstLine="0"/>
              <w:rPr>
                <w:rFonts w:ascii="Times New Roman" w:hAnsi="Times New Roman" w:cs="Times New Roman"/>
                <w:color w:val="000000"/>
              </w:rPr>
            </w:pPr>
          </w:p>
        </w:tc>
        <w:tc>
          <w:tcPr>
            <w:tcW w:w="4394" w:type="dxa"/>
          </w:tcPr>
          <w:p w14:paraId="312F384B" w14:textId="77777777" w:rsidR="00474D75" w:rsidRPr="004C2DB2" w:rsidRDefault="00474D75" w:rsidP="006A54BC">
            <w:pPr>
              <w:spacing w:line="240" w:lineRule="auto"/>
              <w:ind w:firstLine="0"/>
              <w:rPr>
                <w:rFonts w:ascii="Times New Roman" w:hAnsi="Times New Roman" w:cs="Times New Roman"/>
                <w:color w:val="000000"/>
              </w:rPr>
            </w:pPr>
          </w:p>
        </w:tc>
      </w:tr>
    </w:tbl>
    <w:p w14:paraId="47F058D0" w14:textId="77777777" w:rsidR="00474D75" w:rsidRPr="004C2DB2" w:rsidRDefault="00474D75" w:rsidP="00474D75">
      <w:pPr>
        <w:rPr>
          <w:rFonts w:ascii="Times New Roman" w:hAnsi="Times New Roman" w:cs="Times New Roman"/>
        </w:rPr>
      </w:pPr>
      <w:r w:rsidRPr="004C2DB2">
        <w:rPr>
          <w:rFonts w:ascii="Times New Roman" w:hAnsi="Times New Roman" w:cs="Times New Roman"/>
          <w:i/>
          <w:iCs/>
        </w:rPr>
        <w:t>Note</w:t>
      </w:r>
      <w:r w:rsidRPr="004C2DB2">
        <w:rPr>
          <w:rFonts w:ascii="Times New Roman" w:hAnsi="Times New Roman" w:cs="Times New Roman"/>
        </w:rPr>
        <w:t>. Italics = both barriers and facilitators</w:t>
      </w:r>
    </w:p>
    <w:p w14:paraId="74A4A181" w14:textId="77777777" w:rsidR="00474D75" w:rsidRDefault="00474D75" w:rsidP="00B77E25">
      <w:pPr>
        <w:ind w:firstLine="0"/>
        <w:rPr>
          <w:lang w:eastAsia="en-US"/>
        </w:rPr>
        <w:sectPr w:rsidR="00474D75" w:rsidSect="0023701C">
          <w:pgSz w:w="11906" w:h="16838"/>
          <w:pgMar w:top="1440" w:right="1440" w:bottom="1440" w:left="1440" w:header="708" w:footer="708" w:gutter="0"/>
          <w:cols w:space="708"/>
          <w:docGrid w:linePitch="360"/>
        </w:sectPr>
      </w:pPr>
    </w:p>
    <w:p w14:paraId="024C3F56" w14:textId="0861EA8D" w:rsidR="00474D75" w:rsidRDefault="00474D75" w:rsidP="00474D75">
      <w:pPr>
        <w:pStyle w:val="Heading1"/>
        <w:rPr>
          <w:rFonts w:ascii="Times New Roman" w:hAnsi="Times New Roman" w:cs="Times New Roman"/>
          <w:color w:val="auto"/>
          <w:sz w:val="24"/>
          <w:szCs w:val="24"/>
        </w:rPr>
      </w:pPr>
      <w:bookmarkStart w:id="17" w:name="_Toc108781730"/>
      <w:r>
        <w:rPr>
          <w:rFonts w:ascii="Times New Roman" w:hAnsi="Times New Roman" w:cs="Times New Roman"/>
          <w:i/>
          <w:iCs/>
          <w:color w:val="auto"/>
          <w:sz w:val="24"/>
          <w:szCs w:val="24"/>
        </w:rPr>
        <w:lastRenderedPageBreak/>
        <w:t>Supplementary Materials</w:t>
      </w:r>
      <w:r w:rsidRPr="00265687">
        <w:rPr>
          <w:rFonts w:ascii="Times New Roman" w:hAnsi="Times New Roman" w:cs="Times New Roman"/>
          <w:i/>
          <w:iCs/>
          <w:color w:val="auto"/>
          <w:sz w:val="24"/>
          <w:szCs w:val="24"/>
        </w:rPr>
        <w:t xml:space="preserve"> 1</w:t>
      </w:r>
      <w:r>
        <w:rPr>
          <w:rFonts w:ascii="Times New Roman" w:hAnsi="Times New Roman" w:cs="Times New Roman"/>
          <w:i/>
          <w:iCs/>
          <w:color w:val="auto"/>
          <w:sz w:val="24"/>
          <w:szCs w:val="24"/>
        </w:rPr>
        <w:t>1</w:t>
      </w:r>
      <w:r w:rsidRPr="00265687">
        <w:rPr>
          <w:rFonts w:ascii="Times New Roman" w:hAnsi="Times New Roman" w:cs="Times New Roman"/>
          <w:i/>
          <w:iCs/>
          <w:color w:val="auto"/>
          <w:sz w:val="24"/>
          <w:szCs w:val="24"/>
        </w:rPr>
        <w:t>:</w:t>
      </w:r>
      <w:r>
        <w:rPr>
          <w:rFonts w:ascii="Times New Roman" w:hAnsi="Times New Roman" w:cs="Times New Roman"/>
          <w:i/>
          <w:iCs/>
          <w:color w:val="auto"/>
          <w:sz w:val="24"/>
          <w:szCs w:val="24"/>
        </w:rPr>
        <w:t xml:space="preserve"> </w:t>
      </w:r>
      <w:r>
        <w:rPr>
          <w:rFonts w:ascii="Times New Roman" w:hAnsi="Times New Roman" w:cs="Times New Roman"/>
          <w:color w:val="auto"/>
          <w:sz w:val="24"/>
          <w:szCs w:val="24"/>
        </w:rPr>
        <w:t>MATRIx barriers conceptual framework</w:t>
      </w:r>
      <w:bookmarkEnd w:id="17"/>
    </w:p>
    <w:p w14:paraId="10E9887A" w14:textId="2F6FD820" w:rsidR="00474D75" w:rsidRPr="00474D75" w:rsidRDefault="00085824" w:rsidP="00085824">
      <w:pPr>
        <w:ind w:firstLine="0"/>
        <w:rPr>
          <w:lang w:eastAsia="en-US"/>
        </w:rPr>
      </w:pPr>
      <w:r>
        <w:rPr>
          <w:noProof/>
          <w:lang w:eastAsia="en-US"/>
        </w:rPr>
        <w:drawing>
          <wp:anchor distT="0" distB="0" distL="114300" distR="114300" simplePos="0" relativeHeight="251658240" behindDoc="0" locked="0" layoutInCell="1" allowOverlap="1" wp14:anchorId="69B28716" wp14:editId="6B5730CE">
            <wp:simplePos x="0" y="0"/>
            <wp:positionH relativeFrom="margin">
              <wp:align>left</wp:align>
            </wp:positionH>
            <wp:positionV relativeFrom="paragraph">
              <wp:posOffset>11430</wp:posOffset>
            </wp:positionV>
            <wp:extent cx="9449438" cy="6690511"/>
            <wp:effectExtent l="0" t="0" r="0" b="0"/>
            <wp:wrapNone/>
            <wp:docPr id="4" name="Picture 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screensho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466504" cy="6702594"/>
                    </a:xfrm>
                    <a:prstGeom prst="rect">
                      <a:avLst/>
                    </a:prstGeom>
                  </pic:spPr>
                </pic:pic>
              </a:graphicData>
            </a:graphic>
            <wp14:sizeRelH relativeFrom="page">
              <wp14:pctWidth>0</wp14:pctWidth>
            </wp14:sizeRelH>
            <wp14:sizeRelV relativeFrom="page">
              <wp14:pctHeight>0</wp14:pctHeight>
            </wp14:sizeRelV>
          </wp:anchor>
        </w:drawing>
      </w:r>
    </w:p>
    <w:p w14:paraId="7412A9BE" w14:textId="77777777" w:rsidR="00B77E25" w:rsidRDefault="00B77E25" w:rsidP="00B77E25">
      <w:pPr>
        <w:ind w:firstLine="0"/>
        <w:rPr>
          <w:lang w:eastAsia="en-US"/>
        </w:rPr>
      </w:pPr>
    </w:p>
    <w:p w14:paraId="727E8A11" w14:textId="77777777" w:rsidR="00F209E5" w:rsidRDefault="00F209E5" w:rsidP="00B77E25">
      <w:pPr>
        <w:ind w:firstLine="0"/>
        <w:rPr>
          <w:lang w:eastAsia="en-US"/>
        </w:rPr>
      </w:pPr>
    </w:p>
    <w:p w14:paraId="052D37EB" w14:textId="77777777" w:rsidR="00F209E5" w:rsidRDefault="00F209E5" w:rsidP="00B77E25">
      <w:pPr>
        <w:ind w:firstLine="0"/>
        <w:rPr>
          <w:lang w:eastAsia="en-US"/>
        </w:rPr>
      </w:pPr>
    </w:p>
    <w:p w14:paraId="13B18467" w14:textId="77777777" w:rsidR="00F209E5" w:rsidRDefault="00F209E5" w:rsidP="00B77E25">
      <w:pPr>
        <w:ind w:firstLine="0"/>
        <w:rPr>
          <w:lang w:eastAsia="en-US"/>
        </w:rPr>
      </w:pPr>
    </w:p>
    <w:p w14:paraId="24A3C5B5" w14:textId="77777777" w:rsidR="00F209E5" w:rsidRDefault="00F209E5" w:rsidP="00B77E25">
      <w:pPr>
        <w:ind w:firstLine="0"/>
        <w:rPr>
          <w:lang w:eastAsia="en-US"/>
        </w:rPr>
      </w:pPr>
    </w:p>
    <w:p w14:paraId="0C5E60A8" w14:textId="77777777" w:rsidR="00F209E5" w:rsidRDefault="00F209E5" w:rsidP="00B77E25">
      <w:pPr>
        <w:ind w:firstLine="0"/>
        <w:rPr>
          <w:lang w:eastAsia="en-US"/>
        </w:rPr>
      </w:pPr>
    </w:p>
    <w:p w14:paraId="1C27355D" w14:textId="77777777" w:rsidR="00F209E5" w:rsidRDefault="00F209E5" w:rsidP="00B77E25">
      <w:pPr>
        <w:ind w:firstLine="0"/>
        <w:rPr>
          <w:lang w:eastAsia="en-US"/>
        </w:rPr>
      </w:pPr>
    </w:p>
    <w:p w14:paraId="0263930C" w14:textId="77777777" w:rsidR="00F209E5" w:rsidRDefault="00F209E5" w:rsidP="00B77E25">
      <w:pPr>
        <w:ind w:firstLine="0"/>
        <w:rPr>
          <w:lang w:eastAsia="en-US"/>
        </w:rPr>
      </w:pPr>
    </w:p>
    <w:p w14:paraId="26933655" w14:textId="77777777" w:rsidR="00F209E5" w:rsidRDefault="00F209E5" w:rsidP="00B77E25">
      <w:pPr>
        <w:ind w:firstLine="0"/>
        <w:rPr>
          <w:lang w:eastAsia="en-US"/>
        </w:rPr>
      </w:pPr>
    </w:p>
    <w:p w14:paraId="00457E60" w14:textId="77777777" w:rsidR="00F209E5" w:rsidRDefault="00F209E5" w:rsidP="00B77E25">
      <w:pPr>
        <w:ind w:firstLine="0"/>
        <w:rPr>
          <w:lang w:eastAsia="en-US"/>
        </w:rPr>
      </w:pPr>
    </w:p>
    <w:p w14:paraId="009FF0CD" w14:textId="77777777" w:rsidR="00F209E5" w:rsidRDefault="00F209E5" w:rsidP="00B77E25">
      <w:pPr>
        <w:ind w:firstLine="0"/>
        <w:rPr>
          <w:lang w:eastAsia="en-US"/>
        </w:rPr>
      </w:pPr>
    </w:p>
    <w:p w14:paraId="0FFD6590" w14:textId="77777777" w:rsidR="00F209E5" w:rsidRDefault="00F209E5" w:rsidP="00B77E25">
      <w:pPr>
        <w:ind w:firstLine="0"/>
        <w:rPr>
          <w:lang w:eastAsia="en-US"/>
        </w:rPr>
      </w:pPr>
    </w:p>
    <w:p w14:paraId="5922737A" w14:textId="77777777" w:rsidR="00F209E5" w:rsidRDefault="00F209E5" w:rsidP="00B77E25">
      <w:pPr>
        <w:ind w:firstLine="0"/>
        <w:rPr>
          <w:lang w:eastAsia="en-US"/>
        </w:rPr>
      </w:pPr>
    </w:p>
    <w:p w14:paraId="079F1576" w14:textId="29B36E04" w:rsidR="00F209E5" w:rsidRDefault="00F209E5" w:rsidP="00F209E5">
      <w:pPr>
        <w:pStyle w:val="Heading1"/>
        <w:rPr>
          <w:rFonts w:ascii="Times New Roman" w:hAnsi="Times New Roman" w:cs="Times New Roman"/>
          <w:color w:val="auto"/>
          <w:sz w:val="24"/>
          <w:szCs w:val="24"/>
        </w:rPr>
      </w:pPr>
      <w:bookmarkStart w:id="18" w:name="_Toc108781731"/>
      <w:r>
        <w:rPr>
          <w:rFonts w:ascii="Times New Roman" w:hAnsi="Times New Roman" w:cs="Times New Roman"/>
          <w:i/>
          <w:iCs/>
          <w:color w:val="auto"/>
          <w:sz w:val="24"/>
          <w:szCs w:val="24"/>
        </w:rPr>
        <w:lastRenderedPageBreak/>
        <w:t>Supplementary Materials</w:t>
      </w:r>
      <w:r w:rsidRPr="00265687">
        <w:rPr>
          <w:rFonts w:ascii="Times New Roman" w:hAnsi="Times New Roman" w:cs="Times New Roman"/>
          <w:i/>
          <w:iCs/>
          <w:color w:val="auto"/>
          <w:sz w:val="24"/>
          <w:szCs w:val="24"/>
        </w:rPr>
        <w:t xml:space="preserve"> 1</w:t>
      </w:r>
      <w:r>
        <w:rPr>
          <w:rFonts w:ascii="Times New Roman" w:hAnsi="Times New Roman" w:cs="Times New Roman"/>
          <w:i/>
          <w:iCs/>
          <w:color w:val="auto"/>
          <w:sz w:val="24"/>
          <w:szCs w:val="24"/>
        </w:rPr>
        <w:t>2</w:t>
      </w:r>
      <w:r w:rsidRPr="00265687">
        <w:rPr>
          <w:rFonts w:ascii="Times New Roman" w:hAnsi="Times New Roman" w:cs="Times New Roman"/>
          <w:i/>
          <w:iCs/>
          <w:color w:val="auto"/>
          <w:sz w:val="24"/>
          <w:szCs w:val="24"/>
        </w:rPr>
        <w:t>:</w:t>
      </w:r>
      <w:r>
        <w:rPr>
          <w:rFonts w:ascii="Times New Roman" w:hAnsi="Times New Roman" w:cs="Times New Roman"/>
          <w:i/>
          <w:iCs/>
          <w:color w:val="auto"/>
          <w:sz w:val="24"/>
          <w:szCs w:val="24"/>
        </w:rPr>
        <w:t xml:space="preserve"> </w:t>
      </w:r>
      <w:r>
        <w:rPr>
          <w:rFonts w:ascii="Times New Roman" w:hAnsi="Times New Roman" w:cs="Times New Roman"/>
          <w:color w:val="auto"/>
          <w:sz w:val="24"/>
          <w:szCs w:val="24"/>
        </w:rPr>
        <w:t xml:space="preserve">MATRIx </w:t>
      </w:r>
      <w:r>
        <w:rPr>
          <w:rFonts w:ascii="Times New Roman" w:hAnsi="Times New Roman" w:cs="Times New Roman"/>
          <w:color w:val="auto"/>
          <w:sz w:val="24"/>
          <w:szCs w:val="24"/>
        </w:rPr>
        <w:t>facilitators</w:t>
      </w:r>
      <w:r>
        <w:rPr>
          <w:rFonts w:ascii="Times New Roman" w:hAnsi="Times New Roman" w:cs="Times New Roman"/>
          <w:color w:val="auto"/>
          <w:sz w:val="24"/>
          <w:szCs w:val="24"/>
        </w:rPr>
        <w:t xml:space="preserve"> conceptual framework</w:t>
      </w:r>
      <w:bookmarkEnd w:id="18"/>
    </w:p>
    <w:p w14:paraId="3D04F113" w14:textId="6390543C" w:rsidR="00F209E5" w:rsidRPr="00F209E5" w:rsidRDefault="00F209E5" w:rsidP="00F209E5">
      <w:pPr>
        <w:rPr>
          <w:lang w:eastAsia="en-US"/>
        </w:rPr>
      </w:pPr>
      <w:r>
        <w:rPr>
          <w:noProof/>
          <w:lang w:eastAsia="en-US"/>
        </w:rPr>
        <w:drawing>
          <wp:anchor distT="0" distB="0" distL="114300" distR="114300" simplePos="0" relativeHeight="251659264" behindDoc="0" locked="0" layoutInCell="1" allowOverlap="1" wp14:anchorId="099C0698" wp14:editId="48BC7628">
            <wp:simplePos x="0" y="0"/>
            <wp:positionH relativeFrom="column">
              <wp:posOffset>-122222</wp:posOffset>
            </wp:positionH>
            <wp:positionV relativeFrom="paragraph">
              <wp:posOffset>68793</wp:posOffset>
            </wp:positionV>
            <wp:extent cx="9750582" cy="6894311"/>
            <wp:effectExtent l="0" t="0" r="3175" b="1905"/>
            <wp:wrapNone/>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54371" cy="6896990"/>
                    </a:xfrm>
                    <a:prstGeom prst="rect">
                      <a:avLst/>
                    </a:prstGeom>
                  </pic:spPr>
                </pic:pic>
              </a:graphicData>
            </a:graphic>
            <wp14:sizeRelH relativeFrom="page">
              <wp14:pctWidth>0</wp14:pctWidth>
            </wp14:sizeRelH>
            <wp14:sizeRelV relativeFrom="page">
              <wp14:pctHeight>0</wp14:pctHeight>
            </wp14:sizeRelV>
          </wp:anchor>
        </w:drawing>
      </w:r>
    </w:p>
    <w:p w14:paraId="4C9B18FB" w14:textId="77777777" w:rsidR="00F209E5" w:rsidRDefault="00F209E5" w:rsidP="00B77E25">
      <w:pPr>
        <w:ind w:firstLine="0"/>
        <w:rPr>
          <w:lang w:eastAsia="en-US"/>
        </w:rPr>
      </w:pPr>
    </w:p>
    <w:p w14:paraId="07258029" w14:textId="77777777" w:rsidR="00F209E5" w:rsidRDefault="00F209E5" w:rsidP="00B77E25">
      <w:pPr>
        <w:ind w:firstLine="0"/>
        <w:rPr>
          <w:lang w:eastAsia="en-US"/>
        </w:rPr>
      </w:pPr>
    </w:p>
    <w:p w14:paraId="05A121F6" w14:textId="77777777" w:rsidR="00F209E5" w:rsidRDefault="00F209E5" w:rsidP="00B77E25">
      <w:pPr>
        <w:ind w:firstLine="0"/>
        <w:rPr>
          <w:lang w:eastAsia="en-US"/>
        </w:rPr>
      </w:pPr>
    </w:p>
    <w:p w14:paraId="57F2A331" w14:textId="77777777" w:rsidR="00F209E5" w:rsidRDefault="00F209E5" w:rsidP="00B77E25">
      <w:pPr>
        <w:ind w:firstLine="0"/>
        <w:rPr>
          <w:lang w:eastAsia="en-US"/>
        </w:rPr>
      </w:pPr>
    </w:p>
    <w:p w14:paraId="3DDF2A26" w14:textId="77777777" w:rsidR="00F209E5" w:rsidRDefault="00F209E5" w:rsidP="00B77E25">
      <w:pPr>
        <w:ind w:firstLine="0"/>
        <w:rPr>
          <w:lang w:eastAsia="en-US"/>
        </w:rPr>
      </w:pPr>
    </w:p>
    <w:p w14:paraId="5A59EBAB" w14:textId="77777777" w:rsidR="00F209E5" w:rsidRDefault="00F209E5" w:rsidP="00B77E25">
      <w:pPr>
        <w:ind w:firstLine="0"/>
        <w:rPr>
          <w:lang w:eastAsia="en-US"/>
        </w:rPr>
      </w:pPr>
    </w:p>
    <w:p w14:paraId="58B28A96" w14:textId="77777777" w:rsidR="00F209E5" w:rsidRDefault="00F209E5" w:rsidP="00B77E25">
      <w:pPr>
        <w:ind w:firstLine="0"/>
        <w:rPr>
          <w:lang w:eastAsia="en-US"/>
        </w:rPr>
      </w:pPr>
    </w:p>
    <w:p w14:paraId="21829504" w14:textId="77777777" w:rsidR="00F209E5" w:rsidRDefault="00F209E5" w:rsidP="00B77E25">
      <w:pPr>
        <w:ind w:firstLine="0"/>
        <w:rPr>
          <w:lang w:eastAsia="en-US"/>
        </w:rPr>
      </w:pPr>
    </w:p>
    <w:p w14:paraId="4D58F82A" w14:textId="77777777" w:rsidR="00F209E5" w:rsidRDefault="00F209E5" w:rsidP="00B77E25">
      <w:pPr>
        <w:ind w:firstLine="0"/>
        <w:rPr>
          <w:lang w:eastAsia="en-US"/>
        </w:rPr>
      </w:pPr>
    </w:p>
    <w:p w14:paraId="3A087EAB" w14:textId="77777777" w:rsidR="00F209E5" w:rsidRDefault="00F209E5" w:rsidP="00B77E25">
      <w:pPr>
        <w:ind w:firstLine="0"/>
        <w:rPr>
          <w:lang w:eastAsia="en-US"/>
        </w:rPr>
      </w:pPr>
    </w:p>
    <w:p w14:paraId="063A0D63" w14:textId="77777777" w:rsidR="00F209E5" w:rsidRDefault="00F209E5" w:rsidP="00B77E25">
      <w:pPr>
        <w:ind w:firstLine="0"/>
        <w:rPr>
          <w:lang w:eastAsia="en-US"/>
        </w:rPr>
      </w:pPr>
    </w:p>
    <w:p w14:paraId="7D59B271" w14:textId="77777777" w:rsidR="00F209E5" w:rsidRDefault="00F209E5" w:rsidP="00B77E25">
      <w:pPr>
        <w:ind w:firstLine="0"/>
        <w:rPr>
          <w:lang w:eastAsia="en-US"/>
        </w:rPr>
      </w:pPr>
    </w:p>
    <w:p w14:paraId="58F39C99" w14:textId="77777777" w:rsidR="00F209E5" w:rsidRDefault="00F209E5" w:rsidP="00B77E25">
      <w:pPr>
        <w:ind w:firstLine="0"/>
        <w:rPr>
          <w:lang w:eastAsia="en-US"/>
        </w:rPr>
      </w:pPr>
    </w:p>
    <w:p w14:paraId="1A7A5930" w14:textId="77777777" w:rsidR="00F209E5" w:rsidRDefault="00F209E5" w:rsidP="00B77E25">
      <w:pPr>
        <w:ind w:firstLine="0"/>
        <w:rPr>
          <w:lang w:eastAsia="en-US"/>
        </w:rPr>
      </w:pPr>
    </w:p>
    <w:p w14:paraId="15E97762" w14:textId="5CB4E150" w:rsidR="00231463" w:rsidRDefault="00BB7BB7" w:rsidP="00367A93">
      <w:pPr>
        <w:pStyle w:val="Heading1"/>
        <w:rPr>
          <w:rFonts w:ascii="Times New Roman" w:hAnsi="Times New Roman" w:cs="Times New Roman"/>
          <w:color w:val="auto"/>
          <w:sz w:val="24"/>
          <w:szCs w:val="24"/>
        </w:rPr>
      </w:pPr>
      <w:bookmarkStart w:id="19" w:name="_Toc108781732"/>
      <w:r>
        <w:rPr>
          <w:rFonts w:ascii="Times New Roman" w:hAnsi="Times New Roman" w:cs="Times New Roman"/>
          <w:i/>
          <w:iCs/>
          <w:color w:val="auto"/>
          <w:sz w:val="24"/>
          <w:szCs w:val="24"/>
        </w:rPr>
        <w:lastRenderedPageBreak/>
        <w:t>Supplementary Materials</w:t>
      </w:r>
      <w:r w:rsidRPr="00265687">
        <w:rPr>
          <w:rFonts w:ascii="Times New Roman" w:hAnsi="Times New Roman" w:cs="Times New Roman"/>
          <w:i/>
          <w:iCs/>
          <w:color w:val="auto"/>
          <w:sz w:val="24"/>
          <w:szCs w:val="24"/>
        </w:rPr>
        <w:t xml:space="preserve"> 1</w:t>
      </w:r>
      <w:r>
        <w:rPr>
          <w:rFonts w:ascii="Times New Roman" w:hAnsi="Times New Roman" w:cs="Times New Roman"/>
          <w:i/>
          <w:iCs/>
          <w:color w:val="auto"/>
          <w:sz w:val="24"/>
          <w:szCs w:val="24"/>
        </w:rPr>
        <w:t>2</w:t>
      </w:r>
      <w:r w:rsidRPr="00265687">
        <w:rPr>
          <w:rFonts w:ascii="Times New Roman" w:hAnsi="Times New Roman" w:cs="Times New Roman"/>
          <w:i/>
          <w:iCs/>
          <w:color w:val="auto"/>
          <w:sz w:val="24"/>
          <w:szCs w:val="24"/>
        </w:rPr>
        <w:t>:</w:t>
      </w:r>
      <w:r>
        <w:rPr>
          <w:rFonts w:ascii="Times New Roman" w:hAnsi="Times New Roman" w:cs="Times New Roman"/>
          <w:i/>
          <w:iCs/>
          <w:color w:val="auto"/>
          <w:sz w:val="24"/>
          <w:szCs w:val="24"/>
        </w:rPr>
        <w:t xml:space="preserve"> </w:t>
      </w:r>
      <w:r>
        <w:rPr>
          <w:rFonts w:ascii="Times New Roman" w:hAnsi="Times New Roman" w:cs="Times New Roman"/>
          <w:color w:val="auto"/>
          <w:sz w:val="24"/>
          <w:szCs w:val="24"/>
        </w:rPr>
        <w:t xml:space="preserve">MATRIx </w:t>
      </w:r>
      <w:r w:rsidR="00706304">
        <w:rPr>
          <w:rFonts w:ascii="Times New Roman" w:hAnsi="Times New Roman" w:cs="Times New Roman"/>
          <w:color w:val="auto"/>
          <w:sz w:val="24"/>
          <w:szCs w:val="24"/>
        </w:rPr>
        <w:t>recommendations for policy and practice</w:t>
      </w:r>
      <w:bookmarkEnd w:id="19"/>
    </w:p>
    <w:tbl>
      <w:tblPr>
        <w:tblStyle w:val="TableGrid3"/>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11"/>
        <w:gridCol w:w="6125"/>
        <w:gridCol w:w="6122"/>
      </w:tblGrid>
      <w:tr w:rsidR="00EC5CDD" w:rsidRPr="00EC5CDD" w14:paraId="154918B4" w14:textId="77777777" w:rsidTr="006A54BC">
        <w:trPr>
          <w:tblHeader/>
        </w:trPr>
        <w:tc>
          <w:tcPr>
            <w:tcW w:w="613" w:type="pct"/>
            <w:tcBorders>
              <w:top w:val="single" w:sz="4" w:space="0" w:color="auto"/>
              <w:bottom w:val="single" w:sz="4" w:space="0" w:color="auto"/>
            </w:tcBorders>
          </w:tcPr>
          <w:p w14:paraId="4839301E"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c>
          <w:tcPr>
            <w:tcW w:w="2194" w:type="pct"/>
            <w:tcBorders>
              <w:top w:val="single" w:sz="4" w:space="0" w:color="auto"/>
              <w:bottom w:val="single" w:sz="4" w:space="0" w:color="auto"/>
            </w:tcBorders>
          </w:tcPr>
          <w:p w14:paraId="54F7BED9"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Evidence</w:t>
            </w:r>
          </w:p>
        </w:tc>
        <w:tc>
          <w:tcPr>
            <w:tcW w:w="2193" w:type="pct"/>
            <w:tcBorders>
              <w:top w:val="single" w:sz="4" w:space="0" w:color="auto"/>
              <w:bottom w:val="single" w:sz="4" w:space="0" w:color="auto"/>
            </w:tcBorders>
          </w:tcPr>
          <w:p w14:paraId="3F615D6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Recommendations</w:t>
            </w:r>
          </w:p>
        </w:tc>
      </w:tr>
      <w:tr w:rsidR="00EC5CDD" w:rsidRPr="00EC5CDD" w14:paraId="1F9AC8D6" w14:textId="77777777" w:rsidTr="006A54BC">
        <w:tc>
          <w:tcPr>
            <w:tcW w:w="613" w:type="pct"/>
            <w:tcBorders>
              <w:top w:val="single" w:sz="4" w:space="0" w:color="auto"/>
              <w:bottom w:val="single" w:sz="4" w:space="0" w:color="auto"/>
            </w:tcBorders>
          </w:tcPr>
          <w:p w14:paraId="3045748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Women</w:t>
            </w:r>
          </w:p>
        </w:tc>
        <w:tc>
          <w:tcPr>
            <w:tcW w:w="2194" w:type="pct"/>
            <w:tcBorders>
              <w:top w:val="single" w:sz="4" w:space="0" w:color="auto"/>
              <w:bottom w:val="single" w:sz="4" w:space="0" w:color="auto"/>
            </w:tcBorders>
          </w:tcPr>
          <w:p w14:paraId="73942F4A" w14:textId="77777777" w:rsidR="00EC5CDD" w:rsidRPr="00EC5CDD" w:rsidRDefault="00EC5CDD" w:rsidP="00EC5CDD">
            <w:pPr>
              <w:keepNext/>
              <w:keepLines/>
              <w:numPr>
                <w:ilvl w:val="0"/>
                <w:numId w:val="27"/>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women may believe that their symptoms are a normal part of motherhood*** which may lead to minimising symptoms*** or ignoring them***</w:t>
            </w:r>
          </w:p>
          <w:p w14:paraId="16E71854"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women may not fully understand the roles of each HPs meaning they may not feel comfortable talking with them about their symptoms***</w:t>
            </w:r>
          </w:p>
          <w:p w14:paraId="3A9D1E77"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women may not want to disclose symptoms because of fears of being judged as a ‘bad mum’***</w:t>
            </w:r>
          </w:p>
          <w:p w14:paraId="38A68DCD"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women may not want to disclose symptoms because of fear of social services involvement****</w:t>
            </w:r>
          </w:p>
          <w:p w14:paraId="689AD1C1"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the presence of supportive family can be a facilitator to PMH care access***</w:t>
            </w:r>
          </w:p>
          <w:p w14:paraId="166DC29D"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that women recognising something is wrong is a facilitator to PMH care access****</w:t>
            </w:r>
          </w:p>
          <w:p w14:paraId="0BCFD149"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previous positive experiences of mental health services is a facilitator to PMH care access***</w:t>
            </w:r>
          </w:p>
          <w:p w14:paraId="3E9CA59A"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1A89D4BF"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34B36806"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61AA7057"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Services that provide childcare***, flexible timing of appointments***, and easily accessible location/home delivery of care/treatment***</w:t>
            </w:r>
          </w:p>
          <w:p w14:paraId="62A4A25A" w14:textId="77777777" w:rsidR="00EC5CDD" w:rsidRPr="00EC5CDD" w:rsidRDefault="00EC5CDD" w:rsidP="00EC5CDD">
            <w:pPr>
              <w:spacing w:line="240" w:lineRule="auto"/>
              <w:ind w:firstLine="0"/>
              <w:rPr>
                <w:rFonts w:ascii="Times New Roman" w:eastAsiaTheme="minorHAnsi" w:hAnsi="Times New Roman" w:cs="Times New Roman"/>
                <w:kern w:val="0"/>
                <w:sz w:val="16"/>
                <w:szCs w:val="16"/>
                <w:lang w:eastAsia="en-US"/>
              </w:rPr>
            </w:pPr>
          </w:p>
          <w:p w14:paraId="60F55459"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3EB1CBA0"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that not being financially stable***, or being a refugee or an immigrant**** can be a barrier to accessing care</w:t>
            </w:r>
          </w:p>
          <w:p w14:paraId="45DD852D"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Understanding additional personal difficulties, such as unemployment may prevent PMH care access***</w:t>
            </w:r>
          </w:p>
          <w:p w14:paraId="5E4AF732" w14:textId="77777777" w:rsidR="00EC5CDD" w:rsidRPr="00EC5CDD" w:rsidRDefault="00EC5CDD" w:rsidP="00EC5CDD">
            <w:pPr>
              <w:numPr>
                <w:ilvl w:val="0"/>
                <w:numId w:val="26"/>
              </w:numPr>
              <w:spacing w:line="240" w:lineRule="auto"/>
              <w:ind w:left="454" w:hanging="227"/>
              <w:contextualSpacing/>
              <w:jc w:val="both"/>
              <w:rPr>
                <w:rFonts w:ascii="Times New Roman" w:eastAsiaTheme="majorEastAsia" w:hAnsi="Times New Roman" w:cs="Times New Roman"/>
                <w:kern w:val="0"/>
                <w:sz w:val="16"/>
                <w:szCs w:val="16"/>
                <w:lang w:eastAsia="en-US"/>
              </w:rPr>
            </w:pPr>
          </w:p>
          <w:p w14:paraId="7CFA2FEC"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c>
          <w:tcPr>
            <w:tcW w:w="2193" w:type="pct"/>
            <w:tcBorders>
              <w:top w:val="single" w:sz="4" w:space="0" w:color="auto"/>
              <w:bottom w:val="single" w:sz="4" w:space="0" w:color="auto"/>
            </w:tcBorders>
          </w:tcPr>
          <w:p w14:paraId="250D6D1E"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1</w:t>
            </w:r>
            <w:r w:rsidRPr="00EC5CDD">
              <w:rPr>
                <w:rFonts w:ascii="Times New Roman" w:eastAsiaTheme="minorHAnsi" w:hAnsi="Times New Roman" w:cs="Times New Roman"/>
                <w:kern w:val="0"/>
                <w:sz w:val="16"/>
                <w:szCs w:val="16"/>
                <w:lang w:eastAsia="en-US"/>
              </w:rPr>
              <w:t>Development of information aimed at increasing awareness of PMI such as (1) infographics/leaflets disseminated through maternity services, primary care, third sector organisations (e.g. NCT), and antenatal classes (2) short animations &amp; videos disseminated via social media on:</w:t>
            </w:r>
          </w:p>
          <w:p w14:paraId="0F1FDF75"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Symptoms of different PMI</w:t>
            </w:r>
          </w:p>
          <w:p w14:paraId="54CC50E3"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How they are common, and when to seek help</w:t>
            </w:r>
          </w:p>
          <w:p w14:paraId="3D47F5F2"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Causes</w:t>
            </w:r>
          </w:p>
          <w:p w14:paraId="0CB32AD2"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How to access professional support </w:t>
            </w:r>
          </w:p>
          <w:p w14:paraId="507E6EF7"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Services available</w:t>
            </w:r>
          </w:p>
          <w:p w14:paraId="1D73C7CF"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Maternity professionals and their role in PMH care</w:t>
            </w:r>
          </w:p>
          <w:p w14:paraId="7DC50E03"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Myth busters on social services and medication </w:t>
            </w:r>
          </w:p>
          <w:p w14:paraId="0BB783AD"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A433D9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09FB1F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97B02DC"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F297940"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51D897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92F150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E47CC33"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3717BCC"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2-4</w:t>
            </w:r>
            <w:r w:rsidRPr="00EC5CDD">
              <w:rPr>
                <w:rFonts w:ascii="Times New Roman" w:eastAsiaTheme="minorHAnsi" w:hAnsi="Times New Roman" w:cs="Times New Roman"/>
                <w:kern w:val="0"/>
                <w:sz w:val="16"/>
                <w:szCs w:val="16"/>
                <w:lang w:eastAsia="en-US"/>
              </w:rPr>
              <w:t>Provision of care that meets women’s needs – is flexible, easy to access and provides childcare</w:t>
            </w:r>
          </w:p>
          <w:p w14:paraId="73A70E9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AE76349"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9D8DCC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4</w:t>
            </w:r>
            <w:r w:rsidRPr="00EC5CDD">
              <w:rPr>
                <w:rFonts w:ascii="Times New Roman" w:eastAsiaTheme="minorHAnsi" w:hAnsi="Times New Roman" w:cs="Times New Roman"/>
                <w:kern w:val="0"/>
                <w:sz w:val="16"/>
                <w:szCs w:val="16"/>
                <w:lang w:eastAsia="en-US"/>
              </w:rPr>
              <w:t>A fair welfare and economic system that ensures that no one is living in poverty or in financial hardship</w:t>
            </w:r>
          </w:p>
        </w:tc>
      </w:tr>
      <w:tr w:rsidR="00EC5CDD" w:rsidRPr="00EC5CDD" w14:paraId="2B8F3A69" w14:textId="77777777" w:rsidTr="006A54BC">
        <w:tc>
          <w:tcPr>
            <w:tcW w:w="613" w:type="pct"/>
            <w:tcBorders>
              <w:top w:val="single" w:sz="4" w:space="0" w:color="auto"/>
              <w:bottom w:val="single" w:sz="4" w:space="0" w:color="auto"/>
            </w:tcBorders>
          </w:tcPr>
          <w:p w14:paraId="10178DF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HPs</w:t>
            </w:r>
          </w:p>
        </w:tc>
        <w:tc>
          <w:tcPr>
            <w:tcW w:w="2194" w:type="pct"/>
            <w:tcBorders>
              <w:top w:val="single" w:sz="4" w:space="0" w:color="auto"/>
              <w:bottom w:val="single" w:sz="4" w:space="0" w:color="auto"/>
            </w:tcBorders>
          </w:tcPr>
          <w:p w14:paraId="72ADF67F" w14:textId="77777777" w:rsidR="00EC5CDD" w:rsidRPr="00EC5CDD" w:rsidRDefault="00EC5CDD" w:rsidP="00EC5CDD">
            <w:pPr>
              <w:numPr>
                <w:ilvl w:val="0"/>
                <w:numId w:val="28"/>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Having a reasonable workload to ensure there is time to address women’s concerns****</w:t>
            </w:r>
          </w:p>
          <w:p w14:paraId="16D66811"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3A630674"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03FB656A" w14:textId="77777777" w:rsidR="00EC5CDD" w:rsidRPr="00EC5CDD" w:rsidRDefault="00EC5CDD" w:rsidP="00EC5CDD">
            <w:pPr>
              <w:numPr>
                <w:ilvl w:val="0"/>
                <w:numId w:val="28"/>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Works collaboratively with other HPs and other services***</w:t>
            </w:r>
          </w:p>
          <w:p w14:paraId="5E6E3BBE" w14:textId="77777777" w:rsidR="00EC5CDD" w:rsidRPr="00EC5CDD" w:rsidRDefault="00EC5CDD" w:rsidP="00EC5CDD">
            <w:pPr>
              <w:numPr>
                <w:ilvl w:val="0"/>
                <w:numId w:val="28"/>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Communicates clearly and openly with other HPs***</w:t>
            </w:r>
          </w:p>
          <w:p w14:paraId="45F6D69E"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29944923"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38C6801C"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322D7516"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14F18857"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11081FB1" w14:textId="77777777" w:rsidR="00EC5CDD" w:rsidRPr="00EC5CDD" w:rsidRDefault="00EC5CDD" w:rsidP="00EC5CDD">
            <w:pPr>
              <w:numPr>
                <w:ilvl w:val="0"/>
                <w:numId w:val="28"/>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Validating women’s symptoms****</w:t>
            </w:r>
          </w:p>
          <w:p w14:paraId="7FB4719C" w14:textId="77777777" w:rsidR="00EC5CDD" w:rsidRPr="00EC5CDD" w:rsidRDefault="00EC5CDD" w:rsidP="00EC5CDD">
            <w:pPr>
              <w:keepNext/>
              <w:keepLines/>
              <w:numPr>
                <w:ilvl w:val="0"/>
                <w:numId w:val="28"/>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Having the knowledge to understand different PMH difficulties***    </w:t>
            </w:r>
          </w:p>
          <w:p w14:paraId="4877633C" w14:textId="77777777" w:rsidR="00EC5CDD" w:rsidRPr="00EC5CDD" w:rsidRDefault="00EC5CDD" w:rsidP="00EC5CDD">
            <w:pPr>
              <w:keepNext/>
              <w:keepLines/>
              <w:numPr>
                <w:ilvl w:val="0"/>
                <w:numId w:val="28"/>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Recognising help-seeking***</w:t>
            </w:r>
          </w:p>
          <w:p w14:paraId="2726CE7D" w14:textId="77777777" w:rsidR="00EC5CDD" w:rsidRPr="00EC5CDD" w:rsidRDefault="00EC5CDD" w:rsidP="00EC5CDD">
            <w:pPr>
              <w:spacing w:line="240" w:lineRule="auto"/>
              <w:ind w:firstLine="0"/>
              <w:contextualSpacing/>
              <w:jc w:val="both"/>
              <w:rPr>
                <w:rFonts w:ascii="Times New Roman" w:eastAsiaTheme="minorHAnsi" w:hAnsi="Times New Roman" w:cs="Times New Roman"/>
                <w:spacing w:val="-40"/>
                <w:kern w:val="0"/>
                <w:sz w:val="16"/>
                <w:szCs w:val="16"/>
                <w:lang w:eastAsia="en-US"/>
              </w:rPr>
            </w:pPr>
          </w:p>
          <w:p w14:paraId="16CC5526" w14:textId="77777777" w:rsidR="00EC5CDD" w:rsidRPr="00EC5CDD" w:rsidRDefault="00EC5CDD" w:rsidP="00EC5CDD">
            <w:pPr>
              <w:spacing w:line="240" w:lineRule="auto"/>
              <w:ind w:firstLine="0"/>
              <w:contextualSpacing/>
              <w:jc w:val="both"/>
              <w:rPr>
                <w:rFonts w:ascii="Times New Roman" w:eastAsiaTheme="minorHAnsi" w:hAnsi="Times New Roman" w:cs="Times New Roman"/>
                <w:spacing w:val="-40"/>
                <w:kern w:val="0"/>
                <w:sz w:val="16"/>
                <w:szCs w:val="16"/>
                <w:lang w:eastAsia="en-US"/>
              </w:rPr>
            </w:pPr>
          </w:p>
          <w:p w14:paraId="37EB4E13" w14:textId="77777777" w:rsidR="00EC5CDD" w:rsidRPr="00EC5CDD" w:rsidRDefault="00EC5CDD" w:rsidP="00EC5CDD">
            <w:pPr>
              <w:spacing w:line="240" w:lineRule="auto"/>
              <w:ind w:firstLine="0"/>
              <w:contextualSpacing/>
              <w:jc w:val="both"/>
              <w:rPr>
                <w:rFonts w:ascii="Times New Roman" w:eastAsiaTheme="minorHAnsi" w:hAnsi="Times New Roman" w:cs="Times New Roman"/>
                <w:spacing w:val="-40"/>
                <w:kern w:val="0"/>
                <w:sz w:val="16"/>
                <w:szCs w:val="16"/>
                <w:lang w:eastAsia="en-US"/>
              </w:rPr>
            </w:pPr>
          </w:p>
          <w:p w14:paraId="591EFC6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4C4E809"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106701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F0725D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04413EE"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EBD755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354B695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91412AE" w14:textId="77777777" w:rsidR="00EC5CDD" w:rsidRPr="00EC5CDD" w:rsidRDefault="00EC5CDD" w:rsidP="00EC5CDD">
            <w:pPr>
              <w:numPr>
                <w:ilvl w:val="0"/>
                <w:numId w:val="28"/>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Has received adequate training****and therefore has good knowledge about PMI*** and other services and referral pathways****</w:t>
            </w:r>
          </w:p>
          <w:p w14:paraId="021D7747" w14:textId="77777777" w:rsidR="00EC5CDD" w:rsidRPr="00EC5CDD" w:rsidRDefault="00EC5CDD" w:rsidP="00EC5CDD">
            <w:pPr>
              <w:numPr>
                <w:ilvl w:val="0"/>
                <w:numId w:val="28"/>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Feels confident in addressing PMH concerns***</w:t>
            </w:r>
          </w:p>
          <w:p w14:paraId="3F759F02"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1E61DCC2"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2B5EBE78" w14:textId="77777777" w:rsidR="00EC5CDD" w:rsidRPr="00EC5CDD" w:rsidRDefault="00EC5CDD" w:rsidP="00EC5CDD">
            <w:pPr>
              <w:numPr>
                <w:ilvl w:val="0"/>
                <w:numId w:val="28"/>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Caring HPs who show a genuine interest in women and who are trustworthy, non-judgemental, empathetic and warm****</w:t>
            </w:r>
          </w:p>
          <w:p w14:paraId="6CBDB9B6"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58A7D3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c>
          <w:tcPr>
            <w:tcW w:w="2193" w:type="pct"/>
            <w:tcBorders>
              <w:top w:val="single" w:sz="4" w:space="0" w:color="auto"/>
              <w:bottom w:val="single" w:sz="4" w:space="0" w:color="auto"/>
            </w:tcBorders>
          </w:tcPr>
          <w:p w14:paraId="6CF1A73A"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lastRenderedPageBreak/>
              <w:t>2-4</w:t>
            </w:r>
            <w:r w:rsidRPr="00EC5CDD">
              <w:rPr>
                <w:rFonts w:ascii="Times New Roman" w:eastAsiaTheme="minorHAnsi" w:hAnsi="Times New Roman" w:cs="Times New Roman"/>
                <w:kern w:val="0"/>
                <w:sz w:val="16"/>
                <w:szCs w:val="16"/>
                <w:lang w:eastAsia="en-US"/>
              </w:rPr>
              <w:t xml:space="preserve">Provision of an adequate number of workers to meet women’s needs (see below). </w:t>
            </w:r>
          </w:p>
          <w:p w14:paraId="0DA9418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3143896C"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vertAlign w:val="superscript"/>
                <w:lang w:eastAsia="en-US"/>
              </w:rPr>
            </w:pPr>
          </w:p>
          <w:p w14:paraId="06FBC29D"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vertAlign w:val="superscript"/>
                <w:lang w:eastAsia="en-US"/>
              </w:rPr>
            </w:pPr>
          </w:p>
          <w:p w14:paraId="0365B45D"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w:t>
            </w:r>
            <w:r w:rsidRPr="00EC5CDD">
              <w:rPr>
                <w:rFonts w:ascii="Times New Roman" w:eastAsiaTheme="minorHAnsi" w:hAnsi="Times New Roman" w:cs="Times New Roman"/>
                <w:kern w:val="0"/>
                <w:sz w:val="16"/>
                <w:szCs w:val="16"/>
                <w:lang w:eastAsia="en-US"/>
              </w:rPr>
              <w:t xml:space="preserve">Multidisciplinary meetings, co-location, encouragement of a culture of team working, joint working, sharing knowledge, and approachability </w:t>
            </w:r>
            <w:r w:rsidRPr="00EC5CDD">
              <w:rPr>
                <w:rFonts w:ascii="Times New Roman" w:eastAsiaTheme="minorHAnsi" w:hAnsi="Times New Roman" w:cs="Times New Roman"/>
                <w:kern w:val="0"/>
                <w:sz w:val="16"/>
                <w:szCs w:val="16"/>
                <w:vertAlign w:val="superscript"/>
                <w:lang w:eastAsia="en-US"/>
              </w:rPr>
              <w:t>a(see Box 3)</w:t>
            </w:r>
          </w:p>
          <w:p w14:paraId="6FC5178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7242AF2"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19079D4"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E9E93DA"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049B0A3C"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AE452D3" w14:textId="4F45F906"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2&amp;4</w:t>
            </w:r>
            <w:r w:rsidRPr="00EC5CDD">
              <w:rPr>
                <w:rFonts w:ascii="Times New Roman" w:eastAsiaTheme="minorHAnsi" w:hAnsi="Times New Roman" w:cs="Times New Roman"/>
                <w:kern w:val="0"/>
                <w:sz w:val="16"/>
                <w:szCs w:val="16"/>
                <w:lang w:eastAsia="en-US"/>
              </w:rPr>
              <w:t xml:space="preserve"> Implementation of PMH good practice guides</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{"citationID":"a1ik5c7482r","properties":{"formattedCitation":"(1)","plainCitation":"(1)","noteIndex":0},"citationItems":[{"id":1156,"uris":["http://zotero.org/users/local/N5aToBsA/items/WAQ3GAKM"],"itemData":{"id":1156,"type":"report","event-place":"London","publisher":"NHS England and NHS Improvement","publisher-place":"London","title":"Supporting mental healthcare in a maternity and neonatal setting: Good practice guide and case studies","author":[{"literal":"University of Liverpool"}],"issued":{"date-parts":[["2021"]]}}}],"schema":"https://github.com/citation-style-language/schema/raw/master/csl-citation.json"}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(1)</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 xml:space="preserve"> which cover:</w:t>
            </w:r>
          </w:p>
          <w:p w14:paraId="344A36E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E28217E"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lastRenderedPageBreak/>
              <w:t>Symptoms of PNMI</w:t>
            </w:r>
          </w:p>
          <w:p w14:paraId="0499AAC1"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Communication skills when discussing PNMI</w:t>
            </w:r>
          </w:p>
          <w:p w14:paraId="163868A3"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What to do if a woman discloses PMH difficulties</w:t>
            </w:r>
          </w:p>
          <w:p w14:paraId="0D12E360"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Training opportunities</w:t>
            </w:r>
          </w:p>
          <w:p w14:paraId="28A98928"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Links to further resources</w:t>
            </w:r>
          </w:p>
          <w:p w14:paraId="0AFF8E9D" w14:textId="77777777" w:rsidR="00EC5CDD" w:rsidRPr="00EC5CDD" w:rsidRDefault="00EC5CDD" w:rsidP="00EC5CDD">
            <w:pPr>
              <w:keepNext/>
              <w:keepLines/>
              <w:numPr>
                <w:ilvl w:val="0"/>
                <w:numId w:val="26"/>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Case studies with examples of good practice</w:t>
            </w:r>
          </w:p>
          <w:p w14:paraId="090ED0AA"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867C30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FB0CE82" w14:textId="07767CFB"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5</w:t>
            </w:r>
            <w:r w:rsidRPr="00EC5CDD">
              <w:rPr>
                <w:rFonts w:ascii="Times New Roman" w:eastAsiaTheme="minorHAnsi" w:hAnsi="Times New Roman" w:cs="Times New Roman"/>
                <w:kern w:val="0"/>
                <w:sz w:val="16"/>
                <w:szCs w:val="16"/>
                <w:lang w:eastAsia="en-US"/>
              </w:rPr>
              <w:t>Participates in CPD activities related to PMH including participating in high quality training (see below). Consider HPs receiving accreditation for participating in training</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{"citationID":"aq36t6g35n","properties":{"formattedCitation":"(2)","plainCitation":"(2)","noteIndex":0},"citationItems":[{"id":488,"uris":["http://zotero.org/users/local/N5aToBsA/items/RFTI6C9R"],"itemData":{"id":488,"type":"article-journal","abstract":"Background: Identifying, developing, and testing implementation strategies are important goals of implementation science. However, these efforts have been complicated by the use of inconsistent language and inadequate descriptions of implementation strategies in the literature. The Expert Recommendations for Implementing Change (ERIC) study aimed to refine a published compilation of implementation strategy terms and definitions by systematically gathering input from a wide range of stakeholders with expertise in implementation science and clinical practice. Methods: Purposive sampling was used to recruit a panel of experts in implementation and clinical practice who engaged in three rounds of a modified Delphi process to generate consensus on implementation strategies and definitions. The first and second rounds involved Web-based surveys soliciting comments on implementation strategy terms and definitions. After each round, iterative refinements were made based upon participant feedback. The third round involved a live polling and consensus process via a Web-based platform and conference call. Results: Participants identified substantial concerns with 31% of the terms and/or definitions and suggested five additional strategies. Seventy-five percent of definitions from the originally published compilation of strategies were retained after voting. Ultimately, the expert panel reached consensus on a final compilation of 73 implementation strategies. Conclusions: This research advances the field by improving the conceptual clarity, relevance, and comprehensiveness of implementation strategies that can be used in isolation or combination in implementation research and practice. Future phases of ERIC will focus on developing conceptually distinct categories of strategies as well as ratings for each strategy's importance and feasibility. Next, the expert panel will recommend multifaceted strategies for hypothetical yet real-world scenarios that vary by sites' endorsement of evidence-based programs and practices and the strength of contextual supports that surround the effort.","container-title":"Implementation Science","DOI":"10.1186/s13012-015-0209-1","ISSN":"17485908","issue":"1","note":"PMID: 25889199","title":"A refined compilation of implementation strategies: Results from the Expert Recommendations for Implementing Change (ERIC) project","volume":"10","author":[{"family":"Powell","given":"Byron J"},{"family":"Waltz","given":"Thomas J"},{"family":"Chinman","given":"Matthew J"},{"family":"Damschroder","given":"Laura J"},{"family":"Smith","given":"Jeffrey L"},{"family":"Matthieu","given":"Monica M"},{"family":"Proctor","given":"Enola K"},{"family":"Kirchner","given":"Jo Ann E"}],"issued":{"date-parts":[["2015"]]}}}],"schema":"https://github.com/citation-style-language/schema/raw/master/csl-citation.json"}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(2)</w:t>
            </w:r>
            <w:r w:rsidRPr="00EC5CDD">
              <w:rPr>
                <w:rFonts w:ascii="Times New Roman" w:eastAsiaTheme="minorHAnsi" w:hAnsi="Times New Roman" w:cs="Times New Roman"/>
                <w:kern w:val="0"/>
                <w:sz w:val="16"/>
                <w:szCs w:val="16"/>
                <w:lang w:eastAsia="en-US"/>
              </w:rPr>
              <w:fldChar w:fldCharType="end"/>
            </w:r>
          </w:p>
          <w:p w14:paraId="1CEF469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272ED63"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E09B819" w14:textId="1073D674"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2&amp;4</w:t>
            </w:r>
            <w:r w:rsidRPr="00EC5CDD">
              <w:rPr>
                <w:rFonts w:ascii="Times New Roman" w:eastAsiaTheme="minorHAnsi" w:hAnsi="Times New Roman" w:cs="Times New Roman"/>
                <w:kern w:val="0"/>
                <w:sz w:val="16"/>
                <w:szCs w:val="16"/>
                <w:lang w:eastAsia="en-US"/>
              </w:rPr>
              <w:t>Recruitment of staff positive interest and attitude towards providing high quality care to women. Consider HP receiving accreditation for providing high quality care, team working, and clear communication</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{"citationID":"a1o3r9fdcbi","properties":{"formattedCitation":"(2)","plainCitation":"(2)","noteIndex":0},"citationItems":[{"id":488,"uris":["http://zotero.org/users/local/N5aToBsA/items/RFTI6C9R"],"itemData":{"id":488,"type":"article-journal","abstract":"Background: Identifying, developing, and testing implementation strategies are important goals of implementation science. However, these efforts have been complicated by the use of inconsistent language and inadequate descriptions of implementation strategies in the literature. The Expert Recommendations for Implementing Change (ERIC) study aimed to refine a published compilation of implementation strategy terms and definitions by systematically gathering input from a wide range of stakeholders with expertise in implementation science and clinical practice. Methods: Purposive sampling was used to recruit a panel of experts in implementation and clinical practice who engaged in three rounds of a modified Delphi process to generate consensus on implementation strategies and definitions. The first and second rounds involved Web-based surveys soliciting comments on implementation strategy terms and definitions. After each round, iterative refinements were made based upon participant feedback. The third round involved a live polling and consensus process via a Web-based platform and conference call. Results: Participants identified substantial concerns with 31% of the terms and/or definitions and suggested five additional strategies. Seventy-five percent of definitions from the originally published compilation of strategies were retained after voting. Ultimately, the expert panel reached consensus on a final compilation of 73 implementation strategies. Conclusions: This research advances the field by improving the conceptual clarity, relevance, and comprehensiveness of implementation strategies that can be used in isolation or combination in implementation research and practice. Future phases of ERIC will focus on developing conceptually distinct categories of strategies as well as ratings for each strategy's importance and feasibility. Next, the expert panel will recommend multifaceted strategies for hypothetical yet real-world scenarios that vary by sites' endorsement of evidence-based programs and practices and the strength of contextual supports that surround the effort.","container-title":"Implementation Science","DOI":"10.1186/s13012-015-0209-1","ISSN":"17485908","issue":"1","note":"PMID: 25889199","title":"A refined compilation of implementation strategies: Results from the Expert Recommendations for Implementing Change (ERIC) project","volume":"10","author":[{"family":"Powell","given":"Byron J"},{"family":"Waltz","given":"Thomas J"},{"family":"Chinman","given":"Matthew J"},{"family":"Damschroder","given":"Laura J"},{"family":"Smith","given":"Jeffrey L"},{"family":"Matthieu","given":"Monica M"},{"family":"Proctor","given":"Enola K"},{"family":"Kirchner","given":"Jo Ann E"}],"issued":{"date-parts":[["2015"]]}}}],"schema":"https://github.com/citation-style-language/schema/raw/master/csl-citation.json"}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(2)</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 xml:space="preserve">. </w:t>
            </w:r>
          </w:p>
          <w:p w14:paraId="45E85559" w14:textId="77777777"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p>
          <w:p w14:paraId="7D1F0EF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r>
      <w:tr w:rsidR="00EC5CDD" w:rsidRPr="00EC5CDD" w14:paraId="1A57B14E" w14:textId="77777777" w:rsidTr="006A54BC">
        <w:tc>
          <w:tcPr>
            <w:tcW w:w="613" w:type="pct"/>
            <w:tcBorders>
              <w:top w:val="single" w:sz="4" w:space="0" w:color="auto"/>
              <w:bottom w:val="single" w:sz="4" w:space="0" w:color="auto"/>
            </w:tcBorders>
          </w:tcPr>
          <w:p w14:paraId="30C085A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lastRenderedPageBreak/>
              <w:br w:type="page"/>
            </w:r>
            <w:r w:rsidRPr="00EC5CDD">
              <w:rPr>
                <w:rFonts w:ascii="Times New Roman" w:eastAsiaTheme="minorHAnsi" w:hAnsi="Times New Roman" w:cs="Times New Roman"/>
                <w:kern w:val="0"/>
                <w:sz w:val="16"/>
                <w:szCs w:val="16"/>
                <w:lang w:eastAsia="en-US"/>
              </w:rPr>
              <w:br w:type="page"/>
            </w:r>
            <w:r w:rsidRPr="00EC5CDD">
              <w:rPr>
                <w:rFonts w:ascii="Times New Roman" w:eastAsiaTheme="minorHAnsi" w:hAnsi="Times New Roman" w:cs="Times New Roman"/>
                <w:kern w:val="0"/>
                <w:sz w:val="16"/>
                <w:szCs w:val="16"/>
                <w:lang w:eastAsia="en-US"/>
              </w:rPr>
              <w:br w:type="page"/>
              <w:t>Interpersonal</w:t>
            </w:r>
          </w:p>
        </w:tc>
        <w:tc>
          <w:tcPr>
            <w:tcW w:w="2194" w:type="pct"/>
            <w:tcBorders>
              <w:top w:val="single" w:sz="4" w:space="0" w:color="auto"/>
              <w:bottom w:val="single" w:sz="4" w:space="0" w:color="auto"/>
            </w:tcBorders>
          </w:tcPr>
          <w:p w14:paraId="64D4BB73" w14:textId="77777777" w:rsidR="00EC5CDD" w:rsidRPr="00EC5CDD" w:rsidRDefault="00EC5CDD" w:rsidP="00EC5CDD">
            <w:pPr>
              <w:numPr>
                <w:ilvl w:val="0"/>
                <w:numId w:val="30"/>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Resources available to break down language barriers such as translators or Language Line****</w:t>
            </w:r>
          </w:p>
          <w:p w14:paraId="50280BC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B59E6A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32F2886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D68D62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9EC691D"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D895A4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959EA80" w14:textId="77777777" w:rsidR="00EC5CDD" w:rsidRPr="00EC5CDD" w:rsidRDefault="00EC5CDD" w:rsidP="00EC5CDD">
            <w:pPr>
              <w:numPr>
                <w:ilvl w:val="0"/>
                <w:numId w:val="30"/>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Opportunities to form trusting relationships between women and HPs****</w:t>
            </w:r>
          </w:p>
          <w:p w14:paraId="098628FD" w14:textId="77777777" w:rsidR="00EC5CDD" w:rsidRPr="00EC5CDD" w:rsidRDefault="00EC5CDD" w:rsidP="00EC5CDD">
            <w:pPr>
              <w:numPr>
                <w:ilvl w:val="0"/>
                <w:numId w:val="30"/>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Opportunities for open and honest communication***</w:t>
            </w:r>
          </w:p>
          <w:p w14:paraId="7ADF2861"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5E1D1376"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tc>
        <w:tc>
          <w:tcPr>
            <w:tcW w:w="2193" w:type="pct"/>
            <w:tcBorders>
              <w:top w:val="single" w:sz="4" w:space="0" w:color="auto"/>
              <w:bottom w:val="single" w:sz="4" w:space="0" w:color="auto"/>
            </w:tcBorders>
          </w:tcPr>
          <w:p w14:paraId="1C808A62" w14:textId="4AB72E14"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w:t>
            </w:r>
            <w:r w:rsidRPr="00EC5CDD">
              <w:rPr>
                <w:rFonts w:ascii="Times New Roman" w:eastAsiaTheme="minorHAnsi" w:hAnsi="Times New Roman" w:cs="Times New Roman"/>
                <w:kern w:val="0"/>
                <w:sz w:val="16"/>
                <w:szCs w:val="16"/>
                <w:lang w:eastAsia="en-US"/>
              </w:rPr>
              <w:t>Recruit translators or form partnerships with other agencies that can provide additional support (e.g. translation services, interpreters</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{"citationID":"a12gfhi98gf","properties":{"formattedCitation":"(2)","plainCitation":"(2)","noteIndex":0},"citationItems":[{"id":488,"uris":["http://zotero.org/users/local/N5aToBsA/items/RFTI6C9R"],"itemData":{"id":488,"type":"article-journal","abstract":"Background: Identifying, developing, and testing implementation strategies are important goals of implementation science. However, these efforts have been complicated by the use of inconsistent language and inadequate descriptions of implementation strategies in the literature. The Expert Recommendations for Implementing Change (ERIC) study aimed to refine a published compilation of implementation strategy terms and definitions by systematically gathering input from a wide range of stakeholders with expertise in implementation science and clinical practice. Methods: Purposive sampling was used to recruit a panel of experts in implementation and clinical practice who engaged in three rounds of a modified Delphi process to generate consensus on implementation strategies and definitions. The first and second rounds involved Web-based surveys soliciting comments on implementation strategy terms and definitions. After each round, iterative refinements were made based upon participant feedback. The third round involved a live polling and consensus process via a Web-based platform and conference call. Results: Participants identified substantial concerns with 31% of the terms and/or definitions and suggested five additional strategies. Seventy-five percent of definitions from the originally published compilation of strategies were retained after voting. Ultimately, the expert panel reached consensus on a final compilation of 73 implementation strategies. Conclusions: This research advances the field by improving the conceptual clarity, relevance, and comprehensiveness of implementation strategies that can be used in isolation or combination in implementation research and practice. Future phases of ERIC will focus on developing conceptually distinct categories of strategies as well as ratings for each strategy's importance and feasibility. Next, the expert panel will recommend multifaceted strategies for hypothetical yet real-world scenarios that vary by sites' endorsement of evidence-based programs and practices and the strength of contextual supports that surround the effort.","container-title":"Implementation Science","DOI":"10.1186/s13012-015-0209-1","ISSN":"17485908","issue":"1","note":"PMID: 25889199","title":"A refined compilation of implementation strategies: Results from the Expert Recommendations for Implementing Change (ERIC) project","volume":"10","author":[{"family":"Powell","given":"Byron J"},{"family":"Waltz","given":"Thomas J"},{"family":"Chinman","given":"Matthew J"},{"family":"Damschroder","given":"Laura J"},{"family":"Smith","given":"Jeffrey L"},{"family":"Matthieu","given":"Monica M"},{"family":"Proctor","given":"Enola K"},{"family":"Kirchner","given":"Jo Ann E"}],"issued":{"date-parts":[["2015"]]}}}],"schema":"https://github.com/citation-style-language/schema/raw/master/csl-citation.json"}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(2)</w:t>
            </w:r>
            <w:r w:rsidRPr="00EC5CDD">
              <w:rPr>
                <w:rFonts w:ascii="Times New Roman" w:eastAsiaTheme="minorHAnsi" w:hAnsi="Times New Roman" w:cs="Times New Roman"/>
                <w:kern w:val="0"/>
                <w:sz w:val="16"/>
                <w:szCs w:val="16"/>
                <w:lang w:eastAsia="en-US"/>
              </w:rPr>
              <w:fldChar w:fldCharType="end"/>
            </w:r>
            <w:sdt>
              <w:sdtPr>
                <w:rPr>
                  <w:rFonts w:ascii="Times New Roman" w:eastAsiaTheme="minorHAnsi" w:hAnsi="Times New Roman" w:cs="Times New Roman"/>
                  <w:color w:val="000000"/>
                  <w:kern w:val="0"/>
                  <w:sz w:val="16"/>
                  <w:szCs w:val="16"/>
                  <w:lang w:eastAsia="en-US"/>
                </w:rPr>
                <w:tag w:val="MENDELEY_CITATION_v3_eyJjaXRhdGlvbklEIjoiTUVOREVMRVlfQ0lUQVRJT05fOTUwNzYzODYtMzc0MC00MzQ3LWJhNjAtNDRkNjUyNjAwZmJiIiwicHJvcGVydGllcyI6eyJub3RlSW5kZXgiOjB9LCJpc0VkaXRlZCI6ZmFsc2UsIm1hbnVhbE92ZXJyaWRlIjp7ImNpdGVwcm9jVGV4dCI6IigxKSIsImlzTWFudWFsbHlPdmVycmlkZGVuIjp0cnVlLCJtYW51YWxPdmVycmlkZVRleHQiOiIoUG93ZWxsIGV0IGFsLiwgMjAxNSkifSwiY2l0YXRpb25JdGVtcyI6W3siaWQiOiIzYmYxNmU5NS0yOGE0LTM2YWItYmVmNi04MThhMDUxNTI1YzUiLCJpdGVtRGF0YSI6eyJET0kiOiIxMC4xMTg2L3MxMzAxMi0wMTUtMDIwOS0xIiwiSVNTTiI6IjE3NDg1OTA4IiwiUE1JRCI6IjI1ODg5MTk5IiwiYWJzdHJhY3QiOiJCYWNrZ3JvdW5kOiBJZGVudGlmeWluZywgZGV2ZWxvcGluZywgYW5kIHRlc3RpbmcgaW1wbGVtZW50YXRpb24gc3RyYXRlZ2llcyBhcmUgaW1wb3J0YW50IGdvYWxzIG9mIGltcGxlbWVudGF0aW9uIHNjaWVuY2UuIEhvd2V2ZXIsIHRoZXNlIGVmZm9ydHMgaGF2ZSBiZWVuIGNvbXBsaWNhdGVkIGJ5IHRoZSB1c2Ugb2YgaW5jb25zaXN0ZW50IGxhbmd1YWdlIGFuZCBpbmFkZXF1YXRlIGRlc2NyaXB0aW9ucyBvZiBpbXBsZW1lbnRhdGlvbiBzdHJhdGVnaWVzIGluIHRoZSBsaXRlcmF0dXJlLiBUaGUgRXhwZXJ0IFJlY29tbWVuZGF0aW9ucyBmb3IgSW1wbGVtZW50aW5nIENoYW5nZSAoRVJJQykgc3R1ZHkgYWltZWQgdG8gcmVmaW5lIGEgcHVibGlzaGVkIGNvbXBpbGF0aW9uIG9mIGltcGxlbWVudGF0aW9uIHN0cmF0ZWd5IHRlcm1zIGFuZCBkZWZpbml0aW9ucyBieSBzeXN0ZW1hdGljYWxseSBnYXRoZXJpbmcgaW5wdXQgZnJvbSBhIHdpZGUgcmFuZ2Ugb2Ygc3Rha2Vob2xkZXJzIHdpdGggZXhwZXJ0aXNlIGluIGltcGxlbWVudGF0aW9uIHNjaWVuY2UgYW5kIGNsaW5pY2FsIHByYWN0aWNlLiBNZXRob2RzOiBQdXJwb3NpdmUgc2FtcGxpbmcgd2FzIHVzZWQgdG8gcmVjcnVpdCBhIHBhbmVsIG9mIGV4cGVydHMgaW4gaW1wbGVtZW50YXRpb24gYW5kIGNsaW5pY2FsIHByYWN0aWNlIHdobyBlbmdhZ2VkIGluIHRocmVlIHJvdW5kcyBvZiBhIG1vZGlmaWVkIERlbHBoaSBwcm9jZXNzIHRvIGdlbmVyYXRlIGNvbnNlbnN1cyBvbiBpbXBsZW1lbnRhdGlvbiBzdHJhdGVnaWVzIGFuZCBkZWZpbml0aW9ucy4gVGhlIGZpcnN0IGFuZCBzZWNvbmQgcm91bmRzIGludm9sdmVkIFdlYi1iYXNlZCBzdXJ2ZXlzIHNvbGljaXRpbmcgY29tbWVudHMgb24gaW1wbGVtZW50YXRpb24gc3RyYXRlZ3kgdGVybXMgYW5kIGRlZmluaXRpb25zLiBBZnRlciBlYWNoIHJvdW5kLCBpdGVyYXRpdmUgcmVmaW5lbWVudHMgd2VyZSBtYWRlIGJhc2VkIHVwb24gcGFydGljaXBhbnQgZmVlZGJhY2suIFRoZSB0aGlyZCByb3VuZCBpbnZvbHZlZCBhIGxpdmUgcG9sbGluZyBhbmQgY29uc2Vuc3VzIHByb2Nlc3MgdmlhIGEgV2ViLWJhc2VkIHBsYXRmb3JtIGFuZCBjb25mZXJlbmNlIGNhbGwuIFJlc3VsdHM6IFBhcnRpY2lwYW50cyBpZGVudGlmaWVkIHN1YnN0YW50aWFsIGNvbmNlcm5zIHdpdGggMzElIG9mIHRoZSB0ZXJtcyBhbmQvb3IgZGVmaW5pdGlvbnMgYW5kIHN1Z2dlc3RlZCBmaXZlIGFkZGl0aW9uYWwgc3RyYXRlZ2llcy4gU2V2ZW50eS1maXZlIHBlcmNlbnQgb2YgZGVmaW5pdGlvbnMgZnJvbSB0aGUgb3JpZ2luYWxseSBwdWJsaXNoZWQgY29tcGlsYXRpb24gb2Ygc3RyYXRlZ2llcyB3ZXJlIHJldGFpbmVkIGFmdGVyIHZvdGluZy4gVWx0aW1hdGVseSwgdGhlIGV4cGVydCBwYW5lbCByZWFjaGVkIGNvbnNlbnN1cyBvbiBhIGZpbmFsIGNvbXBpbGF0aW9uIG9mIDczIGltcGxlbWVudGF0aW9uIHN0cmF0ZWdpZXMuIENvbmNsdXNpb25zOiBUaGlzIHJlc2VhcmNoIGFkdmFuY2VzIHRoZSBmaWVsZCBieSBpbXByb3ZpbmcgdGhlIGNvbmNlcHR1YWwgY2xhcml0eSwgcmVsZXZhbmNlLCBhbmQgY29tcHJlaGVuc2l2ZW5lc3Mgb2YgaW1wbGVtZW50YXRpb24gc3RyYXRlZ2llcyB0aGF0IGNhbiBiZSB1c2VkIGluIGlzb2xhdGlvbiBvciBjb21iaW5hdGlvbiBpbiBpbXBsZW1lbnRhdGlvbiByZXNlYXJjaCBhbmQgcHJhY3RpY2UuIEZ1dHVyZSBwaGFzZXMgb2YgRVJJQyB3aWxsIGZvY3VzIG9uIGRldmVsb3BpbmcgY29uY2VwdHVhbGx5IGRpc3RpbmN0IGNhdGVnb3JpZXMgb2Ygc3RyYXRlZ2llcyBhcyB3ZWxsIGFzIHJhdGluZ3MgZm9yIGVhY2ggc3RyYXRlZ3kncyBpbXBvcnRhbmNlIGFuZCBmZWFzaWJpbGl0eS4gTmV4dCwgdGhlIGV4cGVydCBwYW5lbCB3aWxsIHJlY29tbWVuZCBtdWx0aWZhY2V0ZWQgc3RyYXRlZ2llcyBmb3IgaHlwb3RoZXRpY2FsIHlldCByZWFsLXdvcmxkIHNjZW5hcmlvcyB0aGF0IHZhcnkgYnkgc2l0ZXMnIGVuZG9yc2VtZW50IG9mIGV2aWRlbmNlLWJhc2VkIHByb2dyYW1zIGFuZCBwcmFjdGljZXMgYW5kIHRoZSBzdHJlbmd0aCBvZiBjb250ZXh0dWFsIHN1cHBvcnRzIHRoYXQgc3Vycm91bmQgdGhlIGVmZm9ydC4iLCJhdXRob3IiOlt7ImRyb3BwaW5nLXBhcnRpY2xlIjoiIiwiZmFtaWx5IjoiUG93ZWxsIiwiZ2l2ZW4iOiJCeXJvbiBKIiwibm9uLWRyb3BwaW5nLXBhcnRpY2xlIjoiIiwicGFyc2UtbmFtZXMiOmZhbHNlLCJzdWZmaXgiOiIifSx7ImRyb3BwaW5nLXBhcnRpY2xlIjoiIiwiZmFtaWx5IjoiV2FsdHoiLCJnaXZlbiI6IlRob21hcyBKIiwibm9uLWRyb3BwaW5nLXBhcnRpY2xlIjoiIiwicGFyc2UtbmFtZXMiOmZhbHNlLCJzdWZmaXgiOiIifSx7ImRyb3BwaW5nLXBhcnRpY2xlIjoiIiwiZmFtaWx5IjoiQ2hpbm1hbiIsImdpdmVuIjoiTWF0dGhldyBKIiwibm9uLWRyb3BwaW5nLXBhcnRpY2xlIjoiIiwicGFyc2UtbmFtZXMiOmZhbHNlLCJzdWZmaXgiOiIifSx7ImRyb3BwaW5nLXBhcnRpY2xlIjoiIiwiZmFtaWx5IjoiRGFtc2Nocm9kZXIiLCJnaXZlbiI6IkxhdXJhIEoiLCJub24tZHJvcHBpbmctcGFydGljbGUiOiIiLCJwYXJzZS1uYW1lcyI6ZmFsc2UsInN1ZmZpeCI6IiJ9LHsiZHJvcHBpbmctcGFydGljbGUiOiIiLCJmYW1pbHkiOiJTbWl0aCIsImdpdmVuIjoiSmVmZnJleSBMIiwibm9uLWRyb3BwaW5nLXBhcnRpY2xlIjoiIiwicGFyc2UtbmFtZXMiOmZhbHNlLCJzdWZmaXgiOiIifSx7ImRyb3BwaW5nLXBhcnRpY2xlIjoiIiwiZmFtaWx5IjoiTWF0dGhpZXUiLCJnaXZlbiI6Ik1vbmljYSBNIiwibm9uLWRyb3BwaW5nLXBhcnRpY2xlIjoiIiwicGFyc2UtbmFtZXMiOmZhbHNlLCJzdWZmaXgiOiIifSx7ImRyb3BwaW5nLXBhcnRpY2xlIjoiIiwiZmFtaWx5IjoiUHJvY3RvciIsImdpdmVuIjoiRW5vbGEgSyIsIm5vbi1kcm9wcGluZy1wYXJ0aWNsZSI6IiIsInBhcnNlLW5hbWVzIjpmYWxzZSwic3VmZml4IjoiIn0seyJkcm9wcGluZy1wYXJ0aWNsZSI6IiIsImZhbWlseSI6IktpcmNobmVyIiwiZ2l2ZW4iOiJKbyBBbm4gRSIsIm5vbi1kcm9wcGluZy1wYXJ0aWNsZSI6IiIsInBhcnNlLW5hbWVzIjpmYWxzZSwic3VmZml4IjoiIn1dLCJjb250YWluZXItdGl0bGUiOiJJbXBsZW1lbnRhdGlvbiBTY2llbmNlIiwiaWQiOiIzYmYxNmU5NS0yOGE0LTM2YWItYmVmNi04MThhMDUxNTI1YzUiLCJpc3N1ZSI6IjEiLCJpc3N1ZWQiOnsiZGF0ZS1wYXJ0cyI6W1siMjAxNSJdXX0sInRpdGxlIjoiQSByZWZpbmVkIGNvbXBpbGF0aW9uIG9mIGltcGxlbWVudGF0aW9uIHN0cmF0ZWdpZXM6IFJlc3VsdHMgZnJvbSB0aGUgRXhwZXJ0IFJlY29tbWVuZGF0aW9ucyBmb3IgSW1wbGVtZW50aW5nIENoYW5nZSAoRVJJQykgcHJvamVjdCIsInR5cGUiOiJhcnRpY2xlLWpvdXJuYWwiLCJ2b2x1bWUiOiIxMCIsImNvbnRhaW5lci10aXRsZS1zaG9ydCI6IiJ9LCJ1cmlzIjpbImh0dHA6Ly93d3cubWVuZGVsZXkuY29tL2RvY3VtZW50cy8/dXVpZD0xNzlhZjM5Yi1lOGZhLTRmMjEtYTkxMS00NjYzZThjM2FjM2YiXSwiaXNUZW1wb3JhcnkiOmZhbHNlLCJsZWdhY3lEZXNrdG9wSWQiOiIxNzlhZjM5Yi1lOGZhLTRmMjEtYTkxMS00NjYzZThjM2FjM2YifV19"/>
                <w:id w:val="-992787991"/>
                <w:placeholder>
                  <w:docPart w:val="367C833F65FD4198A837BFF8C2E1518A"/>
                </w:placeholder>
                <w:showingPlcHdr/>
              </w:sdtPr>
              <w:sdtContent>
                <w:r w:rsidRPr="00EC5CDD">
                  <w:rPr>
                    <w:rFonts w:ascii="Times New Roman" w:eastAsiaTheme="minorHAnsi" w:hAnsi="Times New Roman" w:cs="Times New Roman"/>
                    <w:color w:val="404040" w:themeColor="text1" w:themeTint="BF"/>
                    <w:kern w:val="0"/>
                    <w:sz w:val="16"/>
                    <w:szCs w:val="16"/>
                    <w:lang w:eastAsia="en-US"/>
                  </w:rPr>
                  <w:t>Click or tap here to enter text.</w:t>
                </w:r>
              </w:sdtContent>
            </w:sdt>
            <w:r w:rsidRPr="00EC5CDD">
              <w:rPr>
                <w:rFonts w:ascii="Times New Roman" w:eastAsiaTheme="minorHAnsi" w:hAnsi="Times New Roman" w:cs="Times New Roman"/>
                <w:kern w:val="0"/>
                <w:sz w:val="16"/>
                <w:szCs w:val="16"/>
                <w:lang w:eastAsia="en-US"/>
              </w:rPr>
              <w:t>) to translate infographics/leaflets into local languages</w:t>
            </w:r>
            <w:r w:rsidRPr="00EC5CDD">
              <w:rPr>
                <w:rFonts w:ascii="Times New Roman" w:eastAsiaTheme="minorHAnsi" w:hAnsi="Times New Roman" w:cs="Times New Roman"/>
                <w:kern w:val="0"/>
                <w:sz w:val="16"/>
                <w:szCs w:val="16"/>
                <w:vertAlign w:val="superscript"/>
                <w:lang w:eastAsia="en-US"/>
              </w:rPr>
              <w:t>b</w:t>
            </w:r>
            <w:r w:rsidRPr="00EC5CDD">
              <w:rPr>
                <w:rFonts w:ascii="Times New Roman" w:eastAsiaTheme="minorHAnsi" w:hAnsi="Times New Roman" w:cs="Times New Roman"/>
                <w:kern w:val="0"/>
                <w:sz w:val="16"/>
                <w:szCs w:val="16"/>
                <w:lang w:eastAsia="en-US"/>
              </w:rPr>
              <w:t xml:space="preserve"> and to act as an interpreter at appointments if women feel comfortable. </w:t>
            </w:r>
          </w:p>
          <w:p w14:paraId="0A499664"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w:t>
            </w:r>
            <w:r w:rsidRPr="00EC5CDD">
              <w:rPr>
                <w:rFonts w:ascii="Times New Roman" w:eastAsiaTheme="minorHAnsi" w:hAnsi="Times New Roman" w:cs="Times New Roman"/>
                <w:kern w:val="0"/>
                <w:sz w:val="16"/>
                <w:szCs w:val="16"/>
                <w:lang w:eastAsia="en-US"/>
              </w:rPr>
              <w:t>Investment in live translation tools or telephone interpreting such as Language Line.</w:t>
            </w:r>
          </w:p>
          <w:p w14:paraId="441B2410"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0435A52"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2ECD3D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2-4</w:t>
            </w:r>
            <w:r w:rsidRPr="00EC5CDD">
              <w:rPr>
                <w:rFonts w:ascii="Times New Roman" w:eastAsiaTheme="minorHAnsi" w:hAnsi="Times New Roman" w:cs="Times New Roman"/>
                <w:kern w:val="0"/>
                <w:sz w:val="16"/>
                <w:szCs w:val="16"/>
                <w:lang w:eastAsia="en-US"/>
              </w:rPr>
              <w:t>Provision of continuity of carer across the care pathway</w:t>
            </w:r>
            <w:r w:rsidRPr="00EC5CDD">
              <w:rPr>
                <w:rFonts w:ascii="Times New Roman" w:eastAsiaTheme="minorHAnsi" w:hAnsi="Times New Roman" w:cs="Times New Roman"/>
                <w:kern w:val="0"/>
                <w:sz w:val="16"/>
                <w:szCs w:val="16"/>
                <w:vertAlign w:val="superscript"/>
                <w:lang w:eastAsia="en-US"/>
              </w:rPr>
              <w:t>c</w:t>
            </w:r>
          </w:p>
          <w:p w14:paraId="22875644"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3D0537E9"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0C3EAAE2"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B2E4D4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r>
      <w:tr w:rsidR="00EC5CDD" w:rsidRPr="00EC5CDD" w14:paraId="35C33A8B" w14:textId="77777777" w:rsidTr="006A54BC">
        <w:tc>
          <w:tcPr>
            <w:tcW w:w="613" w:type="pct"/>
            <w:tcBorders>
              <w:top w:val="single" w:sz="4" w:space="0" w:color="auto"/>
              <w:bottom w:val="single" w:sz="4" w:space="0" w:color="auto"/>
            </w:tcBorders>
          </w:tcPr>
          <w:p w14:paraId="3139B143"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br w:type="page"/>
              <w:t>Service managers</w:t>
            </w:r>
          </w:p>
        </w:tc>
        <w:tc>
          <w:tcPr>
            <w:tcW w:w="2194" w:type="pct"/>
            <w:tcBorders>
              <w:top w:val="single" w:sz="4" w:space="0" w:color="auto"/>
              <w:bottom w:val="single" w:sz="4" w:space="0" w:color="auto"/>
            </w:tcBorders>
          </w:tcPr>
          <w:p w14:paraId="0D522C76"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Recruitment of a multi-disciplinary team with enough staff to meet service users’ needs****</w:t>
            </w:r>
          </w:p>
          <w:p w14:paraId="24806B88"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Provision of continuity of carer****</w:t>
            </w:r>
          </w:p>
          <w:p w14:paraId="6DAA10E0"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305664BA"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D62F714"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8ADAD5B"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Clear assessment and referral processes***</w:t>
            </w:r>
          </w:p>
          <w:p w14:paraId="19E055E6" w14:textId="77777777" w:rsidR="00EC5CDD" w:rsidRPr="00EC5CDD" w:rsidRDefault="00EC5CDD" w:rsidP="00EC5CDD">
            <w:pPr>
              <w:spacing w:line="240" w:lineRule="auto"/>
              <w:ind w:left="454" w:hanging="227"/>
              <w:contextualSpacing/>
              <w:jc w:val="both"/>
              <w:rPr>
                <w:rFonts w:ascii="Times New Roman" w:eastAsiaTheme="minorHAnsi" w:hAnsi="Times New Roman" w:cs="Times New Roman"/>
                <w:kern w:val="0"/>
                <w:sz w:val="16"/>
                <w:szCs w:val="16"/>
                <w:lang w:eastAsia="en-US"/>
              </w:rPr>
            </w:pPr>
          </w:p>
          <w:p w14:paraId="4E4C2A3A" w14:textId="77777777" w:rsidR="00EC5CDD" w:rsidRPr="00EC5CDD" w:rsidRDefault="00EC5CDD" w:rsidP="00EC5CDD">
            <w:pPr>
              <w:spacing w:line="240" w:lineRule="auto"/>
              <w:ind w:left="454" w:hanging="227"/>
              <w:contextualSpacing/>
              <w:jc w:val="both"/>
              <w:rPr>
                <w:rFonts w:ascii="Times New Roman" w:eastAsiaTheme="minorHAnsi" w:hAnsi="Times New Roman" w:cs="Times New Roman"/>
                <w:kern w:val="0"/>
                <w:sz w:val="16"/>
                <w:szCs w:val="16"/>
                <w:lang w:eastAsia="en-US"/>
              </w:rPr>
            </w:pPr>
          </w:p>
          <w:p w14:paraId="5AFCCC75" w14:textId="77777777" w:rsidR="00EC5CDD" w:rsidRPr="00EC5CDD" w:rsidRDefault="00EC5CDD" w:rsidP="00EC5CDD">
            <w:pPr>
              <w:spacing w:line="240" w:lineRule="auto"/>
              <w:ind w:left="454" w:hanging="227"/>
              <w:contextualSpacing/>
              <w:jc w:val="both"/>
              <w:rPr>
                <w:rFonts w:ascii="Times New Roman" w:eastAsiaTheme="minorHAnsi" w:hAnsi="Times New Roman" w:cs="Times New Roman"/>
                <w:kern w:val="0"/>
                <w:sz w:val="16"/>
                <w:szCs w:val="16"/>
                <w:lang w:eastAsia="en-US"/>
              </w:rPr>
            </w:pPr>
          </w:p>
          <w:p w14:paraId="2F3C991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2C9F979"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97462EF"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High quality staff training for all people working within a service, that is provided face-to-face, is time-protected, and covers PMH symptoms, treatment, cross-cultural presentations of PMH, referral pathways and available services and communication skills****</w:t>
            </w:r>
          </w:p>
          <w:p w14:paraId="61044BB4"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CD9334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3390DA13"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70AD60E"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5C2B80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A1B597C"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644BB9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5DC9B7E"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3B46075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08938067"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DB197F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11F4FB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9431FA3"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4F21947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6499AC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0C3C6A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1A96A0F"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6B56966A"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73D55FF5"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5BCF3928"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37D096D0"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583676E3"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3C7BCDB0"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748EB000" w14:textId="77777777" w:rsidR="00EC5CDD" w:rsidRPr="00EC5CDD" w:rsidRDefault="00EC5CDD" w:rsidP="00EC5CDD">
            <w:pPr>
              <w:spacing w:line="240" w:lineRule="auto"/>
              <w:ind w:firstLine="0"/>
              <w:rPr>
                <w:rFonts w:ascii="Times New Roman" w:eastAsiaTheme="minorHAnsi" w:hAnsi="Times New Roman" w:cs="Times New Roman"/>
                <w:kern w:val="0"/>
                <w:sz w:val="16"/>
                <w:szCs w:val="16"/>
                <w:lang w:eastAsia="en-US"/>
              </w:rPr>
            </w:pPr>
          </w:p>
          <w:p w14:paraId="2102F2C1"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Easy-to-use technology that is compatible with other technology systems used in other services****</w:t>
            </w:r>
          </w:p>
          <w:p w14:paraId="0927883E" w14:textId="77777777" w:rsidR="00EC5CDD" w:rsidRPr="00EC5CDD" w:rsidRDefault="00EC5CDD" w:rsidP="00EC5CDD">
            <w:pPr>
              <w:spacing w:line="240" w:lineRule="auto"/>
              <w:ind w:left="227" w:firstLine="0"/>
              <w:contextualSpacing/>
              <w:jc w:val="both"/>
              <w:rPr>
                <w:rFonts w:ascii="Times New Roman" w:eastAsiaTheme="minorHAnsi" w:hAnsi="Times New Roman" w:cs="Times New Roman"/>
                <w:kern w:val="0"/>
                <w:sz w:val="16"/>
                <w:szCs w:val="16"/>
                <w:lang w:eastAsia="en-US"/>
              </w:rPr>
            </w:pPr>
          </w:p>
          <w:p w14:paraId="4CA279DB" w14:textId="77777777" w:rsidR="00EC5CDD" w:rsidRPr="00EC5CDD" w:rsidRDefault="00EC5CDD" w:rsidP="00EC5CDD">
            <w:pPr>
              <w:spacing w:line="240" w:lineRule="auto"/>
              <w:ind w:left="227" w:firstLine="0"/>
              <w:contextualSpacing/>
              <w:jc w:val="both"/>
              <w:rPr>
                <w:rFonts w:ascii="Times New Roman" w:eastAsiaTheme="minorHAnsi" w:hAnsi="Times New Roman" w:cs="Times New Roman"/>
                <w:kern w:val="0"/>
                <w:sz w:val="16"/>
                <w:szCs w:val="16"/>
                <w:lang w:eastAsia="en-US"/>
              </w:rPr>
            </w:pPr>
          </w:p>
          <w:p w14:paraId="10299D67" w14:textId="77777777" w:rsidR="00EC5CDD" w:rsidRPr="00EC5CDD" w:rsidRDefault="00EC5CDD" w:rsidP="00EC5CDD">
            <w:pPr>
              <w:spacing w:line="240" w:lineRule="auto"/>
              <w:ind w:left="227" w:firstLine="0"/>
              <w:contextualSpacing/>
              <w:jc w:val="both"/>
              <w:rPr>
                <w:rFonts w:ascii="Times New Roman" w:eastAsiaTheme="minorHAnsi" w:hAnsi="Times New Roman" w:cs="Times New Roman"/>
                <w:kern w:val="0"/>
                <w:sz w:val="16"/>
                <w:szCs w:val="16"/>
                <w:lang w:eastAsia="en-US"/>
              </w:rPr>
            </w:pPr>
          </w:p>
          <w:p w14:paraId="27883FE7" w14:textId="77777777" w:rsidR="00EC5CDD" w:rsidRPr="00EC5CDD" w:rsidRDefault="00EC5CDD" w:rsidP="00EC5CDD">
            <w:pPr>
              <w:spacing w:line="240" w:lineRule="auto"/>
              <w:ind w:left="227" w:firstLine="0"/>
              <w:contextualSpacing/>
              <w:jc w:val="both"/>
              <w:rPr>
                <w:rFonts w:ascii="Times New Roman" w:eastAsiaTheme="minorHAnsi" w:hAnsi="Times New Roman" w:cs="Times New Roman"/>
                <w:kern w:val="0"/>
                <w:sz w:val="16"/>
                <w:szCs w:val="16"/>
                <w:lang w:eastAsia="en-US"/>
              </w:rPr>
            </w:pPr>
          </w:p>
          <w:p w14:paraId="31083F56" w14:textId="77777777" w:rsidR="00EC5CDD" w:rsidRPr="00EC5CDD" w:rsidRDefault="00EC5CDD" w:rsidP="00EC5CDD">
            <w:pPr>
              <w:spacing w:line="240" w:lineRule="auto"/>
              <w:ind w:left="227" w:firstLine="0"/>
              <w:contextualSpacing/>
              <w:jc w:val="both"/>
              <w:rPr>
                <w:rFonts w:ascii="Times New Roman" w:eastAsiaTheme="minorHAnsi" w:hAnsi="Times New Roman" w:cs="Times New Roman"/>
                <w:kern w:val="0"/>
                <w:sz w:val="16"/>
                <w:szCs w:val="16"/>
                <w:lang w:eastAsia="en-US"/>
              </w:rPr>
            </w:pPr>
          </w:p>
          <w:p w14:paraId="2472857C"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Provision of culturally sensitive care**** that is individualised***, flexible***, appropriate to women’s needs***. Provision of care should ideally be delivered face-to-face***, provides logistical support*** or is carried out in a home setting***. Furthermore, peer support is valued by some women too and should be considered***</w:t>
            </w:r>
          </w:p>
          <w:p w14:paraId="5877A536"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0109E72E" w14:textId="77777777" w:rsidR="00EC5CDD" w:rsidRPr="00EC5CDD" w:rsidRDefault="00EC5CDD" w:rsidP="00EC5CDD">
            <w:pPr>
              <w:spacing w:line="240" w:lineRule="auto"/>
              <w:ind w:left="454" w:firstLine="0"/>
              <w:contextualSpacing/>
              <w:rPr>
                <w:rFonts w:ascii="Times New Roman" w:eastAsiaTheme="majorEastAsia" w:hAnsi="Times New Roman" w:cs="Times New Roman"/>
                <w:kern w:val="0"/>
                <w:sz w:val="16"/>
                <w:szCs w:val="16"/>
                <w:lang w:eastAsia="en-US"/>
              </w:rPr>
            </w:pPr>
          </w:p>
          <w:p w14:paraId="73F68C06"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Clearly worded assessment tools***</w:t>
            </w:r>
          </w:p>
          <w:p w14:paraId="5466CAD9" w14:textId="77777777" w:rsidR="00EC5CDD" w:rsidRPr="00EC5CDD" w:rsidRDefault="00EC5CDD" w:rsidP="00EC5CDD">
            <w:pPr>
              <w:numPr>
                <w:ilvl w:val="0"/>
                <w:numId w:val="31"/>
              </w:numPr>
              <w:spacing w:line="240" w:lineRule="auto"/>
              <w:ind w:left="454" w:hanging="227"/>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Assessment delivered in an individualised manner with discussion and adequate time given***</w:t>
            </w:r>
          </w:p>
          <w:p w14:paraId="0680D834" w14:textId="77777777" w:rsidR="00EC5CDD" w:rsidRPr="00EC5CDD" w:rsidRDefault="00EC5CDD" w:rsidP="00EC5CDD">
            <w:pPr>
              <w:spacing w:line="240" w:lineRule="auto"/>
              <w:ind w:left="720" w:firstLine="0"/>
              <w:contextualSpacing/>
              <w:rPr>
                <w:rFonts w:ascii="Times New Roman" w:eastAsiaTheme="majorEastAsia" w:hAnsi="Times New Roman" w:cs="Times New Roman"/>
                <w:kern w:val="0"/>
                <w:sz w:val="16"/>
                <w:szCs w:val="16"/>
                <w:lang w:eastAsia="en-US"/>
              </w:rPr>
            </w:pPr>
          </w:p>
          <w:p w14:paraId="17F2EF8D"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5DDCB196"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695BEA0"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c>
          <w:tcPr>
            <w:tcW w:w="2193" w:type="pct"/>
            <w:tcBorders>
              <w:top w:val="single" w:sz="4" w:space="0" w:color="auto"/>
              <w:bottom w:val="single" w:sz="4" w:space="0" w:color="auto"/>
            </w:tcBorders>
          </w:tcPr>
          <w:p w14:paraId="69BEF8FB" w14:textId="4899D859"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lastRenderedPageBreak/>
              <w:t>2-4</w:t>
            </w:r>
            <w:r w:rsidRPr="00EC5CDD">
              <w:rPr>
                <w:rFonts w:ascii="Times New Roman" w:eastAsiaTheme="minorHAnsi" w:hAnsi="Times New Roman" w:cs="Times New Roman"/>
                <w:kern w:val="0"/>
                <w:sz w:val="16"/>
                <w:szCs w:val="16"/>
                <w:lang w:eastAsia="en-US"/>
              </w:rPr>
              <w:t>Ensure an adequate workforce to meet women’s needs by utilising a workforce planning tool</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{"citationID":"a2im2oppusj","properties":{"formattedCitation":"(3)","plainCitation":"(3)","noteIndex":0},"citationItems":[{"id":1104,"uris":["http://zotero.org/users/local/N5aToBsA/items/EYSRBUPK"],"itemData":{"id":1104,"type":"webpage","title":"Mental Health Long Term Plan Analytical Tool","URL":"https://future.nhs.uk/system/login?nextURL=%2Fconnect.ti%2FMHLTPat%2Fgrouphome","author":[{"literal":"Future NHS"}],"issued":{"date-parts":[["2021"]]}}}],"schema":"https://github.com/citation-style-language/schema/raw/master/csl-citation.json"}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(3)</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 xml:space="preserve"> and considering if there are a sufficient number of people in each of the key roles (psychiatrist, pharmacist, nurse, psychologist, occupational therapist, support staff, admin, peer support). Ensure a diverse workforce</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{"citationID":"a1af48mnd4c","properties":{"formattedCitation":"(4)","plainCitation":"(4)","noteIndex":0},"citationItems":[{"id":1100,"uris":["http://zotero.org/users/local/N5aToBsA/items/6YDXXU79"],"itemData":{"id":1100,"type":"webpage","container-title":"National Perinatal Mental Health Workspace - NHS Future Platform","title":"Suggested PMH Workforce Planning KLOEs developed by North region","URL":"https://future.nhs.uk/PMHSCN/grouphome","author":[{"literal":"NHS North Region"}],"accessed":{"date-parts":[["2021",10,22]]},"issued":{"date-parts":[["2021"]]}}}],"schema":"https://github.com/citation-style-language/schema/raw/master/csl-citation.json"}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(4)</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 xml:space="preserve"> </w:t>
            </w:r>
          </w:p>
          <w:p w14:paraId="5E62B4E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0BC4296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F759342"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2-4</w:t>
            </w:r>
            <w:r w:rsidRPr="00EC5CDD">
              <w:rPr>
                <w:rFonts w:ascii="Times New Roman" w:eastAsiaTheme="minorHAnsi" w:hAnsi="Times New Roman" w:cs="Times New Roman"/>
                <w:kern w:val="0"/>
                <w:sz w:val="16"/>
                <w:szCs w:val="16"/>
                <w:lang w:eastAsia="en-US"/>
              </w:rPr>
              <w:t>Clear &amp; easily accessible guidelines on where to refer women to depending on their need. Development of one referral form that can be uploaded and amended, discussed at multidisciplinary team meetings</w:t>
            </w:r>
            <w:r w:rsidRPr="00EC5CDD">
              <w:rPr>
                <w:rFonts w:ascii="Times New Roman" w:eastAsiaTheme="minorHAnsi" w:hAnsi="Times New Roman" w:cs="Times New Roman"/>
                <w:kern w:val="0"/>
                <w:sz w:val="16"/>
                <w:szCs w:val="16"/>
                <w:vertAlign w:val="superscript"/>
                <w:lang w:eastAsia="en-US"/>
              </w:rPr>
              <w:t>d</w:t>
            </w:r>
            <w:r w:rsidRPr="00EC5CDD">
              <w:rPr>
                <w:rFonts w:ascii="Times New Roman" w:eastAsiaTheme="minorHAnsi" w:hAnsi="Times New Roman" w:cs="Times New Roman"/>
                <w:kern w:val="0"/>
                <w:sz w:val="16"/>
                <w:szCs w:val="16"/>
                <w:lang w:eastAsia="en-US"/>
              </w:rPr>
              <w:t>. Encouragement of a workspace that involves co-location, a culture of team working, sharing knowledge, approachability.</w:t>
            </w:r>
          </w:p>
          <w:p w14:paraId="5C9F3D51"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4002D7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75DCC3F5"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2&amp;4</w:t>
            </w:r>
            <w:r w:rsidRPr="00EC5CDD">
              <w:rPr>
                <w:rFonts w:ascii="Times New Roman" w:eastAsiaTheme="minorHAnsi" w:hAnsi="Times New Roman" w:cs="Times New Roman"/>
                <w:kern w:val="0"/>
                <w:sz w:val="16"/>
                <w:szCs w:val="16"/>
                <w:lang w:eastAsia="en-US"/>
              </w:rPr>
              <w:t>Provision of training for all people working in a health service. Consider the use of simulation training</w:t>
            </w:r>
            <w:r w:rsidRPr="00EC5CDD">
              <w:rPr>
                <w:rFonts w:ascii="Times New Roman" w:eastAsiaTheme="minorHAnsi" w:hAnsi="Times New Roman" w:cs="Times New Roman"/>
                <w:kern w:val="0"/>
                <w:sz w:val="16"/>
                <w:szCs w:val="16"/>
                <w:vertAlign w:val="superscript"/>
                <w:lang w:eastAsia="en-US"/>
              </w:rPr>
              <w:t>e</w:t>
            </w:r>
            <w:r w:rsidRPr="00EC5CDD">
              <w:rPr>
                <w:rFonts w:ascii="Times New Roman" w:eastAsiaTheme="minorHAnsi" w:hAnsi="Times New Roman" w:cs="Times New Roman"/>
                <w:kern w:val="0"/>
                <w:sz w:val="16"/>
                <w:szCs w:val="16"/>
                <w:lang w:eastAsia="en-US"/>
              </w:rPr>
              <w:t>. Training should:</w:t>
            </w:r>
          </w:p>
          <w:p w14:paraId="315681C5"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b/>
                <w:bCs/>
                <w:kern w:val="0"/>
                <w:sz w:val="16"/>
                <w:szCs w:val="16"/>
                <w:lang w:eastAsia="en-US"/>
              </w:rPr>
            </w:pPr>
            <w:r w:rsidRPr="00EC5CDD">
              <w:rPr>
                <w:rFonts w:ascii="Times New Roman" w:eastAsiaTheme="majorEastAsia" w:hAnsi="Times New Roman" w:cs="Times New Roman"/>
                <w:kern w:val="0"/>
                <w:sz w:val="16"/>
                <w:szCs w:val="16"/>
                <w:lang w:eastAsia="en-US"/>
              </w:rPr>
              <w:lastRenderedPageBreak/>
              <w:t>Be ring fenced/time protected</w:t>
            </w:r>
          </w:p>
          <w:p w14:paraId="5EBD2E78"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b/>
                <w:bCs/>
                <w:kern w:val="0"/>
                <w:sz w:val="16"/>
                <w:szCs w:val="16"/>
                <w:lang w:eastAsia="en-US"/>
              </w:rPr>
            </w:pPr>
            <w:r w:rsidRPr="00EC5CDD">
              <w:rPr>
                <w:rFonts w:ascii="Times New Roman" w:eastAsiaTheme="majorEastAsia" w:hAnsi="Times New Roman" w:cs="Times New Roman"/>
                <w:kern w:val="0"/>
                <w:sz w:val="16"/>
                <w:szCs w:val="16"/>
                <w:lang w:eastAsia="en-US"/>
              </w:rPr>
              <w:t>Provide accreditation, matched to competencies and appropriate to level of involvement</w:t>
            </w:r>
          </w:p>
          <w:p w14:paraId="1AAC8B83"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b/>
                <w:bCs/>
                <w:kern w:val="0"/>
                <w:sz w:val="16"/>
                <w:szCs w:val="16"/>
                <w:lang w:eastAsia="en-US"/>
              </w:rPr>
            </w:pPr>
            <w:r w:rsidRPr="00EC5CDD">
              <w:rPr>
                <w:rFonts w:ascii="Times New Roman" w:eastAsiaTheme="majorEastAsia" w:hAnsi="Times New Roman" w:cs="Times New Roman"/>
                <w:kern w:val="0"/>
                <w:sz w:val="16"/>
                <w:szCs w:val="16"/>
                <w:lang w:eastAsia="en-US"/>
              </w:rPr>
              <w:t>Be expected for all health services staff who have contact with perinatal women</w:t>
            </w:r>
          </w:p>
          <w:p w14:paraId="6870D2DD"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b/>
                <w:bCs/>
                <w:kern w:val="0"/>
                <w:sz w:val="16"/>
                <w:szCs w:val="16"/>
                <w:lang w:eastAsia="en-US"/>
              </w:rPr>
            </w:pPr>
            <w:r w:rsidRPr="00EC5CDD">
              <w:rPr>
                <w:rFonts w:ascii="Times New Roman" w:eastAsiaTheme="majorEastAsia" w:hAnsi="Times New Roman" w:cs="Times New Roman"/>
                <w:kern w:val="0"/>
                <w:sz w:val="16"/>
                <w:szCs w:val="16"/>
                <w:lang w:eastAsia="en-US"/>
              </w:rPr>
              <w:t>Be interactive and provided by a knowledgeable person or network</w:t>
            </w:r>
          </w:p>
          <w:p w14:paraId="4B5663EB"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b/>
                <w:bCs/>
                <w:kern w:val="0"/>
                <w:sz w:val="16"/>
                <w:szCs w:val="16"/>
                <w:lang w:eastAsia="en-US"/>
              </w:rPr>
            </w:pPr>
            <w:r w:rsidRPr="00EC5CDD">
              <w:rPr>
                <w:rFonts w:ascii="Times New Roman" w:eastAsiaTheme="majorEastAsia" w:hAnsi="Times New Roman" w:cs="Times New Roman"/>
                <w:kern w:val="0"/>
                <w:sz w:val="16"/>
                <w:szCs w:val="16"/>
                <w:lang w:eastAsia="en-US"/>
              </w:rPr>
              <w:t>Where relevant be face-to-face</w:t>
            </w:r>
          </w:p>
          <w:p w14:paraId="4C43FCF8" w14:textId="77777777" w:rsidR="00EC5CDD" w:rsidRPr="00EC5CDD" w:rsidRDefault="00EC5CDD" w:rsidP="00EC5CDD">
            <w:pPr>
              <w:keepNext/>
              <w:keepLines/>
              <w:spacing w:line="240" w:lineRule="auto"/>
              <w:ind w:left="454" w:firstLine="0"/>
              <w:contextualSpacing/>
              <w:outlineLvl w:val="0"/>
              <w:rPr>
                <w:rFonts w:ascii="Times New Roman" w:eastAsiaTheme="majorEastAsia" w:hAnsi="Times New Roman" w:cs="Times New Roman"/>
                <w:kern w:val="0"/>
                <w:sz w:val="16"/>
                <w:szCs w:val="16"/>
                <w:lang w:eastAsia="en-US"/>
              </w:rPr>
            </w:pPr>
          </w:p>
          <w:p w14:paraId="674CA4B0"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Training should cover:</w:t>
            </w:r>
          </w:p>
          <w:p w14:paraId="0256D1AD"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Symptoms of PNMI – not just depression</w:t>
            </w:r>
          </w:p>
          <w:p w14:paraId="57B6963D"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How to talk about PMH, what questions to ask, language use</w:t>
            </w:r>
          </w:p>
          <w:p w14:paraId="12AE8B71"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How and where to refer to</w:t>
            </w:r>
          </w:p>
          <w:p w14:paraId="4D281A09"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Diverse family structures</w:t>
            </w:r>
          </w:p>
          <w:p w14:paraId="167B96A6"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Vulnerable groups</w:t>
            </w:r>
          </w:p>
          <w:p w14:paraId="1E4F2DCE"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Health inequalities</w:t>
            </w:r>
          </w:p>
          <w:p w14:paraId="5E9D06F5"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Lived experiences</w:t>
            </w:r>
          </w:p>
          <w:p w14:paraId="4920DE03"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Trauma informed care</w:t>
            </w:r>
          </w:p>
          <w:p w14:paraId="0CF20058"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Cross cultural presentations of mental illness</w:t>
            </w:r>
          </w:p>
          <w:p w14:paraId="3B03EEFC" w14:textId="77777777" w:rsidR="00EC5CDD" w:rsidRPr="00EC5CDD" w:rsidRDefault="00EC5CDD" w:rsidP="00EC5CDD">
            <w:pPr>
              <w:keepNext/>
              <w:keepLines/>
              <w:numPr>
                <w:ilvl w:val="0"/>
                <w:numId w:val="26"/>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How to engage women from diverse backgrounds </w:t>
            </w:r>
            <w:r w:rsidRPr="00EC5CDD">
              <w:rPr>
                <w:rFonts w:ascii="Times New Roman" w:eastAsiaTheme="majorEastAsia" w:hAnsi="Times New Roman" w:cs="Times New Roman"/>
                <w:kern w:val="0"/>
                <w:sz w:val="16"/>
                <w:szCs w:val="16"/>
                <w:vertAlign w:val="superscript"/>
                <w:lang w:eastAsia="en-US"/>
              </w:rPr>
              <w:t>f</w:t>
            </w:r>
          </w:p>
          <w:p w14:paraId="20F40A2C" w14:textId="77777777" w:rsidR="00EC5CDD" w:rsidRPr="00EC5CDD" w:rsidRDefault="00EC5CDD" w:rsidP="00EC5CDD">
            <w:pPr>
              <w:keepNext/>
              <w:keepLines/>
              <w:spacing w:line="240" w:lineRule="auto"/>
              <w:ind w:left="360" w:firstLine="0"/>
              <w:contextualSpacing/>
              <w:outlineLvl w:val="0"/>
              <w:rPr>
                <w:rFonts w:ascii="Times New Roman" w:eastAsiaTheme="majorEastAsia" w:hAnsi="Times New Roman" w:cs="Times New Roman"/>
                <w:kern w:val="0"/>
                <w:sz w:val="16"/>
                <w:szCs w:val="16"/>
                <w:lang w:eastAsia="en-US"/>
              </w:rPr>
            </w:pPr>
          </w:p>
          <w:p w14:paraId="4D36FE8B" w14:textId="77777777" w:rsidR="00EC5CDD" w:rsidRPr="00EC5CDD" w:rsidRDefault="00EC5CDD" w:rsidP="00EC5CDD">
            <w:pPr>
              <w:keepNext/>
              <w:keepLines/>
              <w:spacing w:line="240" w:lineRule="auto"/>
              <w:ind w:left="360" w:firstLine="0"/>
              <w:contextualSpacing/>
              <w:outlineLvl w:val="0"/>
              <w:rPr>
                <w:rFonts w:ascii="Times New Roman" w:eastAsiaTheme="majorEastAsia" w:hAnsi="Times New Roman" w:cs="Times New Roman"/>
                <w:kern w:val="0"/>
                <w:sz w:val="16"/>
                <w:szCs w:val="16"/>
                <w:lang w:eastAsia="en-US"/>
              </w:rPr>
            </w:pPr>
          </w:p>
          <w:p w14:paraId="51CFFC0D"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w:t>
            </w:r>
            <w:r w:rsidRPr="00EC5CDD">
              <w:rPr>
                <w:rFonts w:ascii="Times New Roman" w:eastAsiaTheme="minorHAnsi" w:hAnsi="Times New Roman" w:cs="Times New Roman"/>
                <w:kern w:val="0"/>
                <w:sz w:val="16"/>
                <w:szCs w:val="16"/>
                <w:lang w:eastAsia="en-US"/>
              </w:rPr>
              <w:t>Encourage co-production or user experience testing of technology to ensure ease of usability and integration into the workflow. Employment of a liaison person who has access to all systems to bridge the gap between different services.</w:t>
            </w:r>
          </w:p>
          <w:p w14:paraId="33056B9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6</w:t>
            </w:r>
            <w:r w:rsidRPr="00EC5CDD">
              <w:rPr>
                <w:rFonts w:ascii="Times New Roman" w:eastAsiaTheme="minorHAnsi" w:hAnsi="Times New Roman" w:cs="Times New Roman"/>
                <w:kern w:val="0"/>
                <w:sz w:val="16"/>
                <w:szCs w:val="16"/>
                <w:lang w:eastAsia="en-US"/>
              </w:rPr>
              <w:t>Using compatible IT systems for easy access to information.</w:t>
            </w:r>
          </w:p>
          <w:p w14:paraId="71FD7D22"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24B6762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06E009FE"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 xml:space="preserve">2&amp;4 </w:t>
            </w:r>
            <w:r w:rsidRPr="00EC5CDD">
              <w:rPr>
                <w:rFonts w:ascii="Times New Roman" w:eastAsiaTheme="minorHAnsi" w:hAnsi="Times New Roman" w:cs="Times New Roman"/>
                <w:kern w:val="0"/>
                <w:sz w:val="16"/>
                <w:szCs w:val="16"/>
                <w:lang w:eastAsia="en-US"/>
              </w:rPr>
              <w:t>Encourage co-production of care</w:t>
            </w:r>
            <w:r w:rsidRPr="00EC5CDD">
              <w:rPr>
                <w:rFonts w:ascii="Times New Roman" w:eastAsiaTheme="minorHAnsi" w:hAnsi="Times New Roman" w:cs="Times New Roman"/>
                <w:kern w:val="0"/>
                <w:sz w:val="16"/>
                <w:szCs w:val="16"/>
                <w:vertAlign w:val="superscript"/>
                <w:lang w:eastAsia="en-US"/>
              </w:rPr>
              <w:t>f</w:t>
            </w:r>
            <w:r w:rsidRPr="00EC5CDD">
              <w:rPr>
                <w:rFonts w:ascii="Times New Roman" w:eastAsiaTheme="minorHAnsi" w:hAnsi="Times New Roman" w:cs="Times New Roman"/>
                <w:kern w:val="0"/>
                <w:sz w:val="16"/>
                <w:szCs w:val="16"/>
                <w:lang w:eastAsia="en-US"/>
              </w:rPr>
              <w:t>. Collaborate with organisations such as The Motherhood Group to ensure care is culturally appropriate. Provide peer support to women who feel it would benefit them. Consider provision of home visits for care and deliver care face-to-face. If home delivery is not possible, ensure practical support is available such as childcare.</w:t>
            </w:r>
          </w:p>
          <w:p w14:paraId="5BEC1BDB"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0BF57E72"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6400A5BE"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2&amp;4</w:t>
            </w:r>
            <w:r w:rsidRPr="00EC5CDD">
              <w:rPr>
                <w:rFonts w:ascii="Times New Roman" w:eastAsiaTheme="minorHAnsi" w:hAnsi="Times New Roman" w:cs="Times New Roman"/>
                <w:kern w:val="0"/>
                <w:sz w:val="16"/>
                <w:szCs w:val="16"/>
                <w:lang w:eastAsia="en-US"/>
              </w:rPr>
              <w:t>Use easy to understand assessment tools. Collaborate with organisations such as The Motherhood Group to ensure cultural appropriateness. Design or update assessment tools that use pictures alongside words for use with women whose English speaking and understanding is limited</w:t>
            </w:r>
            <w:r w:rsidRPr="00EC5CDD">
              <w:rPr>
                <w:rFonts w:ascii="Times New Roman" w:eastAsiaTheme="minorHAnsi" w:hAnsi="Times New Roman" w:cs="Times New Roman"/>
                <w:kern w:val="0"/>
                <w:sz w:val="16"/>
                <w:szCs w:val="16"/>
                <w:vertAlign w:val="superscript"/>
                <w:lang w:eastAsia="en-US"/>
              </w:rPr>
              <w:t>h</w:t>
            </w:r>
            <w:r w:rsidRPr="00EC5CDD">
              <w:rPr>
                <w:rFonts w:ascii="Times New Roman" w:eastAsiaTheme="minorHAnsi" w:hAnsi="Times New Roman" w:cs="Times New Roman"/>
                <w:kern w:val="0"/>
                <w:sz w:val="16"/>
                <w:szCs w:val="16"/>
                <w:lang w:eastAsia="en-US"/>
              </w:rPr>
              <w:t>. Ensure HPs have enough time to do this by creating an adequate workforce (see above)</w:t>
            </w:r>
          </w:p>
          <w:p w14:paraId="07E34B0F"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5</w:t>
            </w:r>
            <w:r w:rsidRPr="00EC5CDD">
              <w:rPr>
                <w:rFonts w:ascii="Times New Roman" w:eastAsiaTheme="minorHAnsi" w:hAnsi="Times New Roman" w:cs="Times New Roman"/>
                <w:kern w:val="0"/>
                <w:sz w:val="16"/>
                <w:szCs w:val="16"/>
                <w:lang w:eastAsia="en-US"/>
              </w:rPr>
              <w:t>Provide assessment in a woman-centred way. Explain questions or wording that women are not clear about. Clearly discuss results with women and explain next steps.</w:t>
            </w:r>
          </w:p>
        </w:tc>
      </w:tr>
      <w:tr w:rsidR="00EC5CDD" w:rsidRPr="00EC5CDD" w14:paraId="2C58C609" w14:textId="77777777" w:rsidTr="006A54BC">
        <w:tc>
          <w:tcPr>
            <w:tcW w:w="613" w:type="pct"/>
            <w:tcBorders>
              <w:top w:val="single" w:sz="4" w:space="0" w:color="auto"/>
              <w:bottom w:val="single" w:sz="4" w:space="0" w:color="auto"/>
            </w:tcBorders>
          </w:tcPr>
          <w:p w14:paraId="1DA9B3E6"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lastRenderedPageBreak/>
              <w:t>Commissioners</w:t>
            </w:r>
          </w:p>
        </w:tc>
        <w:tc>
          <w:tcPr>
            <w:tcW w:w="2194" w:type="pct"/>
            <w:tcBorders>
              <w:top w:val="single" w:sz="4" w:space="0" w:color="auto"/>
              <w:bottom w:val="single" w:sz="4" w:space="0" w:color="auto"/>
            </w:tcBorders>
          </w:tcPr>
          <w:p w14:paraId="12674A63" w14:textId="77777777" w:rsidR="00EC5CDD" w:rsidRPr="00EC5CDD" w:rsidRDefault="00EC5CDD" w:rsidP="00EC5CDD">
            <w:pPr>
              <w:numPr>
                <w:ilvl w:val="0"/>
                <w:numId w:val="32"/>
              </w:numPr>
              <w:spacing w:line="240" w:lineRule="auto"/>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Provision of adequate financial resources to ensure service managers can: </w:t>
            </w:r>
          </w:p>
          <w:p w14:paraId="1F9D648D" w14:textId="77777777" w:rsidR="00EC5CDD" w:rsidRPr="00EC5CDD" w:rsidRDefault="00EC5CDD" w:rsidP="00EC5CDD">
            <w:pPr>
              <w:numPr>
                <w:ilvl w:val="0"/>
                <w:numId w:val="33"/>
              </w:numPr>
              <w:spacing w:line="240" w:lineRule="auto"/>
              <w:ind w:left="1080"/>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Recruit a multi-disciplinary team with enough staff to meet service users’ needs****</w:t>
            </w:r>
          </w:p>
          <w:p w14:paraId="74272B9E" w14:textId="77777777" w:rsidR="00EC5CDD" w:rsidRPr="00EC5CDD" w:rsidRDefault="00EC5CDD" w:rsidP="00EC5CDD">
            <w:pPr>
              <w:numPr>
                <w:ilvl w:val="0"/>
                <w:numId w:val="30"/>
              </w:numPr>
              <w:spacing w:line="240" w:lineRule="auto"/>
              <w:ind w:left="1080"/>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Provide high-quality, time protected staff training to all staff****</w:t>
            </w:r>
          </w:p>
          <w:p w14:paraId="1DC147A8" w14:textId="77777777" w:rsidR="00EC5CDD" w:rsidRPr="00EC5CDD" w:rsidRDefault="00EC5CDD" w:rsidP="00EC5CDD">
            <w:pPr>
              <w:numPr>
                <w:ilvl w:val="0"/>
                <w:numId w:val="30"/>
              </w:numPr>
              <w:spacing w:line="240" w:lineRule="auto"/>
              <w:ind w:left="1080"/>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lastRenderedPageBreak/>
              <w:t>Provide continuity of carer****</w:t>
            </w:r>
          </w:p>
          <w:p w14:paraId="1AE6CA3B" w14:textId="77777777" w:rsidR="00EC5CDD" w:rsidRPr="00EC5CDD" w:rsidRDefault="00EC5CDD" w:rsidP="00EC5CDD">
            <w:pPr>
              <w:numPr>
                <w:ilvl w:val="0"/>
                <w:numId w:val="30"/>
              </w:numPr>
              <w:spacing w:line="240" w:lineRule="auto"/>
              <w:ind w:left="1080"/>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Provide resources that break down language barriers such as translators or Language Line****</w:t>
            </w:r>
          </w:p>
          <w:p w14:paraId="22E8F6E0" w14:textId="77777777" w:rsidR="00EC5CDD" w:rsidRPr="00EC5CDD" w:rsidRDefault="00EC5CDD" w:rsidP="00EC5CDD">
            <w:pPr>
              <w:numPr>
                <w:ilvl w:val="0"/>
                <w:numId w:val="30"/>
              </w:numPr>
              <w:spacing w:line="240" w:lineRule="auto"/>
              <w:ind w:left="1080"/>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Provide an adequate number of appropriate services that women can be referred to in a timely manner****</w:t>
            </w:r>
          </w:p>
          <w:p w14:paraId="5E53C71D" w14:textId="77777777" w:rsidR="00EC5CDD" w:rsidRPr="00EC5CDD" w:rsidRDefault="00EC5CDD" w:rsidP="00EC5CDD">
            <w:pPr>
              <w:numPr>
                <w:ilvl w:val="0"/>
                <w:numId w:val="30"/>
              </w:numPr>
              <w:spacing w:line="240" w:lineRule="auto"/>
              <w:ind w:left="1080"/>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Reduction of the changeover of technology when new commissioners join, and encouragement of technology use that is compatible with other systems****</w:t>
            </w:r>
          </w:p>
          <w:p w14:paraId="4F0A9846" w14:textId="77777777" w:rsidR="00EC5CDD" w:rsidRPr="00EC5CDD" w:rsidRDefault="00EC5CDD" w:rsidP="00EC5CDD">
            <w:pPr>
              <w:numPr>
                <w:ilvl w:val="0"/>
                <w:numId w:val="30"/>
              </w:numPr>
              <w:spacing w:line="240" w:lineRule="auto"/>
              <w:ind w:left="1080"/>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Provide individualised, woman-centred care****</w:t>
            </w:r>
          </w:p>
          <w:p w14:paraId="64808F1E" w14:textId="77777777" w:rsidR="00EC5CDD" w:rsidRPr="00EC5CDD" w:rsidRDefault="00EC5CDD" w:rsidP="00EC5CDD">
            <w:pPr>
              <w:numPr>
                <w:ilvl w:val="0"/>
                <w:numId w:val="30"/>
              </w:numPr>
              <w:spacing w:line="240" w:lineRule="auto"/>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Designing clear referral pathways</w:t>
            </w:r>
            <w:r w:rsidRPr="00EC5CDD">
              <w:rPr>
                <w:rFonts w:ascii="Times New Roman" w:eastAsiaTheme="majorEastAsia" w:hAnsi="Times New Roman" w:cs="Times New Roman"/>
                <w:kern w:val="0"/>
                <w:sz w:val="16"/>
                <w:szCs w:val="16"/>
                <w:vertAlign w:val="superscript"/>
                <w:lang w:eastAsia="en-US"/>
              </w:rPr>
              <w:t>n</w:t>
            </w:r>
            <w:r w:rsidRPr="00EC5CDD">
              <w:rPr>
                <w:rFonts w:ascii="Times New Roman" w:eastAsiaTheme="majorEastAsia" w:hAnsi="Times New Roman" w:cs="Times New Roman"/>
                <w:kern w:val="0"/>
                <w:sz w:val="16"/>
                <w:szCs w:val="16"/>
                <w:lang w:eastAsia="en-US"/>
              </w:rPr>
              <w:t>***</w:t>
            </w:r>
          </w:p>
          <w:p w14:paraId="32FF5BFF" w14:textId="77777777" w:rsidR="00EC5CDD" w:rsidRPr="00EC5CDD" w:rsidRDefault="00EC5CDD" w:rsidP="00EC5CDD">
            <w:pPr>
              <w:numPr>
                <w:ilvl w:val="0"/>
                <w:numId w:val="30"/>
              </w:numPr>
              <w:spacing w:line="240" w:lineRule="auto"/>
              <w:contextualSpacing/>
              <w:jc w:val="both"/>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Designing integrated care – Ensure collaboration within and between services***</w:t>
            </w:r>
          </w:p>
          <w:p w14:paraId="09792746" w14:textId="77777777" w:rsidR="00EC5CDD" w:rsidRPr="00EC5CDD" w:rsidRDefault="00EC5CDD" w:rsidP="00EC5CDD">
            <w:pPr>
              <w:spacing w:line="240" w:lineRule="auto"/>
              <w:ind w:left="720" w:firstLine="0"/>
              <w:contextualSpacing/>
              <w:rPr>
                <w:rFonts w:ascii="Times New Roman" w:eastAsiaTheme="majorEastAsia" w:hAnsi="Times New Roman" w:cs="Times New Roman"/>
                <w:kern w:val="0"/>
                <w:sz w:val="16"/>
                <w:szCs w:val="16"/>
                <w:lang w:eastAsia="en-US"/>
              </w:rPr>
            </w:pPr>
          </w:p>
          <w:p w14:paraId="07E44F8C" w14:textId="77777777" w:rsidR="00EC5CDD" w:rsidRPr="00EC5CDD" w:rsidRDefault="00EC5CDD" w:rsidP="00EC5CDD">
            <w:pPr>
              <w:keepNext/>
              <w:keepLines/>
              <w:numPr>
                <w:ilvl w:val="0"/>
                <w:numId w:val="30"/>
              </w:numPr>
              <w:spacing w:before="240" w:line="240" w:lineRule="auto"/>
              <w:ind w:left="714" w:hanging="35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A clear and easy to access funding structure for commissioners and service managers</w:t>
            </w:r>
          </w:p>
          <w:p w14:paraId="5CCC5A4A" w14:textId="77777777" w:rsidR="00EC5CDD" w:rsidRPr="00EC5CDD" w:rsidRDefault="00EC5CDD" w:rsidP="00EC5CDD">
            <w:pPr>
              <w:keepNext/>
              <w:keepLines/>
              <w:spacing w:before="240" w:line="240" w:lineRule="auto"/>
              <w:ind w:left="720" w:right="-472" w:firstLine="0"/>
              <w:contextualSpacing/>
              <w:jc w:val="both"/>
              <w:outlineLvl w:val="0"/>
              <w:rPr>
                <w:rFonts w:ascii="Times New Roman" w:eastAsiaTheme="majorEastAsia" w:hAnsi="Times New Roman" w:cs="Times New Roman"/>
                <w:kern w:val="0"/>
                <w:sz w:val="16"/>
                <w:szCs w:val="16"/>
                <w:lang w:eastAsia="en-US"/>
              </w:rPr>
            </w:pPr>
          </w:p>
          <w:p w14:paraId="26B0BE13"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c>
          <w:tcPr>
            <w:tcW w:w="2193" w:type="pct"/>
            <w:tcBorders>
              <w:top w:val="single" w:sz="4" w:space="0" w:color="auto"/>
              <w:bottom w:val="single" w:sz="4" w:space="0" w:color="auto"/>
            </w:tcBorders>
          </w:tcPr>
          <w:p w14:paraId="657895AC" w14:textId="67F31BDE"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lastRenderedPageBreak/>
              <w:t>4&amp;6</w:t>
            </w:r>
            <w:r w:rsidRPr="00EC5CDD">
              <w:rPr>
                <w:rFonts w:ascii="Times New Roman" w:eastAsiaTheme="minorHAnsi" w:hAnsi="Times New Roman" w:cs="Times New Roman"/>
                <w:kern w:val="0"/>
                <w:sz w:val="16"/>
                <w:szCs w:val="16"/>
                <w:lang w:eastAsia="en-US"/>
              </w:rPr>
              <w:t>To provide services that meet the needs of the population, commissioners must</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{"citationID":"a16op9m751e","properties":{"formattedCitation":"(5)","plainCitation":"(5)","noteIndex":0},"citationItems":[{"id":1101,"uris":["http://zotero.org/users/local/N5aToBsA/items/EV8D5XZ3"],"itemData":{"id":1101,"type":"report","title":"Working with commissioners and policy-makers: Workforce development and multiple disadvantage","author":[{"family":"Moreton","given":"Rachel"},{"family":"Collinson","given":"Beth"},{"family":"Sandhu","given":"Jatinder"}],"issued":{"date-parts":[["2021"]]}}}],"schema":"https://github.com/citation-style-language/schema/raw/master/csl-citation.json"}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(5)</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w:t>
            </w:r>
          </w:p>
          <w:p w14:paraId="5E12DF3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p w14:paraId="150A4B3A" w14:textId="77777777" w:rsidR="00EC5CDD" w:rsidRPr="00EC5CDD" w:rsidRDefault="00EC5CDD" w:rsidP="00EC5CDD">
            <w:pPr>
              <w:keepNext/>
              <w:keepLines/>
              <w:numPr>
                <w:ilvl w:val="0"/>
                <w:numId w:val="34"/>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lastRenderedPageBreak/>
              <w:t>Have a good knowledge of population and the healthcare need in question. Therefore, training on PMH should be mandatory for at least one commissioner in each PCN, ICS or Health Board (see recommended training above)</w:t>
            </w:r>
          </w:p>
          <w:p w14:paraId="46F4A86B" w14:textId="77777777" w:rsidR="00EC5CDD" w:rsidRPr="00EC5CDD" w:rsidRDefault="00EC5CDD" w:rsidP="00EC5CDD">
            <w:pPr>
              <w:keepNext/>
              <w:keepLines/>
              <w:numPr>
                <w:ilvl w:val="0"/>
                <w:numId w:val="34"/>
              </w:numPr>
              <w:spacing w:line="240" w:lineRule="auto"/>
              <w:ind w:left="454"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Have access to high quality evidence</w:t>
            </w:r>
            <w:r w:rsidRPr="00EC5CDD">
              <w:rPr>
                <w:rFonts w:ascii="Times New Roman" w:eastAsiaTheme="majorEastAsia" w:hAnsi="Times New Roman" w:cs="Times New Roman"/>
                <w:kern w:val="0"/>
                <w:sz w:val="16"/>
                <w:szCs w:val="16"/>
                <w:vertAlign w:val="superscript"/>
                <w:lang w:eastAsia="en-US"/>
              </w:rPr>
              <w:t xml:space="preserve"> </w:t>
            </w:r>
            <w:r w:rsidRPr="00EC5CDD">
              <w:rPr>
                <w:rFonts w:ascii="Times New Roman" w:eastAsiaTheme="majorEastAsia" w:hAnsi="Times New Roman" w:cs="Times New Roman"/>
                <w:kern w:val="0"/>
                <w:sz w:val="16"/>
                <w:szCs w:val="16"/>
                <w:lang w:eastAsia="en-US"/>
              </w:rPr>
              <w:t>e.g. the development of PMH information guide</w:t>
            </w:r>
            <w:r w:rsidRPr="00EC5CDD">
              <w:rPr>
                <w:rFonts w:ascii="Times New Roman" w:eastAsiaTheme="majorEastAsia" w:hAnsi="Times New Roman" w:cs="Times New Roman"/>
                <w:kern w:val="0"/>
                <w:sz w:val="16"/>
                <w:szCs w:val="16"/>
                <w:vertAlign w:val="superscript"/>
                <w:lang w:eastAsia="en-US"/>
              </w:rPr>
              <w:t>i</w:t>
            </w:r>
            <w:r w:rsidRPr="00EC5CDD">
              <w:rPr>
                <w:rFonts w:ascii="Times New Roman" w:eastAsiaTheme="majorEastAsia" w:hAnsi="Times New Roman" w:cs="Times New Roman"/>
                <w:kern w:val="0"/>
                <w:sz w:val="16"/>
                <w:szCs w:val="16"/>
                <w:lang w:eastAsia="en-US"/>
              </w:rPr>
              <w:t xml:space="preserve">/videos that covers: </w:t>
            </w:r>
          </w:p>
          <w:p w14:paraId="32EDDB20" w14:textId="77777777" w:rsidR="00EC5CDD" w:rsidRPr="00EC5CDD" w:rsidRDefault="00EC5CDD" w:rsidP="00EC5CDD">
            <w:pPr>
              <w:keepNext/>
              <w:keepLines/>
              <w:numPr>
                <w:ilvl w:val="1"/>
                <w:numId w:val="34"/>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Symptoms of PNMI</w:t>
            </w:r>
          </w:p>
          <w:p w14:paraId="69FC34B0" w14:textId="77777777" w:rsidR="00EC5CDD" w:rsidRPr="00EC5CDD" w:rsidRDefault="00EC5CDD" w:rsidP="00EC5CDD">
            <w:pPr>
              <w:keepNext/>
              <w:keepLines/>
              <w:numPr>
                <w:ilvl w:val="1"/>
                <w:numId w:val="34"/>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Impact on women and their families</w:t>
            </w:r>
          </w:p>
          <w:p w14:paraId="0B7E2A85" w14:textId="77777777" w:rsidR="00EC5CDD" w:rsidRPr="00EC5CDD" w:rsidRDefault="00EC5CDD" w:rsidP="00EC5CDD">
            <w:pPr>
              <w:keepNext/>
              <w:keepLines/>
              <w:numPr>
                <w:ilvl w:val="1"/>
                <w:numId w:val="34"/>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Barriers to women getting care they need and how to overcome these</w:t>
            </w:r>
          </w:p>
          <w:p w14:paraId="0231D6FC" w14:textId="77777777" w:rsidR="00EC5CDD" w:rsidRPr="00EC5CDD" w:rsidRDefault="00EC5CDD" w:rsidP="00EC5CDD">
            <w:pPr>
              <w:keepNext/>
              <w:keepLines/>
              <w:numPr>
                <w:ilvl w:val="1"/>
                <w:numId w:val="34"/>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Effective care and treatment</w:t>
            </w:r>
          </w:p>
          <w:p w14:paraId="4D112A88" w14:textId="77777777" w:rsidR="00EC5CDD" w:rsidRPr="00EC5CDD" w:rsidRDefault="00EC5CDD" w:rsidP="00EC5CDD">
            <w:pPr>
              <w:keepNext/>
              <w:keepLines/>
              <w:numPr>
                <w:ilvl w:val="1"/>
                <w:numId w:val="34"/>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Examples of good practice</w:t>
            </w:r>
          </w:p>
          <w:p w14:paraId="26998AF6" w14:textId="57CBE916" w:rsidR="00EC5CDD" w:rsidRPr="00EC5CDD" w:rsidRDefault="00EC5CDD" w:rsidP="00EC5CDD">
            <w:pPr>
              <w:keepNext/>
              <w:keepLines/>
              <w:numPr>
                <w:ilvl w:val="0"/>
                <w:numId w:val="34"/>
              </w:numPr>
              <w:spacing w:line="240" w:lineRule="auto"/>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Engage with people with lived experience – services should be co-produced with those who have lived experience</w:t>
            </w:r>
            <w:r w:rsidRPr="00EC5CDD">
              <w:rPr>
                <w:rFonts w:ascii="Times New Roman" w:eastAsiaTheme="majorEastAsia" w:hAnsi="Times New Roman" w:cs="Times New Roman"/>
                <w:kern w:val="0"/>
                <w:sz w:val="16"/>
                <w:szCs w:val="16"/>
                <w:lang w:eastAsia="en-US"/>
              </w:rPr>
              <w:fldChar w:fldCharType="begin"/>
            </w:r>
            <w:r w:rsidR="00904B59">
              <w:rPr>
                <w:rFonts w:ascii="Times New Roman" w:eastAsiaTheme="majorEastAsia" w:hAnsi="Times New Roman" w:cs="Times New Roman"/>
                <w:kern w:val="0"/>
                <w:sz w:val="16"/>
                <w:szCs w:val="16"/>
                <w:lang w:eastAsia="en-US"/>
              </w:rPr>
              <w:instrText xml:space="preserve"> ADDIN ZOTERO_ITEM CSL_CITATION {"citationID":"a8l6c6osj1","properties":{"formattedCitation":"(6)","plainCitation":"(6)","noteIndex":0},"citationItems":[{"id":1074,"uris":["http://zotero.org/users/local/N5aToBsA/items/8Z3SLUCK"],"itemData":{"id":1074,"type":"report","title":"A Meeting of Minds: How co-production benefits people, professionals and organisations","author":[{"family":"Woodall","given":"Jo"},{"family":"Davison","given":"Ewan"},{"family":"Parnaby","given":"Julia"},{"family":"Hall","given":"Anne-Mari"}],"issued":{"date-parts":[["2019"]]}}}],"schema":"https://github.com/citation-style-language/schema/raw/master/csl-citation.json"} </w:instrText>
            </w:r>
            <w:r w:rsidRPr="00EC5CDD">
              <w:rPr>
                <w:rFonts w:ascii="Times New Roman" w:eastAsiaTheme="majorEastAsia"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(6)</w:t>
            </w:r>
            <w:r w:rsidRPr="00EC5CDD">
              <w:rPr>
                <w:rFonts w:ascii="Times New Roman" w:eastAsiaTheme="majorEastAsia" w:hAnsi="Times New Roman" w:cs="Times New Roman"/>
                <w:kern w:val="0"/>
                <w:sz w:val="16"/>
                <w:szCs w:val="16"/>
                <w:lang w:eastAsia="en-US"/>
              </w:rPr>
              <w:fldChar w:fldCharType="end"/>
            </w:r>
            <w:r w:rsidRPr="00EC5CDD">
              <w:rPr>
                <w:rFonts w:ascii="Times New Roman" w:eastAsiaTheme="majorEastAsia" w:hAnsi="Times New Roman" w:cs="Times New Roman"/>
                <w:kern w:val="0"/>
                <w:sz w:val="16"/>
                <w:szCs w:val="16"/>
                <w:lang w:eastAsia="en-US"/>
              </w:rPr>
              <w:t xml:space="preserve">; see Box 3 – f). </w:t>
            </w:r>
          </w:p>
          <w:p w14:paraId="6B74CAE5" w14:textId="77777777"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p>
          <w:p w14:paraId="7A9890A0" w14:textId="77777777"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p>
          <w:p w14:paraId="49F13772" w14:textId="4AB1650E" w:rsidR="00EC5CDD" w:rsidRPr="00EC5CDD" w:rsidRDefault="00EC5CDD" w:rsidP="00EC5CDD">
            <w:pPr>
              <w:autoSpaceDE w:val="0"/>
              <w:autoSpaceDN w:val="0"/>
              <w:adjustRightInd w:val="0"/>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4&amp;7</w:t>
            </w:r>
            <w:r w:rsidRPr="00EC5CDD">
              <w:rPr>
                <w:rFonts w:ascii="Times New Roman" w:eastAsiaTheme="minorHAnsi" w:hAnsi="Times New Roman" w:cs="Times New Roman"/>
                <w:kern w:val="0"/>
                <w:sz w:val="16"/>
                <w:szCs w:val="16"/>
                <w:lang w:eastAsia="en-US"/>
              </w:rPr>
              <w:t>Continued policy support from NHS England, and NHS related to PMH care, such as the publication of the Five Year Forward View</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{"citationID":"aeou35qljl","properties":{"formattedCitation":"(7)","plainCitation":"(7)","noteIndex":0},"citationItems":[{"id":439,"uris":["http://zotero.org/users/local/N5aToBsA/items/FDFJHZMM"],"itemData":{"id":439,"type":"report","abstract":"It was founded in 1948 in place of fear - the fear that many people had of being unable to afford medical treatment for themselves and their families. And it was founded in a spirit of optimism - at a time of great uncertainty, coming shortly after the sacrifices of war. Our nation remains unwavering in that commitment to universal healthcare, irrespective of age, health, race, social status or ability to pay. To high quality care for all. Our values haven’t changed, but our world has. So the NHS needs to adapt to take advantage of the opportunities that science and technology offer patients, carers and those who serve them. But it also needs to evolve to meet new challenges: we live longer, with complex health issues, sometimes of our own making. One in five adults still smoke. A third of us drink too much alcohol. Just under two thirds of us are overweight or obese. These changes mean that we need to take a longer view - a Five-Year Forward View – to consider the possible futures on offer, and the choices that we face. So this Forward View sets out how the health service needs to change, arguing for a more engaged relationship with patients, carers and citizens so that we can promote wellbeing and prevent ill-health. It represents the shared view of the NHS’ national leadership, and reflects an emerging consensus amongst patient groups, clinicians, local communities and frontline NHS leaders. It sets out a vision of a better NHS, the steps we should now take to get us there, and the actions we need from others.","note":"container-title: NHS England","title":"NHS England » The NHS Five Year Forward View","author":[{"literal":"NHS England"}],"issued":{"date-parts":[["2014"]]}}}],"schema":"https://github.com/citation-style-language/schema/raw/master/csl-citation.json"}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(7)</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 xml:space="preserve"> and Long Term Plan</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{"citationID":"a1tkblnuoj5","properties":{"formattedCitation":"(8)","plainCitation":"(8)","noteIndex":0},"citationItems":[{"id":1087,"uris":["http://zotero.org/users/local/N5aToBsA/items/ZKIY8VNN"],"itemData":{"id":1087,"type":"report","title":"The NHS Long Term Plan","author":[{"literal":"NHS England"}],"issued":{"date-parts":[["2019"]]}}}],"schema":"https://github.com/citation-style-language/schema/raw/master/csl-citation.json"}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(8)</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 NHS England, and Delivering Effective Services</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{"citationID":"a1b3enhs0bt","properties":{"formattedCitation":"(9)","plainCitation":"(9)","noteIndex":0},"citationItems":[{"id":1083,"uris":["http://zotero.org/users/local/N5aToBsA/items/DKVFK5CT"],"itemData":{"id":1083,"type":"report","title":"Delivering Effective Services: Needs assessment and service recommendations for specialist and universal perinatal mental health services","URL":"https://www.gov.scot/binaries/content/documents/govscot/publications/strategy-plan/2019/03/delivering-effective-services-needs-assessment-service-recommendations-specialist-universal-perinatal-mental-health-services/documents/delivering-effective-services","author":[{"literal":"NHS Scotland"}],"issued":{"date-parts":[["2019"]]}}}],"schema":"https://github.com/citation-style-language/schema/raw/master/csl-citation.json"}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(9)</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 xml:space="preserve"> report for NHS Scotland.</w:t>
            </w:r>
          </w:p>
          <w:p w14:paraId="45E8EADA" w14:textId="77777777"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p>
          <w:p w14:paraId="13869041" w14:textId="77777777" w:rsidR="00EC5CDD" w:rsidRPr="00EC5CDD" w:rsidRDefault="00EC5CDD" w:rsidP="00EC5CDD">
            <w:pPr>
              <w:spacing w:line="240" w:lineRule="auto"/>
              <w:ind w:firstLine="0"/>
              <w:rPr>
                <w:rFonts w:ascii="Times New Roman" w:eastAsiaTheme="minorHAnsi" w:hAnsi="Times New Roman" w:cs="Times New Roman"/>
                <w:kern w:val="0"/>
                <w:sz w:val="16"/>
                <w:szCs w:val="16"/>
                <w:lang w:eastAsia="en-US"/>
              </w:rPr>
            </w:pPr>
          </w:p>
        </w:tc>
      </w:tr>
      <w:tr w:rsidR="00EC5CDD" w:rsidRPr="00EC5CDD" w14:paraId="6BDDDBA9" w14:textId="77777777" w:rsidTr="006A54BC">
        <w:tc>
          <w:tcPr>
            <w:tcW w:w="613" w:type="pct"/>
            <w:tcBorders>
              <w:top w:val="single" w:sz="4" w:space="0" w:color="auto"/>
              <w:bottom w:val="single" w:sz="4" w:space="0" w:color="auto"/>
            </w:tcBorders>
          </w:tcPr>
          <w:p w14:paraId="64B2187D"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lastRenderedPageBreak/>
              <w:t>Government and regulatory bodies</w:t>
            </w:r>
          </w:p>
        </w:tc>
        <w:tc>
          <w:tcPr>
            <w:tcW w:w="2194" w:type="pct"/>
            <w:tcBorders>
              <w:top w:val="single" w:sz="4" w:space="0" w:color="auto"/>
              <w:bottom w:val="single" w:sz="4" w:space="0" w:color="auto"/>
            </w:tcBorders>
          </w:tcPr>
          <w:p w14:paraId="1F626FB8" w14:textId="77777777" w:rsidR="00EC5CDD" w:rsidRPr="00EC5CDD" w:rsidRDefault="00EC5CDD" w:rsidP="00EC5CDD">
            <w:pPr>
              <w:keepNext/>
              <w:keepLines/>
              <w:numPr>
                <w:ilvl w:val="0"/>
                <w:numId w:val="16"/>
              </w:numPr>
              <w:spacing w:line="240" w:lineRule="auto"/>
              <w:ind w:left="227" w:right="227"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Support for refugee or immigrant women to be able to access care without being penalised (e.g., through deportation, through charging systems)***</w:t>
            </w:r>
          </w:p>
          <w:p w14:paraId="1E64A66F" w14:textId="77777777" w:rsidR="00EC5CDD" w:rsidRPr="00EC5CDD" w:rsidRDefault="00EC5CDD" w:rsidP="00EC5CDD">
            <w:pPr>
              <w:keepNext/>
              <w:keepLines/>
              <w:numPr>
                <w:ilvl w:val="0"/>
                <w:numId w:val="16"/>
              </w:numPr>
              <w:spacing w:line="240" w:lineRule="auto"/>
              <w:ind w:left="227" w:right="227"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Adequate financial support for those who are not eligible for free healthcare***</w:t>
            </w:r>
          </w:p>
          <w:p w14:paraId="1651B9D5" w14:textId="77777777" w:rsidR="00EC5CDD" w:rsidRPr="00EC5CDD" w:rsidRDefault="00EC5CDD" w:rsidP="00EC5CDD">
            <w:pPr>
              <w:spacing w:line="240" w:lineRule="auto"/>
              <w:ind w:left="227" w:right="227" w:hanging="227"/>
              <w:contextualSpacing/>
              <w:jc w:val="both"/>
              <w:rPr>
                <w:rFonts w:ascii="Times New Roman" w:eastAsiaTheme="minorHAnsi" w:hAnsi="Times New Roman" w:cs="Times New Roman"/>
                <w:kern w:val="0"/>
                <w:sz w:val="16"/>
                <w:szCs w:val="16"/>
                <w:lang w:eastAsia="en-US"/>
              </w:rPr>
            </w:pPr>
          </w:p>
          <w:p w14:paraId="5852DB1F" w14:textId="77777777" w:rsidR="00EC5CDD" w:rsidRPr="00EC5CDD" w:rsidRDefault="00EC5CDD" w:rsidP="00EC5CDD">
            <w:pPr>
              <w:spacing w:line="240" w:lineRule="auto"/>
              <w:ind w:left="227" w:right="227" w:hanging="227"/>
              <w:contextualSpacing/>
              <w:jc w:val="both"/>
              <w:rPr>
                <w:rFonts w:ascii="Times New Roman" w:eastAsiaTheme="minorHAnsi" w:hAnsi="Times New Roman" w:cs="Times New Roman"/>
                <w:kern w:val="0"/>
                <w:sz w:val="16"/>
                <w:szCs w:val="16"/>
                <w:lang w:eastAsia="en-US"/>
              </w:rPr>
            </w:pPr>
          </w:p>
          <w:p w14:paraId="7DAD1DAF" w14:textId="77777777" w:rsidR="00EC5CDD" w:rsidRPr="00EC5CDD" w:rsidRDefault="00EC5CDD" w:rsidP="00EC5CDD">
            <w:pPr>
              <w:spacing w:line="240" w:lineRule="auto"/>
              <w:ind w:right="227" w:firstLine="0"/>
              <w:contextualSpacing/>
              <w:jc w:val="both"/>
              <w:rPr>
                <w:rFonts w:ascii="Times New Roman" w:eastAsiaTheme="minorHAnsi" w:hAnsi="Times New Roman" w:cs="Times New Roman"/>
                <w:kern w:val="0"/>
                <w:sz w:val="16"/>
                <w:szCs w:val="16"/>
                <w:lang w:eastAsia="en-US"/>
              </w:rPr>
            </w:pPr>
          </w:p>
          <w:p w14:paraId="7558B237" w14:textId="77777777" w:rsidR="00EC5CDD" w:rsidRPr="00EC5CDD" w:rsidRDefault="00EC5CDD" w:rsidP="00EC5CDD">
            <w:pPr>
              <w:spacing w:line="240" w:lineRule="auto"/>
              <w:ind w:right="227" w:firstLine="0"/>
              <w:contextualSpacing/>
              <w:jc w:val="both"/>
              <w:rPr>
                <w:rFonts w:ascii="Times New Roman" w:eastAsiaTheme="minorHAnsi" w:hAnsi="Times New Roman" w:cs="Times New Roman"/>
                <w:kern w:val="0"/>
                <w:sz w:val="16"/>
                <w:szCs w:val="16"/>
                <w:lang w:eastAsia="en-US"/>
              </w:rPr>
            </w:pPr>
          </w:p>
          <w:p w14:paraId="66B9DAB2" w14:textId="77777777" w:rsidR="00EC5CDD" w:rsidRPr="00EC5CDD" w:rsidRDefault="00EC5CDD" w:rsidP="00EC5CDD">
            <w:pPr>
              <w:spacing w:line="240" w:lineRule="auto"/>
              <w:ind w:right="227" w:firstLine="0"/>
              <w:contextualSpacing/>
              <w:jc w:val="both"/>
              <w:rPr>
                <w:rFonts w:ascii="Times New Roman" w:eastAsiaTheme="minorHAnsi" w:hAnsi="Times New Roman" w:cs="Times New Roman"/>
                <w:kern w:val="0"/>
                <w:sz w:val="16"/>
                <w:szCs w:val="16"/>
                <w:lang w:eastAsia="en-US"/>
              </w:rPr>
            </w:pPr>
          </w:p>
          <w:p w14:paraId="0307BC1B" w14:textId="77777777" w:rsidR="00EC5CDD" w:rsidRPr="00EC5CDD" w:rsidRDefault="00EC5CDD" w:rsidP="00EC5CDD">
            <w:pPr>
              <w:spacing w:line="240" w:lineRule="auto"/>
              <w:ind w:right="227" w:firstLine="0"/>
              <w:contextualSpacing/>
              <w:jc w:val="both"/>
              <w:rPr>
                <w:rFonts w:ascii="Times New Roman" w:eastAsiaTheme="minorHAnsi" w:hAnsi="Times New Roman" w:cs="Times New Roman"/>
                <w:kern w:val="0"/>
                <w:sz w:val="16"/>
                <w:szCs w:val="16"/>
                <w:lang w:eastAsia="en-US"/>
              </w:rPr>
            </w:pPr>
          </w:p>
          <w:p w14:paraId="5AC7F853" w14:textId="77777777" w:rsidR="00EC5CDD" w:rsidRPr="00EC5CDD" w:rsidRDefault="00EC5CDD" w:rsidP="00EC5CDD">
            <w:pPr>
              <w:keepNext/>
              <w:keepLines/>
              <w:numPr>
                <w:ilvl w:val="0"/>
                <w:numId w:val="16"/>
              </w:numPr>
              <w:spacing w:line="240" w:lineRule="auto"/>
              <w:ind w:left="227" w:right="227" w:hanging="227"/>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A clear and easy to access funding structure for commissioners and service managers, equality of funding distribution and adequate funding provision to ensure service needs are met***</w:t>
            </w:r>
          </w:p>
          <w:p w14:paraId="448E81EA" w14:textId="77777777" w:rsidR="00EC5CDD" w:rsidRPr="00EC5CDD" w:rsidRDefault="00EC5CDD" w:rsidP="00EC5CDD">
            <w:pPr>
              <w:spacing w:line="240" w:lineRule="auto"/>
              <w:ind w:left="227" w:right="227" w:hanging="227"/>
              <w:contextualSpacing/>
              <w:jc w:val="both"/>
              <w:rPr>
                <w:rFonts w:ascii="Times New Roman" w:eastAsiaTheme="minorHAnsi" w:hAnsi="Times New Roman" w:cs="Times New Roman"/>
                <w:kern w:val="0"/>
                <w:sz w:val="16"/>
                <w:szCs w:val="16"/>
                <w:lang w:eastAsia="en-US"/>
              </w:rPr>
            </w:pPr>
          </w:p>
          <w:p w14:paraId="2A1ABEDB" w14:textId="77777777" w:rsidR="00EC5CDD" w:rsidRPr="00EC5CDD" w:rsidRDefault="00EC5CDD" w:rsidP="00EC5CDD">
            <w:pPr>
              <w:spacing w:line="240" w:lineRule="auto"/>
              <w:ind w:left="227" w:right="227" w:hanging="227"/>
              <w:contextualSpacing/>
              <w:jc w:val="both"/>
              <w:rPr>
                <w:rFonts w:ascii="Times New Roman" w:eastAsiaTheme="minorHAnsi" w:hAnsi="Times New Roman" w:cs="Times New Roman"/>
                <w:kern w:val="0"/>
                <w:sz w:val="16"/>
                <w:szCs w:val="16"/>
                <w:lang w:eastAsia="en-US"/>
              </w:rPr>
            </w:pPr>
          </w:p>
          <w:p w14:paraId="5F18B105" w14:textId="77777777" w:rsidR="00EC5CDD" w:rsidRPr="00EC5CDD" w:rsidRDefault="00EC5CDD" w:rsidP="00EC5CDD">
            <w:pPr>
              <w:spacing w:line="240" w:lineRule="auto"/>
              <w:ind w:left="227" w:right="227" w:hanging="227"/>
              <w:contextualSpacing/>
              <w:jc w:val="both"/>
              <w:rPr>
                <w:rFonts w:ascii="Times New Roman" w:eastAsiaTheme="minorHAnsi" w:hAnsi="Times New Roman" w:cs="Times New Roman"/>
                <w:kern w:val="0"/>
                <w:sz w:val="16"/>
                <w:szCs w:val="16"/>
                <w:lang w:eastAsia="en-US"/>
              </w:rPr>
            </w:pPr>
          </w:p>
          <w:p w14:paraId="514C085F" w14:textId="77777777" w:rsidR="00EC5CDD" w:rsidRPr="00EC5CDD" w:rsidRDefault="00EC5CDD" w:rsidP="00EC5CDD">
            <w:pPr>
              <w:spacing w:line="240" w:lineRule="auto"/>
              <w:ind w:firstLine="0"/>
              <w:jc w:val="both"/>
              <w:rPr>
                <w:rFonts w:ascii="Times New Roman" w:eastAsiaTheme="minorHAnsi" w:hAnsi="Times New Roman" w:cs="Times New Roman"/>
                <w:kern w:val="0"/>
                <w:sz w:val="16"/>
                <w:szCs w:val="16"/>
                <w:lang w:eastAsia="en-US"/>
              </w:rPr>
            </w:pPr>
          </w:p>
        </w:tc>
        <w:tc>
          <w:tcPr>
            <w:tcW w:w="2193" w:type="pct"/>
            <w:tcBorders>
              <w:top w:val="single" w:sz="4" w:space="0" w:color="auto"/>
              <w:bottom w:val="single" w:sz="4" w:space="0" w:color="auto"/>
            </w:tcBorders>
          </w:tcPr>
          <w:p w14:paraId="6CEA1281" w14:textId="77777777" w:rsidR="00EC5CDD" w:rsidRPr="00EC5CDD" w:rsidRDefault="00EC5CDD" w:rsidP="00EC5CDD">
            <w:pPr>
              <w:autoSpaceDE w:val="0"/>
              <w:autoSpaceDN w:val="0"/>
              <w:adjustRightInd w:val="0"/>
              <w:spacing w:line="240" w:lineRule="auto"/>
              <w:ind w:firstLine="0"/>
              <w:contextualSpacing/>
              <w:jc w:val="both"/>
              <w:rPr>
                <w:rFonts w:ascii="Times New Roman" w:eastAsia="Times New Roman" w:hAnsi="Times New Roman" w:cs="Times New Roman"/>
                <w:kern w:val="0"/>
                <w:sz w:val="16"/>
                <w:szCs w:val="16"/>
                <w:lang w:eastAsia="en-GB"/>
              </w:rPr>
            </w:pPr>
            <w:r w:rsidRPr="00EC5CDD">
              <w:rPr>
                <w:rFonts w:ascii="Times New Roman" w:eastAsia="Times New Roman" w:hAnsi="Times New Roman" w:cs="Times New Roman"/>
                <w:kern w:val="0"/>
                <w:sz w:val="16"/>
                <w:szCs w:val="16"/>
                <w:vertAlign w:val="superscript"/>
                <w:lang w:eastAsia="en-GB"/>
              </w:rPr>
              <w:t>4</w:t>
            </w:r>
            <w:r w:rsidRPr="00EC5CDD">
              <w:rPr>
                <w:rFonts w:ascii="Times New Roman" w:eastAsia="Times New Roman" w:hAnsi="Times New Roman" w:cs="Times New Roman"/>
                <w:kern w:val="0"/>
                <w:sz w:val="16"/>
                <w:szCs w:val="16"/>
                <w:lang w:eastAsia="en-GB"/>
              </w:rPr>
              <w:t>Free healthcare for all at the point of access</w:t>
            </w:r>
            <w:r w:rsidRPr="00EC5CDD">
              <w:rPr>
                <w:rFonts w:ascii="Times New Roman" w:eastAsia="Times New Roman" w:hAnsi="Times New Roman" w:cs="Times New Roman"/>
                <w:kern w:val="0"/>
                <w:sz w:val="16"/>
                <w:szCs w:val="16"/>
                <w:vertAlign w:val="superscript"/>
                <w:lang w:eastAsia="en-GB"/>
              </w:rPr>
              <w:t>j</w:t>
            </w:r>
            <w:r w:rsidRPr="00EC5CDD">
              <w:rPr>
                <w:rFonts w:ascii="Times New Roman" w:eastAsia="Times New Roman" w:hAnsi="Times New Roman" w:cs="Times New Roman"/>
                <w:kern w:val="0"/>
                <w:sz w:val="16"/>
                <w:szCs w:val="16"/>
                <w:lang w:eastAsia="en-GB"/>
              </w:rPr>
              <w:t xml:space="preserve">. </w:t>
            </w:r>
          </w:p>
          <w:p w14:paraId="6AD4D194" w14:textId="77777777" w:rsidR="00EC5CDD" w:rsidRPr="00EC5CDD" w:rsidRDefault="00EC5CDD" w:rsidP="00EC5CDD">
            <w:pPr>
              <w:autoSpaceDE w:val="0"/>
              <w:autoSpaceDN w:val="0"/>
              <w:adjustRightInd w:val="0"/>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Suspension of NHS charging regulations until a full independent review of their impact on individual and public health, simplification of charging criteria and exemptions and safeguards to protect vulnerable patients and ensure they are not denied the care they are entitled to, is carried out</w:t>
            </w:r>
            <w:r w:rsidRPr="00EC5CDD">
              <w:rPr>
                <w:rFonts w:ascii="Times New Roman" w:eastAsiaTheme="minorHAnsi" w:hAnsi="Times New Roman" w:cs="Times New Roman"/>
                <w:kern w:val="0"/>
                <w:sz w:val="16"/>
                <w:szCs w:val="16"/>
                <w:vertAlign w:val="superscript"/>
                <w:lang w:eastAsia="en-US"/>
              </w:rPr>
              <w:t>k</w:t>
            </w:r>
          </w:p>
          <w:p w14:paraId="0178F835" w14:textId="77777777" w:rsidR="00EC5CDD" w:rsidRPr="00EC5CDD" w:rsidRDefault="00EC5CDD" w:rsidP="00EC5CDD">
            <w:pPr>
              <w:autoSpaceDE w:val="0"/>
              <w:autoSpaceDN w:val="0"/>
              <w:adjustRightInd w:val="0"/>
              <w:spacing w:line="240" w:lineRule="auto"/>
              <w:ind w:firstLine="0"/>
              <w:contextualSpacing/>
              <w:jc w:val="both"/>
              <w:rPr>
                <w:rFonts w:ascii="Times New Roman" w:eastAsia="Times New Roman" w:hAnsi="Times New Roman" w:cs="Times New Roman"/>
                <w:kern w:val="0"/>
                <w:sz w:val="16"/>
                <w:szCs w:val="16"/>
                <w:lang w:eastAsia="en-GB"/>
              </w:rPr>
            </w:pPr>
            <w:r w:rsidRPr="00EC5CDD">
              <w:rPr>
                <w:rFonts w:ascii="Times New Roman" w:eastAsiaTheme="minorHAnsi" w:hAnsi="Times New Roman" w:cs="Times New Roman"/>
                <w:kern w:val="0"/>
                <w:sz w:val="16"/>
                <w:szCs w:val="16"/>
                <w:vertAlign w:val="superscript"/>
                <w:lang w:eastAsia="en-US"/>
              </w:rPr>
              <w:t>4</w:t>
            </w:r>
            <w:r w:rsidRPr="00EC5CDD">
              <w:rPr>
                <w:rFonts w:ascii="Times New Roman" w:eastAsiaTheme="minorHAnsi" w:hAnsi="Times New Roman" w:cs="Times New Roman"/>
                <w:kern w:val="0"/>
                <w:sz w:val="16"/>
                <w:szCs w:val="16"/>
                <w:lang w:eastAsia="en-US"/>
              </w:rPr>
              <w:t>A fair welfare and economic system that ensures that no one is living in poverty or in financial hardship</w:t>
            </w:r>
            <w:r w:rsidRPr="00EC5CDD">
              <w:rPr>
                <w:rFonts w:ascii="Times New Roman" w:eastAsiaTheme="minorHAnsi" w:hAnsi="Times New Roman" w:cs="Times New Roman"/>
                <w:kern w:val="0"/>
                <w:sz w:val="16"/>
                <w:szCs w:val="16"/>
                <w:vertAlign w:val="superscript"/>
                <w:lang w:eastAsia="en-US"/>
              </w:rPr>
              <w:t>l</w:t>
            </w:r>
          </w:p>
          <w:p w14:paraId="18D6A9DA" w14:textId="77777777" w:rsidR="00EC5CDD" w:rsidRPr="00EC5CDD" w:rsidRDefault="00EC5CDD" w:rsidP="00EC5CDD">
            <w:pPr>
              <w:autoSpaceDE w:val="0"/>
              <w:autoSpaceDN w:val="0"/>
              <w:adjustRightInd w:val="0"/>
              <w:spacing w:line="240" w:lineRule="auto"/>
              <w:ind w:firstLine="0"/>
              <w:contextualSpacing/>
              <w:jc w:val="both"/>
              <w:rPr>
                <w:rFonts w:ascii="Times New Roman" w:eastAsiaTheme="minorHAnsi" w:hAnsi="Times New Roman" w:cs="Times New Roman"/>
                <w:kern w:val="0"/>
                <w:sz w:val="16"/>
                <w:szCs w:val="16"/>
                <w:lang w:eastAsia="en-US"/>
              </w:rPr>
            </w:pPr>
          </w:p>
          <w:p w14:paraId="7E3EC431" w14:textId="77777777" w:rsidR="00EC5CDD" w:rsidRPr="00EC5CDD" w:rsidRDefault="00EC5CDD" w:rsidP="00EC5CDD">
            <w:pPr>
              <w:autoSpaceDE w:val="0"/>
              <w:autoSpaceDN w:val="0"/>
              <w:adjustRightInd w:val="0"/>
              <w:spacing w:line="240" w:lineRule="auto"/>
              <w:ind w:firstLine="0"/>
              <w:contextualSpacing/>
              <w:jc w:val="both"/>
              <w:rPr>
                <w:rFonts w:ascii="Times New Roman" w:eastAsiaTheme="minorHAnsi" w:hAnsi="Times New Roman" w:cs="Times New Roman"/>
                <w:kern w:val="0"/>
                <w:sz w:val="16"/>
                <w:szCs w:val="16"/>
                <w:lang w:eastAsia="en-US"/>
              </w:rPr>
            </w:pPr>
          </w:p>
          <w:p w14:paraId="48F999C1" w14:textId="77777777" w:rsidR="00EC5CDD" w:rsidRPr="00EC5CDD" w:rsidRDefault="00EC5CDD" w:rsidP="00EC5CDD">
            <w:pPr>
              <w:autoSpaceDE w:val="0"/>
              <w:autoSpaceDN w:val="0"/>
              <w:adjustRightInd w:val="0"/>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4</w:t>
            </w:r>
            <w:r w:rsidRPr="00EC5CDD">
              <w:rPr>
                <w:rFonts w:ascii="Times New Roman" w:eastAsiaTheme="minorHAnsi" w:hAnsi="Times New Roman" w:cs="Times New Roman"/>
                <w:kern w:val="0"/>
                <w:sz w:val="16"/>
                <w:szCs w:val="16"/>
                <w:lang w:eastAsia="en-US"/>
              </w:rPr>
              <w:t>The provision of a comprehensively researched and adequate budget provided to the Department of Health and Social Care, Health and Social Care Directorates and so all healthcare needs for that financial year can be met.</w:t>
            </w:r>
          </w:p>
          <w:p w14:paraId="2A8C4C6B" w14:textId="6010633D" w:rsidR="00EC5CDD" w:rsidRPr="00EC5CDD" w:rsidRDefault="00EC5CDD" w:rsidP="00EC5CDD">
            <w:pPr>
              <w:autoSpaceDE w:val="0"/>
              <w:autoSpaceDN w:val="0"/>
              <w:adjustRightInd w:val="0"/>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4</w:t>
            </w:r>
            <w:r w:rsidRPr="00EC5CDD">
              <w:rPr>
                <w:rFonts w:ascii="Times New Roman" w:eastAsiaTheme="minorHAnsi" w:hAnsi="Times New Roman" w:cs="Times New Roman"/>
                <w:kern w:val="0"/>
                <w:sz w:val="16"/>
                <w:szCs w:val="16"/>
                <w:lang w:eastAsia="en-US"/>
              </w:rPr>
              <w:t>Where possible, reduction of in-year funding changes in England so local areas know exactly how much they can spend at the start of the year</w:t>
            </w:r>
            <w:r w:rsidRPr="00EC5CDD">
              <w:rPr>
                <w:rFonts w:ascii="Times New Roman" w:eastAsiaTheme="minorHAnsi" w:hAnsi="Times New Roman" w:cs="Times New Roman"/>
                <w:kern w:val="0"/>
                <w:sz w:val="16"/>
                <w:szCs w:val="16"/>
                <w:lang w:eastAsia="en-US"/>
              </w:rPr>
              <w:fldChar w:fldCharType="begin"/>
            </w:r>
            <w:r w:rsidR="00904B59">
              <w:rPr>
                <w:rFonts w:ascii="Times New Roman" w:eastAsiaTheme="minorHAnsi" w:hAnsi="Times New Roman" w:cs="Times New Roman"/>
                <w:kern w:val="0"/>
                <w:sz w:val="16"/>
                <w:szCs w:val="16"/>
                <w:lang w:eastAsia="en-US"/>
              </w:rPr>
              <w:instrText xml:space="preserve"> ADDIN ZOTERO_ITEM CSL_CITATION {"citationID":"a18taaqif0q","properties":{"formattedCitation":"(10)","plainCitation":"(10)","noteIndex":0},"citationItems":[{"id":1085,"uris":["http://zotero.org/users/local/N5aToBsA/items/FA7VGWVA"],"itemData":{"id":1085,"type":"report","title":"How funding flows in the NHS","author":[{"literal":"The King's Fund"}],"issued":{"date-parts":[["2020"]]}}}],"schema":"https://github.com/citation-style-language/schema/raw/master/csl-citation.json"} </w:instrText>
            </w:r>
            <w:r w:rsidRPr="00EC5CDD">
              <w:rPr>
                <w:rFonts w:ascii="Times New Roman" w:eastAsiaTheme="minorHAnsi" w:hAnsi="Times New Roman" w:cs="Times New Roman"/>
                <w:kern w:val="0"/>
                <w:sz w:val="16"/>
                <w:szCs w:val="16"/>
                <w:lang w:eastAsia="en-US"/>
              </w:rPr>
              <w:fldChar w:fldCharType="separate"/>
            </w:r>
            <w:r w:rsidR="00904B59" w:rsidRPr="00904B59">
              <w:rPr>
                <w:rFonts w:ascii="Times New Roman" w:hAnsi="Times New Roman" w:cs="Times New Roman"/>
                <w:sz w:val="16"/>
                <w:lang w:eastAsia="en-US"/>
              </w:rPr>
              <w:t>(10)</w:t>
            </w:r>
            <w:r w:rsidRPr="00EC5CDD">
              <w:rPr>
                <w:rFonts w:ascii="Times New Roman" w:eastAsiaTheme="minorHAnsi" w:hAnsi="Times New Roman" w:cs="Times New Roman"/>
                <w:kern w:val="0"/>
                <w:sz w:val="16"/>
                <w:szCs w:val="16"/>
                <w:lang w:eastAsia="en-US"/>
              </w:rPr>
              <w:fldChar w:fldCharType="end"/>
            </w:r>
            <w:r w:rsidRPr="00EC5CDD">
              <w:rPr>
                <w:rFonts w:ascii="Times New Roman" w:eastAsiaTheme="minorHAnsi" w:hAnsi="Times New Roman" w:cs="Times New Roman"/>
                <w:kern w:val="0"/>
                <w:sz w:val="16"/>
                <w:szCs w:val="16"/>
                <w:lang w:eastAsia="en-US"/>
              </w:rPr>
              <w:t>.</w:t>
            </w:r>
          </w:p>
          <w:p w14:paraId="635C6D66" w14:textId="77777777" w:rsidR="00EC5CDD" w:rsidRPr="00EC5CDD" w:rsidRDefault="00EC5CDD" w:rsidP="00EC5CDD">
            <w:pPr>
              <w:autoSpaceDE w:val="0"/>
              <w:autoSpaceDN w:val="0"/>
              <w:adjustRightInd w:val="0"/>
              <w:spacing w:line="240" w:lineRule="auto"/>
              <w:ind w:firstLine="0"/>
              <w:contextualSpacing/>
              <w:jc w:val="both"/>
              <w:rPr>
                <w:rFonts w:ascii="Times New Roman" w:eastAsiaTheme="minorHAnsi" w:hAnsi="Times New Roman" w:cs="Times New Roman"/>
                <w:kern w:val="0"/>
                <w:sz w:val="16"/>
                <w:szCs w:val="16"/>
                <w:lang w:eastAsia="en-US"/>
              </w:rPr>
            </w:pPr>
          </w:p>
        </w:tc>
      </w:tr>
      <w:tr w:rsidR="00EC5CDD" w:rsidRPr="00EC5CDD" w14:paraId="5A3C84BE" w14:textId="77777777" w:rsidTr="006A54BC">
        <w:tc>
          <w:tcPr>
            <w:tcW w:w="613" w:type="pct"/>
            <w:tcBorders>
              <w:top w:val="single" w:sz="4" w:space="0" w:color="auto"/>
              <w:bottom w:val="single" w:sz="4" w:space="0" w:color="auto"/>
            </w:tcBorders>
          </w:tcPr>
          <w:p w14:paraId="3940DB08"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Society</w:t>
            </w:r>
          </w:p>
        </w:tc>
        <w:tc>
          <w:tcPr>
            <w:tcW w:w="2194" w:type="pct"/>
            <w:tcBorders>
              <w:top w:val="single" w:sz="4" w:space="0" w:color="auto"/>
              <w:bottom w:val="single" w:sz="4" w:space="0" w:color="auto"/>
            </w:tcBorders>
          </w:tcPr>
          <w:p w14:paraId="081F8678" w14:textId="77777777" w:rsidR="00EC5CDD" w:rsidRPr="00EC5CDD" w:rsidRDefault="00EC5CDD" w:rsidP="00EC5CDD">
            <w:pPr>
              <w:numPr>
                <w:ilvl w:val="0"/>
                <w:numId w:val="30"/>
              </w:numPr>
              <w:spacing w:line="240" w:lineRule="auto"/>
              <w:ind w:left="1080"/>
              <w:contextualSpacing/>
              <w:jc w:val="both"/>
              <w:rPr>
                <w:rFonts w:ascii="Times New Roman" w:eastAsiaTheme="minorHAnsi"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Less societal stigma related to mental health****</w:t>
            </w:r>
          </w:p>
          <w:p w14:paraId="3C7664CA"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p>
        </w:tc>
        <w:tc>
          <w:tcPr>
            <w:tcW w:w="2193" w:type="pct"/>
            <w:tcBorders>
              <w:top w:val="single" w:sz="4" w:space="0" w:color="auto"/>
              <w:bottom w:val="single" w:sz="4" w:space="0" w:color="auto"/>
            </w:tcBorders>
          </w:tcPr>
          <w:p w14:paraId="25055FE4" w14:textId="77777777" w:rsidR="00EC5CDD" w:rsidRPr="00EC5CDD" w:rsidRDefault="00EC5CDD" w:rsidP="00EC5CDD">
            <w:pPr>
              <w:spacing w:line="240" w:lineRule="auto"/>
              <w:ind w:firstLine="0"/>
              <w:contextualSpacing/>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vertAlign w:val="superscript"/>
                <w:lang w:eastAsia="en-US"/>
              </w:rPr>
              <w:t>4&amp;7</w:t>
            </w:r>
            <w:r w:rsidRPr="00EC5CDD">
              <w:rPr>
                <w:rFonts w:ascii="Times New Roman" w:eastAsiaTheme="minorHAnsi" w:hAnsi="Times New Roman" w:cs="Times New Roman"/>
                <w:kern w:val="0"/>
                <w:sz w:val="16"/>
                <w:szCs w:val="16"/>
                <w:lang w:eastAsia="en-US"/>
              </w:rPr>
              <w:t>NHS Mental Health Campaign focused on stigma reduction</w:t>
            </w:r>
            <w:r w:rsidRPr="00EC5CDD">
              <w:rPr>
                <w:rFonts w:ascii="Times New Roman" w:eastAsiaTheme="minorHAnsi" w:hAnsi="Times New Roman" w:cs="Times New Roman"/>
                <w:kern w:val="0"/>
                <w:sz w:val="16"/>
                <w:szCs w:val="16"/>
                <w:vertAlign w:val="superscript"/>
                <w:lang w:eastAsia="en-US"/>
              </w:rPr>
              <w:t>m</w:t>
            </w:r>
          </w:p>
        </w:tc>
      </w:tr>
    </w:tbl>
    <w:p w14:paraId="5EBD61D6" w14:textId="77777777" w:rsidR="00EC5CDD" w:rsidRPr="00EC5CDD" w:rsidRDefault="00EC5CDD" w:rsidP="00EC5CDD">
      <w:pPr>
        <w:spacing w:after="160" w:line="259" w:lineRule="auto"/>
        <w:ind w:firstLine="0"/>
        <w:jc w:val="both"/>
        <w:rPr>
          <w:rFonts w:ascii="Times New Roman" w:eastAsiaTheme="minorHAnsi" w:hAnsi="Times New Roman" w:cs="Times New Roman"/>
          <w:kern w:val="0"/>
          <w:sz w:val="16"/>
          <w:szCs w:val="16"/>
          <w:lang w:eastAsia="en-US"/>
        </w:rPr>
      </w:pPr>
      <w:r w:rsidRPr="00EC5CDD">
        <w:rPr>
          <w:rFonts w:ascii="Times New Roman" w:eastAsiaTheme="minorHAnsi" w:hAnsi="Times New Roman" w:cs="Times New Roman"/>
          <w:kern w:val="0"/>
          <w:sz w:val="16"/>
          <w:szCs w:val="16"/>
          <w:lang w:eastAsia="en-US"/>
        </w:rPr>
        <w:t xml:space="preserve">Note. **** = high confidence with evidence; *** = moderate confidence with evidence; ** = low confidence with evidence; * = very low confidence with evidence (based on </w:t>
      </w:r>
      <w:r w:rsidRPr="00EC5CDD">
        <w:rPr>
          <w:rFonts w:ascii="Times New Roman" w:eastAsiaTheme="minorHAnsi" w:hAnsi="Times New Roman" w:cs="Times New Roman"/>
          <w:kern w:val="0"/>
          <w:sz w:val="22"/>
          <w:szCs w:val="22"/>
          <w:lang w:eastAsia="en-US"/>
        </w:rPr>
        <w:t>CERQUAL Ratings</w:t>
      </w:r>
      <w:r w:rsidRPr="00EC5CDD">
        <w:rPr>
          <w:rFonts w:ascii="Times New Roman" w:eastAsiaTheme="minorHAnsi" w:hAnsi="Times New Roman" w:cs="Times New Roman"/>
          <w:kern w:val="0"/>
          <w:sz w:val="16"/>
          <w:szCs w:val="16"/>
          <w:lang w:eastAsia="en-US"/>
        </w:rPr>
        <w:t>)</w:t>
      </w:r>
    </w:p>
    <w:p w14:paraId="225F2F67" w14:textId="77777777" w:rsidR="00EC5CDD" w:rsidRPr="00EC5CDD" w:rsidRDefault="00EC5CDD" w:rsidP="00EC5CDD">
      <w:pPr>
        <w:keepNext/>
        <w:keepLines/>
        <w:numPr>
          <w:ilvl w:val="0"/>
          <w:numId w:val="29"/>
        </w:numPr>
        <w:spacing w:before="240" w:after="160" w:line="240" w:lineRule="auto"/>
        <w:ind w:right="-472"/>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lastRenderedPageBreak/>
        <w:t>Recommended development by third party organisations in collaboration with NIHR Applied Research Collaboration (ARC) PMH Themes Perinatal Mental Health Network Scotland National Managed Clinical Network, and Royal Colleges</w:t>
      </w:r>
    </w:p>
    <w:p w14:paraId="38AA4208" w14:textId="77777777" w:rsidR="00EC5CDD" w:rsidRPr="00EC5CDD" w:rsidRDefault="00EC5CDD" w:rsidP="00EC5CDD">
      <w:pPr>
        <w:keepNext/>
        <w:keepLines/>
        <w:numPr>
          <w:ilvl w:val="0"/>
          <w:numId w:val="29"/>
        </w:numPr>
        <w:spacing w:before="240" w:after="160" w:line="240" w:lineRule="auto"/>
        <w:ind w:right="-472"/>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Recommended development by service managers</w:t>
      </w:r>
    </w:p>
    <w:p w14:paraId="76B40EE9" w14:textId="77777777" w:rsidR="00EC5CDD" w:rsidRPr="00EC5CDD" w:rsidRDefault="00EC5CDD" w:rsidP="00EC5CDD">
      <w:pPr>
        <w:keepNext/>
        <w:keepLines/>
        <w:numPr>
          <w:ilvl w:val="0"/>
          <w:numId w:val="29"/>
        </w:numPr>
        <w:spacing w:before="240" w:after="160" w:line="240" w:lineRule="auto"/>
        <w:ind w:right="-472"/>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Recommended </w:t>
      </w:r>
      <w:r w:rsidRPr="00EC5CDD">
        <w:rPr>
          <w:rFonts w:ascii="Times New Roman" w:eastAsiaTheme="majorEastAsia" w:hAnsi="Times New Roman" w:cs="Times New Roman"/>
          <w:i/>
          <w:iCs/>
          <w:kern w:val="0"/>
          <w:sz w:val="16"/>
          <w:szCs w:val="16"/>
          <w:lang w:eastAsia="en-US"/>
        </w:rPr>
        <w:t>financial support</w:t>
      </w:r>
      <w:r w:rsidRPr="00EC5CDD">
        <w:rPr>
          <w:rFonts w:ascii="Times New Roman" w:eastAsiaTheme="majorEastAsia" w:hAnsi="Times New Roman" w:cs="Times New Roman"/>
          <w:kern w:val="0"/>
          <w:sz w:val="16"/>
          <w:szCs w:val="16"/>
          <w:lang w:eastAsia="en-US"/>
        </w:rPr>
        <w:t xml:space="preserve"> from commissioners</w:t>
      </w:r>
    </w:p>
    <w:p w14:paraId="74ACF0F6" w14:textId="77777777" w:rsidR="00EC5CDD" w:rsidRPr="00EC5CDD" w:rsidRDefault="00EC5CDD" w:rsidP="00EC5CDD">
      <w:pPr>
        <w:keepNext/>
        <w:keepLines/>
        <w:numPr>
          <w:ilvl w:val="0"/>
          <w:numId w:val="29"/>
        </w:numPr>
        <w:spacing w:before="240" w:after="160" w:line="240" w:lineRule="auto"/>
        <w:ind w:right="-472"/>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Recommended policy for government </w:t>
      </w:r>
    </w:p>
    <w:p w14:paraId="29A4F1FF" w14:textId="77777777" w:rsidR="00EC5CDD" w:rsidRPr="00EC5CDD" w:rsidRDefault="00EC5CDD" w:rsidP="00EC5CDD">
      <w:pPr>
        <w:keepNext/>
        <w:keepLines/>
        <w:numPr>
          <w:ilvl w:val="0"/>
          <w:numId w:val="29"/>
        </w:numPr>
        <w:spacing w:before="240" w:after="160" w:line="240" w:lineRule="auto"/>
        <w:ind w:right="-472"/>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Recommendation for HP</w:t>
      </w:r>
    </w:p>
    <w:p w14:paraId="612DA989" w14:textId="4DBD49F6" w:rsidR="00EC5CDD" w:rsidRPr="00877DA8" w:rsidRDefault="00EC5CDD" w:rsidP="00EC5CDD">
      <w:pPr>
        <w:keepNext/>
        <w:keepLines/>
        <w:numPr>
          <w:ilvl w:val="0"/>
          <w:numId w:val="29"/>
        </w:numPr>
        <w:spacing w:before="240" w:after="160" w:line="240" w:lineRule="auto"/>
        <w:ind w:right="-472"/>
        <w:contextualSpacing/>
        <w:jc w:val="both"/>
        <w:outlineLvl w:val="0"/>
        <w:rPr>
          <w:rFonts w:ascii="Times New Roman" w:eastAsiaTheme="majorEastAsia" w:hAnsi="Times New Roman" w:cs="Times New Roman"/>
          <w:kern w:val="0"/>
          <w:sz w:val="16"/>
          <w:szCs w:val="16"/>
          <w:lang w:eastAsia="en-US"/>
        </w:rPr>
      </w:pPr>
      <w:r w:rsidRPr="00EC5CDD">
        <w:rPr>
          <w:rFonts w:ascii="Times New Roman" w:eastAsiaTheme="majorEastAsia" w:hAnsi="Times New Roman" w:cs="Times New Roman"/>
          <w:kern w:val="0"/>
          <w:sz w:val="16"/>
          <w:szCs w:val="16"/>
          <w:lang w:eastAsia="en-US"/>
        </w:rPr>
        <w:t xml:space="preserve">Recommendation for commissioners </w:t>
      </w:r>
    </w:p>
    <w:p w14:paraId="6199F8A3" w14:textId="2E59D94B" w:rsidR="003D11E6" w:rsidRPr="00877DA8" w:rsidRDefault="00EC5CDD" w:rsidP="00EC5CDD">
      <w:pPr>
        <w:keepNext/>
        <w:keepLines/>
        <w:numPr>
          <w:ilvl w:val="0"/>
          <w:numId w:val="29"/>
        </w:numPr>
        <w:spacing w:before="240" w:after="160" w:line="240" w:lineRule="auto"/>
        <w:ind w:right="-472"/>
        <w:contextualSpacing/>
        <w:jc w:val="both"/>
        <w:outlineLvl w:val="0"/>
        <w:rPr>
          <w:rFonts w:ascii="Times New Roman" w:eastAsiaTheme="majorEastAsia" w:hAnsi="Times New Roman" w:cs="Times New Roman"/>
          <w:kern w:val="0"/>
          <w:sz w:val="16"/>
          <w:szCs w:val="16"/>
          <w:lang w:eastAsia="en-US"/>
        </w:rPr>
      </w:pPr>
      <w:r w:rsidRPr="00877DA8">
        <w:rPr>
          <w:rFonts w:ascii="Times New Roman" w:eastAsiaTheme="minorHAnsi" w:hAnsi="Times New Roman" w:cs="Times New Roman"/>
          <w:kern w:val="0"/>
          <w:sz w:val="16"/>
          <w:szCs w:val="16"/>
          <w:lang w:eastAsia="en-US"/>
        </w:rPr>
        <w:t>Recommendation for NHS England</w:t>
      </w:r>
    </w:p>
    <w:p w14:paraId="4DFF128F" w14:textId="71CB51C8" w:rsidR="00BD1F68" w:rsidRPr="00877DA8" w:rsidRDefault="00877DA8" w:rsidP="00BD1F68">
      <w:pPr>
        <w:keepNext/>
        <w:keepLines/>
        <w:spacing w:before="240" w:after="160" w:line="240" w:lineRule="auto"/>
        <w:ind w:right="-472" w:firstLine="0"/>
        <w:contextualSpacing/>
        <w:jc w:val="both"/>
        <w:outlineLvl w:val="0"/>
        <w:rPr>
          <w:rFonts w:ascii="Times New Roman" w:eastAsiaTheme="minorHAnsi" w:hAnsi="Times New Roman" w:cs="Times New Roman"/>
          <w:kern w:val="0"/>
          <w:sz w:val="16"/>
          <w:szCs w:val="16"/>
          <w:lang w:eastAsia="en-US"/>
        </w:rPr>
      </w:pPr>
      <w:r>
        <w:rPr>
          <w:rFonts w:ascii="Times New Roman" w:eastAsiaTheme="majorEastAsia" w:hAnsi="Times New Roman" w:cs="Times New Roman"/>
          <w:noProof/>
          <w:kern w:val="0"/>
          <w:sz w:val="16"/>
          <w:szCs w:val="16"/>
          <w:lang w:eastAsia="en-US"/>
        </w:rPr>
        <mc:AlternateContent>
          <mc:Choice Requires="wps">
            <w:drawing>
              <wp:anchor distT="0" distB="0" distL="114300" distR="114300" simplePos="0" relativeHeight="251660288" behindDoc="0" locked="0" layoutInCell="1" allowOverlap="1" wp14:anchorId="2E889984" wp14:editId="200D69AF">
                <wp:simplePos x="0" y="0"/>
                <wp:positionH relativeFrom="margin">
                  <wp:align>center</wp:align>
                </wp:positionH>
                <wp:positionV relativeFrom="paragraph">
                  <wp:posOffset>78105</wp:posOffset>
                </wp:positionV>
                <wp:extent cx="9469755" cy="4091940"/>
                <wp:effectExtent l="0" t="0" r="17145" b="22860"/>
                <wp:wrapNone/>
                <wp:docPr id="8" name="Rectangle 8"/>
                <wp:cNvGraphicFramePr/>
                <a:graphic xmlns:a="http://schemas.openxmlformats.org/drawingml/2006/main">
                  <a:graphicData uri="http://schemas.microsoft.com/office/word/2010/wordprocessingShape">
                    <wps:wsp>
                      <wps:cNvSpPr/>
                      <wps:spPr>
                        <a:xfrm>
                          <a:off x="0" y="0"/>
                          <a:ext cx="9469755" cy="4091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8F000" id="Rectangle 8" o:spid="_x0000_s1026" style="position:absolute;margin-left:0;margin-top:6.15pt;width:745.65pt;height:322.2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RZQIAAB8FAAAOAAAAZHJzL2Uyb0RvYy54bWysVFFv2yAQfp+0/4B4X+xESbtEdaqoVaZJ&#10;URutnfpMMdSWMMcOEif79Tuw41RttYdpfsAHd/cdfHzH1fWhMWyv0NdgCz4e5ZwpK6Gs7UvBfz6u&#10;v3zlzAdhS2HAqoIflefXy8+frlq3UBOowJQKGYFYv2hdwasQ3CLLvKxUI/wInLLk1ICNCDTFl6xE&#10;0RJ6Y7JJnl9kLWDpEKTynlZvOydfJnytlQz3WnsVmCk47S2kEdP4HMdseSUWLyhcVct+G+IfdtGI&#10;2lLRAepWBMF2WL+DamqJ4EGHkYQmA61rqdIZ6DTj/M1pHirhVDoLkePdQJP/f7Dybv/gtkg0tM4v&#10;PJnxFAeNTfzT/tghkXUcyFKHwCQtzqcX88vZjDNJvmk+H8+nic7snO7Qh28KGhaNgiPdRiJJ7Dc+&#10;UEkKPYXEahbWtTFx/byXZIWjUTHA2B9Ks7qk6pMElGSibgyyvaALFlIqG8adqxKl6pZnOX3xpqne&#10;kJFmCTAiayo8YPcAUYLvsTuYPj6mqqSyITn/28a65CEjVQYbhuSmtoAfARg6VV+5iz+R1FETWXqG&#10;8rhFhtBp3Du5ron2jfBhK5BETfKnRg33NGgDbcGhtzirAH9/tB7jSWvk5aylJim4/7UTqDgz3y2p&#10;cD6e0qWzkCbT2eWEJvja8/zaY3fNDdA1jelJcDKZMT6Yk6kRmifq51WsSi5hJdUuuAx4mtyErnnp&#10;RZBqtUph1ElOhI19cDKCR1ajrB4PTwJdr71Asr2DU0OJxRsJdrEx08JqF0DXSZ9nXnu+qQuTcPoX&#10;I7b563mKOr9ryz8AAAD//wMAUEsDBBQABgAIAAAAIQCWhbLT4AAAAAgBAAAPAAAAZHJzL2Rvd25y&#10;ZXYueG1sTI9BS8NAEIXvgv9hGcGb3aTaWGM2JRUEsSA0LaK3bXaaBLOzMbtt4793etLbzLzHm+9l&#10;i9F24oiDbx0piCcRCKTKmZZqBdvN880chA+ajO4coYIf9LDILy8ynRp3ojUey1ALDiGfagVNCH0q&#10;pa8atNpPXI/E2t4NVgdeh1qaQZ843HZyGkWJtLol/tDoHp8arL7Kg1Xwvp7tcblMtvLts/gu4vJl&#10;XL1+KHV9NRaPIAKO4c8MZ3xGh5yZdu5AxotOARcJfJ3egjirdw8xTzsFySy5B5ln8n+B/BcAAP//&#10;AwBQSwECLQAUAAYACAAAACEAtoM4kv4AAADhAQAAEwAAAAAAAAAAAAAAAAAAAAAAW0NvbnRlbnRf&#10;VHlwZXNdLnhtbFBLAQItABQABgAIAAAAIQA4/SH/1gAAAJQBAAALAAAAAAAAAAAAAAAAAC8BAABf&#10;cmVscy8ucmVsc1BLAQItABQABgAIAAAAIQB6/7RRZQIAAB8FAAAOAAAAAAAAAAAAAAAAAC4CAABk&#10;cnMvZTJvRG9jLnhtbFBLAQItABQABgAIAAAAIQCWhbLT4AAAAAgBAAAPAAAAAAAAAAAAAAAAAL8E&#10;AABkcnMvZG93bnJldi54bWxQSwUGAAAAAAQABADzAAAAzAUAAAAA&#10;" filled="f" strokecolor="#1f3763 [1604]" strokeweight="1pt">
                <w10:wrap anchorx="margin"/>
              </v:rect>
            </w:pict>
          </mc:Fallback>
        </mc:AlternateContent>
      </w:r>
    </w:p>
    <w:p w14:paraId="72942B59" w14:textId="4D0609A8" w:rsidR="00BD1F68" w:rsidRPr="00877DA8" w:rsidRDefault="00BD1F68" w:rsidP="00BD1F68">
      <w:pPr>
        <w:keepNext/>
        <w:keepLines/>
        <w:spacing w:before="240" w:after="160" w:line="240" w:lineRule="auto"/>
        <w:ind w:right="-472" w:firstLine="0"/>
        <w:contextualSpacing/>
        <w:jc w:val="both"/>
        <w:outlineLvl w:val="0"/>
        <w:rPr>
          <w:rFonts w:ascii="Times New Roman" w:eastAsiaTheme="minorHAnsi" w:hAnsi="Times New Roman" w:cs="Times New Roman"/>
          <w:b/>
          <w:bCs/>
          <w:kern w:val="0"/>
          <w:sz w:val="16"/>
          <w:szCs w:val="16"/>
          <w:lang w:eastAsia="en-US"/>
        </w:rPr>
      </w:pPr>
      <w:r w:rsidRPr="00877DA8">
        <w:rPr>
          <w:rFonts w:ascii="Times New Roman" w:eastAsiaTheme="minorHAnsi" w:hAnsi="Times New Roman" w:cs="Times New Roman"/>
          <w:b/>
          <w:bCs/>
          <w:kern w:val="0"/>
          <w:sz w:val="16"/>
          <w:szCs w:val="16"/>
          <w:lang w:eastAsia="en-US"/>
        </w:rPr>
        <w:t>Further information related to</w:t>
      </w:r>
      <w:r w:rsidR="00877DA8" w:rsidRPr="00877DA8">
        <w:rPr>
          <w:rFonts w:ascii="Times New Roman" w:eastAsiaTheme="minorHAnsi" w:hAnsi="Times New Roman" w:cs="Times New Roman"/>
          <w:b/>
          <w:bCs/>
          <w:kern w:val="0"/>
          <w:sz w:val="16"/>
          <w:szCs w:val="16"/>
          <w:lang w:eastAsia="en-US"/>
        </w:rPr>
        <w:t xml:space="preserve"> recommendations in Supplementary Materials 12</w:t>
      </w:r>
    </w:p>
    <w:p w14:paraId="7468F707" w14:textId="7BA21899"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The Greater Manchester Perinatal Parent Infant Mental Health Model of care works within an integrated system, making sure all services work together, preventing silo style working</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{"citationID":"a19ta8o6t9l","properties":{"formattedCitation":"(11)","plainCitation":"(11)","noteIndex":0},"citationItems":[{"id":1124,"uris":["http://zotero.org/users/local/N5aToBsA/items/HP6J7J5L"],"itemData":{"id":1124,"type":"report","title":"Greater Manchester Perinatal and Parent Infant Mental Health Service: Championing 1001 Critical Days","author":[{"literal":"Greater Manchester Combined Authority"}],"issued":{"date-parts":[["2020"]]}}}],"schema":"https://github.com/citation-style-language/schema/raw/master/csl-citation.json"}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(11)</w:t>
      </w:r>
      <w:r w:rsidRPr="00877DA8">
        <w:rPr>
          <w:rFonts w:ascii="Times New Roman" w:hAnsi="Times New Roman" w:cs="Times New Roman"/>
          <w:sz w:val="16"/>
          <w:szCs w:val="16"/>
        </w:rPr>
        <w:fldChar w:fldCharType="end"/>
      </w:r>
    </w:p>
    <w:p w14:paraId="79D9B0AA" w14:textId="1D5953AD"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ACACIA Family support provide pre and postnatal depression support services. They have translated patient information into multiple languages (Arabic, Bengali, Chinese, French, Hindu, Polish, Punjabi, Romanian, Samoan &amp; Urdu)</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{"citationID":"a2h5vsfogs4","properties":{"formattedCitation":"(12)","plainCitation":"(12)","noteIndex":0},"citationItems":[{"id":1082,"uris":["http://zotero.org/users/local/N5aToBsA/items/PPM646ET"],"itemData":{"id":1082,"type":"webpage","container-title":"Pre and postnatal depression support services","title":"Help for Black, Asian and Minority Ethnic Mums / Dads and People of Colour","URL":"https://www.acacia.org.uk/bame/mums-dads/#","author":[{"literal":"ACACIA Family Support"}],"issued":{"date-parts":[["2021"]]}}}],"schema":"https://github.com/citation-style-language/schema/raw/master/csl-citation.json"}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(12)</w:t>
      </w:r>
      <w:r w:rsidRPr="00877DA8">
        <w:rPr>
          <w:rFonts w:ascii="Times New Roman" w:hAnsi="Times New Roman" w:cs="Times New Roman"/>
          <w:sz w:val="16"/>
          <w:szCs w:val="16"/>
        </w:rPr>
        <w:fldChar w:fldCharType="end"/>
      </w:r>
    </w:p>
    <w:p w14:paraId="2F5B63F8" w14:textId="4EB38452"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The Tower Team based in the Tower Hamlets, London is a high-risk caseload midwifery team that works closely with the perinatal mental health team and the consultant obstetrician for mental health at St. Thomas’ hospital. The Tower Team offers continuity of care for women with severe mental illness from their maternity booking appointment, throughout pregnancy, intrapartum and for up to 28 days postpartum</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{"citationID":"ac42addiqv","properties":{"formattedCitation":"(13)","plainCitation":"(13)","noteIndex":0},"citationItems":[{"id":1078,"uris":["http://zotero.org/users/local/N5aToBsA/items/32Z4JX7Y"],"itemData":{"id":1078,"type":"report","title":"Perinatal mental health services for London: Guide for commissioners","author":[{"literal":"NHS London Clinical Networks"}],"issued":{"date-parts":[["2017"]]}}}],"schema":"https://github.com/citation-style-language/schema/raw/master/csl-citation.json"}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(13)</w:t>
      </w:r>
      <w:r w:rsidRPr="00877DA8">
        <w:rPr>
          <w:rFonts w:ascii="Times New Roman" w:hAnsi="Times New Roman" w:cs="Times New Roman"/>
          <w:sz w:val="16"/>
          <w:szCs w:val="16"/>
        </w:rPr>
        <w:fldChar w:fldCharType="end"/>
      </w:r>
    </w:p>
    <w:p w14:paraId="6016DE75" w14:textId="77777777"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Perinatal Mental Health Service at South West London and St Georges Mental Health NHS Trust;</w:t>
      </w:r>
    </w:p>
    <w:p w14:paraId="686125A3" w14:textId="77777777"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Brighton and Sussex University Hospitals NHS Trust provide Perinatal Mental Health Simulation Training on the identification and management of common perinatal mental health problems using actors and ‘real-life’ settings.</w:t>
      </w:r>
    </w:p>
    <w:p w14:paraId="71EDD712" w14:textId="40E16BFF"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The Motherhood Group provide training related to engaging with Black women</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{"citationID":"a10rog4kqg7","properties":{"formattedCitation":"(14)","plainCitation":"(14)","noteIndex":0},"citationItems":[{"id":1084,"uris":["http://zotero.org/users/local/N5aToBsA/items/JUUDN7UH"],"itemData":{"id":1084,"type":"webpage","title":"Understanding Diverse Motherhood: Workshop &amp; Training","URL":"https://www.themotherhoodgroup.com/bmmhwstakeholdertoolkit","author":[{"literal":"The Motherhood Group"}],"issued":{"date-parts":[["2021"]]}}}],"schema":"https://github.com/citation-style-language/schema/raw/master/csl-citation.json"}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(14)</w:t>
      </w:r>
      <w:r w:rsidRPr="00877DA8">
        <w:rPr>
          <w:rFonts w:ascii="Times New Roman" w:hAnsi="Times New Roman" w:cs="Times New Roman"/>
          <w:sz w:val="16"/>
          <w:szCs w:val="16"/>
        </w:rPr>
        <w:fldChar w:fldCharType="end"/>
      </w:r>
    </w:p>
    <w:p w14:paraId="4C60CD37" w14:textId="0D5F1019"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One example of a successful co-produced service is the co-production of perinatal mental health services in Ealing, Hammersmith, Fulham &amp; Hounslow. There was strong engagement with lived experience experts from the start</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{"citationID":"a1pvq41mq43","properties":{"formattedCitation":"(13)","plainCitation":"(13)","noteIndex":0},"citationItems":[{"id":1078,"uris":["http://zotero.org/users/local/N5aToBsA/items/32Z4JX7Y"],"itemData":{"id":1078,"type":"report","title":"Perinatal mental health services for London: Guide for commissioners","author":[{"literal":"NHS London Clinical Networks"}],"issued":{"date-parts":[["2017"]]}}}],"schema":"https://github.com/citation-style-language/schema/raw/master/csl-citation.json"}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(13)</w:t>
      </w:r>
      <w:r w:rsidRPr="00877DA8">
        <w:rPr>
          <w:rFonts w:ascii="Times New Roman" w:hAnsi="Times New Roman" w:cs="Times New Roman"/>
          <w:sz w:val="16"/>
          <w:szCs w:val="16"/>
        </w:rPr>
        <w:fldChar w:fldCharType="end"/>
      </w:r>
    </w:p>
    <w:p w14:paraId="38ADA49A" w14:textId="77777777"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For example, How are you feeling screening tools by Abi Sobowale (Sheffield South West NHS Trust)</w:t>
      </w:r>
    </w:p>
    <w:p w14:paraId="789077D1" w14:textId="69B8F2C1"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A guide for commissioning services is available for London. However, this was published in 2017 and needs updating in line with this conceptual framework</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{"citationID":"aokh1ru65i","properties":{"formattedCitation":"(13)","plainCitation":"(13)","noteIndex":0},"citationItems":[{"id":1078,"uris":["http://zotero.org/users/local/N5aToBsA/items/32Z4JX7Y"],"itemData":{"id":1078,"type":"report","title":"Perinatal mental health services for London: Guide for commissioners","author":[{"literal":"NHS London Clinical Networks"}],"issued":{"date-parts":[["2017"]]}}}],"schema":"https://github.com/citation-style-language/schema/raw/master/csl-citation.json"}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(13)</w:t>
      </w:r>
      <w:r w:rsidRPr="00877DA8">
        <w:rPr>
          <w:rFonts w:ascii="Times New Roman" w:hAnsi="Times New Roman" w:cs="Times New Roman"/>
          <w:sz w:val="16"/>
          <w:szCs w:val="16"/>
        </w:rPr>
        <w:fldChar w:fldCharType="end"/>
      </w:r>
    </w:p>
    <w:p w14:paraId="59517EE4" w14:textId="2BB20DEE"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Despite the NHS being free for UK residents, there are NHS charging regulations in place for those who are not residents of the United Kingdom. NHS charging regulations have a large negative impact on pregnant and postnatal women, in terms of their mental health</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{"citationID":"a5388rev31","properties":{"formattedCitation":"(15)","plainCitation":"(15)","noteIndex":0},"citationItems":[{"id":1080,"uris":["http://zotero.org/users/local/N5aToBsA/items/RGYTEWQZ"],"itemData":{"id":1080,"type":"report","publisher":"Maternity Action","title":"What Price Safe Motherhood? Charging for NHS Maternity Care in England and its Impact on Migrant Women","author":[{"family":"Feldman","given":"Rayah"}],"issued":{"date-parts":[["2018"]]}}}],"schema":"https://github.com/citation-style-language/schema/raw/master/csl-citation.json"}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(15)</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 xml:space="preserve"> – increasing stress and anxiety, their vulnerability to domestic violence</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{"citationID":"a19qj5tvq25","properties":{"formattedCitation":"(16)","plainCitation":"(16)","noteIndex":0},"citationItems":[{"id":1070,"uris":["http://zotero.org/users/local/N5aToBsA/items/6U2XRZ82"],"itemData":{"id":1070,"type":"report","publisher":"Maternity Action","title":"A Vicious Circle: The relationship between NHS Charges for Maternity Care, Destitution, and Violence Against Women and Girls","author":[{"family":"Harris","given":"Scarlet"},{"family":"Hardwick","given":"Johanna"}],"issued":{"date-parts":[["2019"]]}}}],"schema":"https://github.com/citation-style-language/schema/raw/master/csl-citation.json"}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(16)</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 xml:space="preserve"> and maternal deaths that may have been prevented through access to antenatal care</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{"citationID":"a22rdb0h76g","properties":{"formattedCitation":"(17,18)","plainCitation":"(17,18)","noteIndex":0},"citationItems":[{"id":1076,"uris":["http://zotero.org/users/local/N5aToBsA/items/BXKQRTWB"],"itemData":{"id":1076,"type":"report","publisher":"Equality and Human Rights Commission","title":"Access to healthcare for people seeking and refused asylum in Great Britain: A review of evidence","author":[{"family":"Nullums","given":"Laura B"},{"family":"Rustage","given":"Kieran"},{"family":"Hargreaves","given":"Sally"},{"family":"Friedland","given":"Jon S"},{"family":"Miller","given":"Anna"},{"family":"Hiam","given":"Lucinda"}],"issued":{"date-parts":[["2018"]]}}},{"id":1068,"uris":["http://zotero.org/users/local/N5aToBsA/items/2CHWNBNE"],"itemData":{"id":1068,"type":"report","page":"28","publisher":"MBRRACE-UK","title":"Saving Lives, Improving Mothers’ Care – Lessons Learned to Inform Maternity Care from the UK and Ireland Confidential Enquiries into Maternal Deaths and Morbidity 2015-17","author":[{"family":"Knight","given":"Marian"},{"family":"Bunch","given":"Kathryn"},{"family":"Tuffnell","given":"Derek"},{"family":"Shakespeare","given":"Judy"},{"family":"Kotnis","given":"Rohit"},{"family":"Kenyon","given":"Sara"},{"family":"Kurinczuk","given":"Jennifer J"}],"issued":{"date-parts":[["2019"]]}}}],"schema":"https://github.com/citation-style-language/schema/raw/master/csl-citation.json"}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(17,18)</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 Furthermore, Public Health England has identified NHS charging for maternity care as one of the key issues that exacerbates poorer health outcomes for women and babies of colour</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{"citationID":"a2ebcfeuo0h","properties":{"formattedCitation":"(19)","plainCitation":"(19)","noteIndex":0},"citationItems":[{"id":1072,"uris":["http://zotero.org/users/local/N5aToBsA/items/QQDSEWBC"],"itemData":{"id":1072,"type":"report","title":"Maternity high impact area: Reducing the inequality of outcomes for women from Black, Asian and Minority Ethnic (BAME) communities and their babies","author":[{"literal":"Public Health England"}],"issued":{"date-parts":[["2020"]]}}}],"schema":"https://github.com/citation-style-language/schema/raw/master/csl-citation.json"}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(19)</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w:t>
      </w:r>
    </w:p>
    <w:p w14:paraId="267DD54F" w14:textId="03EF9E97" w:rsidR="00BD1F68" w:rsidRPr="00877DA8" w:rsidRDefault="00BD1F68" w:rsidP="00BD1F68">
      <w:pPr>
        <w:pStyle w:val="ListParagraph"/>
        <w:keepNext/>
        <w:keepLines/>
        <w:numPr>
          <w:ilvl w:val="0"/>
          <w:numId w:val="35"/>
        </w:numPr>
        <w:autoSpaceDE w:val="0"/>
        <w:autoSpaceDN w:val="0"/>
        <w:adjustRightInd w:val="0"/>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This recommendation is in line with: (a) a joint statement set out by the Royal College of Physicians, the Royal College of Paediatrics and Child Health, the Royal College of Obstetricians and Gynaecologists and the Faculty of Public Health in 2018, calling for a suspension of NHS Charging</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{"citationID":"a1q6d99agl7","properties":{"formattedCitation":"(20)","plainCitation":"(20)","noteIndex":0},"citationItems":[{"id":1067,"uris":["http://zotero.org/users/local/N5aToBsA/items/U6EM7IVJ"],"itemData":{"id":1067,"type":"document","publisher":"Royal College of Physicians","title":"Royal colleges support suspension of NHS overseas visitor charges pending review","URL":"https://www.rcplondon.ac.uk/news/royal-colleges-support-suspension-nhs-overseas-visitor-charges-pending-review","author":[{"literal":"Royal Colleges"}],"issued":{"date-parts":[["2018"]]}}}],"schema":"https://github.com/citation-style-language/schema/raw/master/csl-citation.json"}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(20)</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 (b) a statement from the Academy of Medical Royal Colleges in 2019 released a statement calling for the suspension of the NHS charging regulations until a full independent review on individual and public health is carried out</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{"citationID":"a1v3bh6d2rn","properties":{"formattedCitation":"(21)","plainCitation":"(21)","noteIndex":0},"citationItems":[{"id":1065,"uris":["http://zotero.org/users/local/N5aToBsA/items/T8BI2T6Y"],"itemData":{"id":1065,"type":"document","title":"NHS charges to overseas visitors regulations: A statement from the Academy of Medical Royal Colleges","author":[{"literal":"Academy of Medical Royal Colleges"}],"issued":{"date-parts":[["2019"]]}}}],"schema":"https://github.com/citation-style-language/schema/raw/master/csl-citation.json"}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(21)</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 (c) a statement from the Royal College of Paediatrics and Child Health calling for an end to NHS charging due to its adverse effects on child health and wider public health</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{"citationID":"a33rtfbn8u","properties":{"formattedCitation":"(22)","plainCitation":"(22)","noteIndex":0},"citationItems":[{"id":1089,"uris":["http://zotero.org/users/local/N5aToBsA/items/PQ8F2B63"],"itemData":{"id":1089,"type":"document","title":"Access to healthcare for migrant and undocumented children - position statement","author":[{"literal":"Royal College of Paediatrics and Child Health"}],"issued":{"date-parts":[["2021"]]}}}],"schema":"https://github.com/citation-style-language/schema/raw/master/csl-citation.json"}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(22)</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 (d) a report from Maternity Action calling for the immediate suspension of charging for NHS maternity care given the deterrent effect on women’s access to maternity care</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{"citationID":"a1oi9f03079","properties":{"formattedCitation":"(23)","plainCitation":"(23)","noteIndex":0},"citationItems":[{"id":1091,"uris":["http://zotero.org/users/local/N5aToBsA/items/J7FX9YD3"],"itemData":{"id":1091,"type":"report","title":"Breach of Trust: A review of implementation of the NHS charging programme in maternity services in England","author":[{"literal":"Maternity Action"}],"issued":{"date-parts":[["2021"]]}}}],"schema":"https://github.com/citation-style-language/schema/raw/master/csl-citation.json"}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rPr>
        <w:t>(23)</w:t>
      </w:r>
      <w:r w:rsidRPr="00877DA8">
        <w:rPr>
          <w:rFonts w:ascii="Times New Roman" w:hAnsi="Times New Roman" w:cs="Times New Roman"/>
          <w:sz w:val="16"/>
          <w:szCs w:val="16"/>
        </w:rPr>
        <w:fldChar w:fldCharType="end"/>
      </w:r>
      <w:r w:rsidRPr="00877DA8">
        <w:rPr>
          <w:rFonts w:ascii="Times New Roman" w:hAnsi="Times New Roman" w:cs="Times New Roman"/>
          <w:sz w:val="16"/>
          <w:szCs w:val="16"/>
        </w:rPr>
        <w:t>.</w:t>
      </w:r>
    </w:p>
    <w:p w14:paraId="446D016E" w14:textId="77777777" w:rsidR="00BD1F68" w:rsidRPr="00877DA8" w:rsidRDefault="00BD1F68" w:rsidP="00BD1F68">
      <w:pPr>
        <w:pStyle w:val="FootnoteText"/>
        <w:numPr>
          <w:ilvl w:val="0"/>
          <w:numId w:val="35"/>
        </w:numPr>
        <w:ind w:left="714" w:hanging="357"/>
        <w:rPr>
          <w:rFonts w:ascii="Times New Roman" w:eastAsia="Times New Roman" w:hAnsi="Times New Roman" w:cs="Times New Roman"/>
          <w:sz w:val="16"/>
          <w:szCs w:val="16"/>
          <w:lang w:eastAsia="en-GB"/>
        </w:rPr>
      </w:pPr>
      <w:r w:rsidRPr="00877DA8">
        <w:rPr>
          <w:rFonts w:ascii="Times New Roman" w:hAnsi="Times New Roman" w:cs="Times New Roman"/>
          <w:sz w:val="16"/>
          <w:szCs w:val="16"/>
        </w:rPr>
        <w:t>The UK government, under Article 25 of international human rights law, has a legal obligation to ensure “</w:t>
      </w:r>
      <w:r w:rsidRPr="00877DA8">
        <w:rPr>
          <w:rFonts w:ascii="Times New Roman" w:eastAsia="Times New Roman" w:hAnsi="Times New Roman" w:cs="Times New Roman"/>
          <w:sz w:val="16"/>
          <w:szCs w:val="16"/>
          <w:lang w:eastAsia="en-GB"/>
        </w:rPr>
        <w:t>Everyone has the right to a standard of living adequate for the health and well-being of [them]self and of [their] family, including food, clothing, housing and medical care and necessary social services, and the right to security in the event of unemployment, sickness, disability, widowhood, old age or other lack of livelihood in circumstances beyond [their] control” and to ensure “Motherhood and childhood are entitled to special care and assistance. All children, whether born in or out of wedlock, shall enjoy the same social protection.</w:t>
      </w:r>
    </w:p>
    <w:p w14:paraId="24DCA89D" w14:textId="3D9D91E2"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Based on research suggests public mental health campaigns can increase knowledge about mental illness and improve attitudes about people with mental illness</w:t>
      </w:r>
      <w:r w:rsidRPr="00877DA8">
        <w:rPr>
          <w:rFonts w:ascii="Times New Roman" w:hAnsi="Times New Roman" w:cs="Times New Roman"/>
          <w:sz w:val="16"/>
          <w:szCs w:val="16"/>
        </w:rPr>
        <w:fldChar w:fldCharType="begin"/>
      </w:r>
      <w:r w:rsidR="00904B59">
        <w:rPr>
          <w:rFonts w:ascii="Times New Roman" w:hAnsi="Times New Roman" w:cs="Times New Roman"/>
          <w:sz w:val="16"/>
          <w:szCs w:val="16"/>
        </w:rPr>
        <w:instrText xml:space="preserve"> ADDIN ZOTERO_ITEM CSL_CITATION {"citationID":"ac96lf18ef","properties":{"formattedCitation":"(24\\uc0\\u8211{}27)","plainCitation":"(24–27)","noteIndex":0},"citationItems":[{"id":474,"uris":["http://zotero.org/users/local/N5aToBsA/items/WGD2SXSZ"],"itemData":{"id":474,"type":"article-journal","abstract":"A public campaign was launched in 2000 as part of the four-level community-based intervention 'Nuremberg Alliance Against Depression' (NAD) in Nuremberg, Germany. Evaluation results will be presented. A baseline survey was done before the campaign in Nuremberg and Wuerzburg (control region), two surveys followed 10 and 22 months after the implementation. Multiple regression analyses were performed, with time, place and the interaction of time and location as independent and the corresponding items as dependent variables. For the general population, the campaign was successful in creating awareness for the NAD. For persons who reported experience with depression and persons aware of the NAD, analyses showed positive desirable effects: more awareness of depression and the NAD. In addition, among those aware, more positive attitudes towards medication treatment and antidepressants developed and also 'lack of self-discipline' declined as causal explanation as did the notion 'pull yourself together' as treatment option. The campaign induced relevant changes mainly in persons aware of the NAD and persons who reported to have had experience with depression. The fact that many of the changes in the general population declined in the second year of the campaign, when activities were done with lower intensity, illustrates the need for permanent depression awareness action.","container-title":"Health Education Research","DOI":"10.1093/her/cyp050","ISSN":"02681153","issue":"1","note":"PMID: 19752000","page":"135-150","title":"Impact of a campaign on the public's attitudes towards depression","volume":"25","author":[{"family":"Dietrich","given":"Sandra"},{"family":"Mergl","given":"Roland"},{"family":"Freudenberg","given":"Philine"},{"family":"Althaus","given":"David"},{"family":"Hegerl","given":"Ulrich"}],"issued":{"date-parts":[["2010"]]}}},{"id":444,"uris":["http://zotero.org/users/local/N5aToBsA/items/62GVNQEN"],"itemData":{"id":444,"type":"article-journal","abstract":"Objective: To evaluate whether a campaign to increase public knowledge about depression (beyondblue: the national depression initiative) has influenced the Australian public's ability to recognize depression and their beliefs about treatments. Method: Data from national surveys of mental health literacy in 1995 and 2003-04 were analysed to see if states and territories which funded beyondblue (the high exposure states) had greater change than those that did not (the low exposure states). In both surveys, participants were asked what was wrong with a person in a depression case vignette and to give opinions about the likely helpfulness for this person of a range of treatments. In the 2003-04 survey participants were also asked questions to assess awareness of beyondblue. Results: Awareness of beyondblue in the states that provided funding was found to be around twice the level of those that did not. Using the low-exposure states as a control, the high-exposure states had greater change in beliefs about some treatments, particularly counselling and medication, and about the benefits of help-seeking in general. Recognition of depression improved greatly at a national level, but slightly more so in the high-exposure states. Conclusions: The data are consistent with beyondblue having had a positive effect on some beliefs about depression treatment.","container-title":"Australian and New Zealand Journal of Psychiatry","DOI":"10.1111/j.1440-1614.2005.01561.x","ISSN":"00048674","issue":"4","note":"PMID: 15777361","page":"248-254","title":"The impact of beyondblue: The national depression initiative on the Australian public's recognition of depression and beliefs about treatments","volume":"39","author":[{"family":"Jorm","given":"Anthony F"},{"family":"Christensen","given":"Helen"},{"family":"Griffiths","given":"Kathleen M"}],"issued":{"date-parts":[["2005"]]}}},{"id":466,"uris":["http://zotero.org/users/local/N5aToBsA/items/CEPIK7ZD"],"itemData":{"id":466,"type":"article-journal","abstract":"We examined the impact of a mental health awareness campaign on public attitudes. The campaign was embedded in the project psychenet - Hamburg Network for Mental Health. Beliefs and attitudes were examined before and after specific awareness measures in Hamburg (intervention region) and Munich (control region). Analyses were based on representative surveys (2011: N = 2014; 2014: N = 2006). Vignettes with symptoms suggestive of depression respectively schizophrenia were presented, followed by questions on social distance, beliefs and emotional reactions. Analyses of variance tested variations between regions over time and differences between those aware of the campaign and those not aware. In 2014, 7.3% (n = 74) of the Hamburg respondents were aware of the psychenet campaign. Regarding the total sample, there were minor changes in attitudes. Differentiated according to campaign awareness among Hamburg respondents, those who were aware showed less desire for social distance toward a person with depression. Moreover, respondents aware of the campaign stated less often that a person with schizophrenia is in need of help. The campaign had small impact on attitudes. A substantial change in ingrained attitudes toward persons with mental health problems is difficult to achieve with interventions targeting the general public.","container-title":"Psychiatry Research","DOI":"10.1016/j.psychres.2016.01.029","ISSN":"18727123","note":"PMID: 26805560","page":"271-278","title":"Changes in beliefs and attitudes toward people with depression and schizophrenia - results of a public campaign in Germany","volume":"237","author":[{"family":"Makowski","given":"Anna C"},{"family":"Mnich","given":"Eva E"},{"family":"Ludwig","given":"Julia"},{"family":"Daubmann","given":"Anne"},{"family":"Bock","given":"Thomas"},{"family":"Lambert","given":"Martin"},{"family":"Härter","given":"Martin"},{"family":"Dirmaier","given":"Jörg"},{"family":"Tlach","given":"Lisa"},{"family":"Liebherz","given":"Sarah"},{"family":"Knesebeck","given":"Olaf","non-dropping-particle":"von dem"}],"issued":{"date-parts":[["2016"]]}}},{"id":452,"uris":["http://zotero.org/users/local/N5aToBsA/items/GWA5EZ25"],"itemData":{"id":452,"type":"article-journal","abstract":"Background In England, during 2009–2014 the ‘Time to Change’ anti-stigma programme has included a social marketing campaign (SMC) using mass media channels, social media and social contact events but the efficacy of such approach has not been evaluated yet. Methods The target population included people aged between mid-twenties/mid-forties, from middle-income groups. Participants were recruited through an online market research panel, before and after each burst of the campaign (with a mean number of unique participants per each burst: 956.9 ± 170.2). Participants completed an online questionnaire evaluating knowledge [Mental Health Knowledge Schedule (MAKS)]; attitudes [Community Attitudes toward Mental Illness (CAMI)]; and behaviours [Reported and Intended Behaviour Scale (RIBS)]. Socio-demographic data and level of awareness of the SMC were also collected. Results A total of 10,526 people were interviewed. An increasing usage of the SMC-media channels as well as of the level of awareness of SMC was found (P &lt; 0.001). Being aware of the SMC was found to be associated with higher score at MAKS (OR = 0.95, CI = 0.68 to 1.21; P &lt; 0.001), at ‘tolerance and support’ CAMI subscale (OR = 0.12, CI = 0.09 to 0.16; P &lt; 0.001), and at RIBS (OR = 0.71, CI = 0.51 to 0.92; P &lt; 0.001), controlling for confounders. Conclusion The SMC represents an important way to effectively reduce stigma. Taking into account these positive findings, further population-based campaigns using social media may represent an effective strategy to challenge stigma.","container-title":"European Psychiatry","DOI":"10.1016/j.eurpsy.2016.08.008","ISSN":"17783585","note":"PMID: 27997875","page":"116-122","title":"The impact of social marketing campaigns on reducing mental health stigma: Results from the 2009–2014 Time to Change programme","volume":"40","author":[{"family":"Sampogna","given":"G"},{"family":"Bakolis","given":"I"},{"family":"Evans-Lacko","given":"S"},{"family":"Robinson","given":"E"},{"family":"Thornicroft","given":"Graham"},{"family":"Henderson","given":"Claire"}],"issued":{"date-parts":[["2017"]]}}}],"schema":"https://github.com/citation-style-language/schema/raw/master/csl-citation.json"} </w:instrText>
      </w:r>
      <w:r w:rsidRPr="00877DA8">
        <w:rPr>
          <w:rFonts w:ascii="Times New Roman" w:hAnsi="Times New Roman" w:cs="Times New Roman"/>
          <w:sz w:val="16"/>
          <w:szCs w:val="16"/>
        </w:rPr>
        <w:fldChar w:fldCharType="separate"/>
      </w:r>
      <w:r w:rsidR="00904B59" w:rsidRPr="00904B59">
        <w:rPr>
          <w:rFonts w:ascii="Times New Roman" w:hAnsi="Times New Roman" w:cs="Times New Roman"/>
          <w:sz w:val="16"/>
          <w:szCs w:val="24"/>
        </w:rPr>
        <w:t>(24–27)</w:t>
      </w:r>
      <w:r w:rsidRPr="00877DA8">
        <w:rPr>
          <w:rFonts w:ascii="Times New Roman" w:hAnsi="Times New Roman" w:cs="Times New Roman"/>
          <w:sz w:val="16"/>
          <w:szCs w:val="16"/>
        </w:rPr>
        <w:fldChar w:fldCharType="end"/>
      </w:r>
    </w:p>
    <w:p w14:paraId="403D45BC" w14:textId="77777777" w:rsidR="00BD1F68" w:rsidRPr="00877DA8" w:rsidRDefault="00BD1F68" w:rsidP="00BD1F68">
      <w:pPr>
        <w:pStyle w:val="ListParagraph"/>
        <w:keepNext/>
        <w:keepLines/>
        <w:numPr>
          <w:ilvl w:val="0"/>
          <w:numId w:val="35"/>
        </w:numPr>
        <w:spacing w:after="0" w:line="240" w:lineRule="auto"/>
        <w:ind w:left="714" w:hanging="357"/>
        <w:jc w:val="both"/>
        <w:outlineLvl w:val="0"/>
        <w:rPr>
          <w:rFonts w:ascii="Times New Roman" w:hAnsi="Times New Roman" w:cs="Times New Roman"/>
          <w:sz w:val="16"/>
          <w:szCs w:val="16"/>
        </w:rPr>
      </w:pPr>
      <w:r w:rsidRPr="00877DA8">
        <w:rPr>
          <w:rFonts w:ascii="Times New Roman" w:hAnsi="Times New Roman" w:cs="Times New Roman"/>
          <w:sz w:val="16"/>
          <w:szCs w:val="16"/>
        </w:rPr>
        <w:t>The Future NHS Platform for National Perinatal Mental Health provides examples of pathways &amp; system delivery models: Maternal mental health services-&gt; MMHS Resources-&gt; 3. Pathways &amp; system delivery models</w:t>
      </w:r>
    </w:p>
    <w:p w14:paraId="3FD1F320" w14:textId="77777777" w:rsidR="00BD1F68" w:rsidRPr="00EC5CDD" w:rsidRDefault="00BD1F68" w:rsidP="00BD1F68">
      <w:pPr>
        <w:keepNext/>
        <w:keepLines/>
        <w:spacing w:before="240" w:after="160" w:line="240" w:lineRule="auto"/>
        <w:ind w:right="-472" w:firstLine="0"/>
        <w:contextualSpacing/>
        <w:jc w:val="both"/>
        <w:outlineLvl w:val="0"/>
        <w:rPr>
          <w:rFonts w:ascii="Arial" w:eastAsiaTheme="majorEastAsia" w:hAnsi="Arial" w:cs="Arial"/>
          <w:kern w:val="0"/>
          <w:sz w:val="16"/>
          <w:szCs w:val="16"/>
          <w:lang w:eastAsia="en-US"/>
        </w:rPr>
      </w:pPr>
    </w:p>
    <w:p w14:paraId="2F6970B5" w14:textId="77777777" w:rsidR="00231463" w:rsidRPr="004C0CFC" w:rsidRDefault="00231463" w:rsidP="003D11E6">
      <w:pPr>
        <w:pStyle w:val="ListBullet"/>
        <w:numPr>
          <w:ilvl w:val="0"/>
          <w:numId w:val="0"/>
        </w:numPr>
        <w:spacing w:line="240" w:lineRule="auto"/>
        <w:rPr>
          <w:rFonts w:ascii="Times New Roman" w:hAnsi="Times New Roman" w:cs="Times New Roman"/>
        </w:rPr>
      </w:pPr>
    </w:p>
    <w:p w14:paraId="08FE1F0F" w14:textId="77777777" w:rsidR="00231463" w:rsidRPr="004C0CFC" w:rsidRDefault="00231463" w:rsidP="003D11E6">
      <w:pPr>
        <w:pStyle w:val="ListBullet"/>
        <w:numPr>
          <w:ilvl w:val="0"/>
          <w:numId w:val="0"/>
        </w:numPr>
        <w:spacing w:line="240" w:lineRule="auto"/>
        <w:ind w:left="720"/>
        <w:rPr>
          <w:rFonts w:ascii="Times New Roman" w:hAnsi="Times New Roman" w:cs="Times New Roman"/>
        </w:rPr>
        <w:sectPr w:rsidR="00231463" w:rsidRPr="004C0CFC" w:rsidSect="00D81363">
          <w:footnotePr>
            <w:numFmt w:val="lowerLetter"/>
          </w:footnotePr>
          <w:type w:val="continuous"/>
          <w:pgSz w:w="16838" w:h="11906" w:orient="landscape"/>
          <w:pgMar w:top="1440" w:right="1440" w:bottom="1440" w:left="1440" w:header="708" w:footer="708" w:gutter="0"/>
          <w:cols w:space="708"/>
          <w:docGrid w:linePitch="360"/>
        </w:sectPr>
      </w:pPr>
    </w:p>
    <w:p w14:paraId="07F29960" w14:textId="32472E71" w:rsidR="00E22744" w:rsidRDefault="00E22744" w:rsidP="00E22744">
      <w:pPr>
        <w:pStyle w:val="Heading1"/>
        <w:rPr>
          <w:rFonts w:ascii="Times New Roman" w:hAnsi="Times New Roman" w:cs="Times New Roman"/>
          <w:color w:val="auto"/>
          <w:sz w:val="24"/>
          <w:szCs w:val="24"/>
        </w:rPr>
      </w:pPr>
      <w:bookmarkStart w:id="20" w:name="_Toc108781733"/>
      <w:r>
        <w:rPr>
          <w:rFonts w:ascii="Times New Roman" w:hAnsi="Times New Roman" w:cs="Times New Roman"/>
          <w:i/>
          <w:iCs/>
          <w:color w:val="auto"/>
          <w:sz w:val="24"/>
          <w:szCs w:val="24"/>
        </w:rPr>
        <w:lastRenderedPageBreak/>
        <w:t>Supplementary Materials</w:t>
      </w:r>
      <w:r w:rsidRPr="00265687">
        <w:rPr>
          <w:rFonts w:ascii="Times New Roman" w:hAnsi="Times New Roman" w:cs="Times New Roman"/>
          <w:i/>
          <w:iCs/>
          <w:color w:val="auto"/>
          <w:sz w:val="24"/>
          <w:szCs w:val="24"/>
        </w:rPr>
        <w:t xml:space="preserve"> 1</w:t>
      </w:r>
      <w:r>
        <w:rPr>
          <w:rFonts w:ascii="Times New Roman" w:hAnsi="Times New Roman" w:cs="Times New Roman"/>
          <w:i/>
          <w:iCs/>
          <w:color w:val="auto"/>
          <w:sz w:val="24"/>
          <w:szCs w:val="24"/>
        </w:rPr>
        <w:t>3</w:t>
      </w:r>
      <w:r w:rsidRPr="00265687">
        <w:rPr>
          <w:rFonts w:ascii="Times New Roman" w:hAnsi="Times New Roman" w:cs="Times New Roman"/>
          <w:i/>
          <w:iCs/>
          <w:color w:val="auto"/>
          <w:sz w:val="24"/>
          <w:szCs w:val="24"/>
        </w:rPr>
        <w:t>:</w:t>
      </w:r>
      <w:r>
        <w:rPr>
          <w:rFonts w:ascii="Times New Roman" w:hAnsi="Times New Roman" w:cs="Times New Roman"/>
          <w:i/>
          <w:iCs/>
          <w:color w:val="auto"/>
          <w:sz w:val="24"/>
          <w:szCs w:val="24"/>
        </w:rPr>
        <w:t xml:space="preserve"> </w:t>
      </w:r>
      <w:r>
        <w:rPr>
          <w:rFonts w:ascii="Times New Roman" w:hAnsi="Times New Roman" w:cs="Times New Roman"/>
          <w:color w:val="auto"/>
          <w:sz w:val="24"/>
          <w:szCs w:val="24"/>
        </w:rPr>
        <w:t>References</w:t>
      </w:r>
      <w:bookmarkEnd w:id="20"/>
    </w:p>
    <w:p w14:paraId="6C0640A8" w14:textId="77777777" w:rsidR="00F209E5" w:rsidRDefault="00F209E5" w:rsidP="00E22744">
      <w:pPr>
        <w:ind w:firstLine="0"/>
        <w:jc w:val="center"/>
        <w:rPr>
          <w:lang w:eastAsia="en-US"/>
        </w:rPr>
      </w:pPr>
    </w:p>
    <w:p w14:paraId="5C005764" w14:textId="77777777" w:rsidR="00904B59" w:rsidRPr="00904B59" w:rsidRDefault="00904B59" w:rsidP="00904B59">
      <w:pPr>
        <w:pStyle w:val="Bibliography"/>
        <w:rPr>
          <w:rFonts w:ascii="Calibri" w:hAnsi="Calibri" w:cs="Calibri"/>
        </w:rPr>
      </w:pPr>
      <w:r>
        <w:rPr>
          <w:lang w:eastAsia="en-US"/>
        </w:rPr>
        <w:fldChar w:fldCharType="begin"/>
      </w:r>
      <w:r>
        <w:rPr>
          <w:lang w:eastAsia="en-US"/>
        </w:rPr>
        <w:instrText xml:space="preserve"> ADDIN ZOTERO_BIBL {"uncited":[],"omitted":[],"custom":[]} CSL_BIBLIOGRAPHY </w:instrText>
      </w:r>
      <w:r>
        <w:rPr>
          <w:lang w:eastAsia="en-US"/>
        </w:rPr>
        <w:fldChar w:fldCharType="separate"/>
      </w:r>
      <w:r w:rsidRPr="00904B59">
        <w:rPr>
          <w:rFonts w:ascii="Calibri" w:hAnsi="Calibri" w:cs="Calibri"/>
        </w:rPr>
        <w:t>1.</w:t>
      </w:r>
      <w:r w:rsidRPr="00904B59">
        <w:rPr>
          <w:rFonts w:ascii="Calibri" w:hAnsi="Calibri" w:cs="Calibri"/>
        </w:rPr>
        <w:tab/>
        <w:t xml:space="preserve">University of Liverpool. Supporting mental healthcare in a maternity and neonatal setting: Good practice guide and case studies. London: NHS England and NHS Improvement; 2021. </w:t>
      </w:r>
    </w:p>
    <w:p w14:paraId="14257883" w14:textId="77777777" w:rsidR="00904B59" w:rsidRPr="00904B59" w:rsidRDefault="00904B59" w:rsidP="00904B59">
      <w:pPr>
        <w:pStyle w:val="Bibliography"/>
        <w:rPr>
          <w:rFonts w:ascii="Calibri" w:hAnsi="Calibri" w:cs="Calibri"/>
        </w:rPr>
      </w:pPr>
      <w:r w:rsidRPr="00904B59">
        <w:rPr>
          <w:rFonts w:ascii="Calibri" w:hAnsi="Calibri" w:cs="Calibri"/>
        </w:rPr>
        <w:t>2.</w:t>
      </w:r>
      <w:r w:rsidRPr="00904B59">
        <w:rPr>
          <w:rFonts w:ascii="Calibri" w:hAnsi="Calibri" w:cs="Calibri"/>
        </w:rPr>
        <w:tab/>
        <w:t xml:space="preserve">Powell BJ, Waltz TJ, Chinman MJ, Damschroder LJ, Smith JL, Matthieu MM, et al. A refined compilation of implementation strategies: Results from the Expert Recommendations for Implementing Change (ERIC) project. Implement Sci. 2015;10(1). </w:t>
      </w:r>
    </w:p>
    <w:p w14:paraId="7C8D039E" w14:textId="77777777" w:rsidR="00904B59" w:rsidRPr="00904B59" w:rsidRDefault="00904B59" w:rsidP="00904B59">
      <w:pPr>
        <w:pStyle w:val="Bibliography"/>
        <w:rPr>
          <w:rFonts w:ascii="Calibri" w:hAnsi="Calibri" w:cs="Calibri"/>
        </w:rPr>
      </w:pPr>
      <w:r w:rsidRPr="00904B59">
        <w:rPr>
          <w:rFonts w:ascii="Calibri" w:hAnsi="Calibri" w:cs="Calibri"/>
        </w:rPr>
        <w:t>3.</w:t>
      </w:r>
      <w:r w:rsidRPr="00904B59">
        <w:rPr>
          <w:rFonts w:ascii="Calibri" w:hAnsi="Calibri" w:cs="Calibri"/>
        </w:rPr>
        <w:tab/>
        <w:t>Future NHS. Mental Health Long Term Plan Analytical Tool [Internet]. 2021. Available from: https://future.nhs.uk/system/login?nextURL=%2Fconnect.ti%2FMHLTPat%2Fgrouphome</w:t>
      </w:r>
    </w:p>
    <w:p w14:paraId="48D0AFEC" w14:textId="77777777" w:rsidR="00904B59" w:rsidRPr="00904B59" w:rsidRDefault="00904B59" w:rsidP="00904B59">
      <w:pPr>
        <w:pStyle w:val="Bibliography"/>
        <w:rPr>
          <w:rFonts w:ascii="Calibri" w:hAnsi="Calibri" w:cs="Calibri"/>
        </w:rPr>
      </w:pPr>
      <w:r w:rsidRPr="00904B59">
        <w:rPr>
          <w:rFonts w:ascii="Calibri" w:hAnsi="Calibri" w:cs="Calibri"/>
        </w:rPr>
        <w:t>4.</w:t>
      </w:r>
      <w:r w:rsidRPr="00904B59">
        <w:rPr>
          <w:rFonts w:ascii="Calibri" w:hAnsi="Calibri" w:cs="Calibri"/>
        </w:rPr>
        <w:tab/>
        <w:t>NHS North Region. Suggested PMH Workforce Planning KLOEs developed by North region [Internet]. National Perinatal Mental Health Workspace - NHS Future Platform. 2021 [cited 2021 Oct 22]. Available from: https://future.nhs.uk/PMHSCN/grouphome</w:t>
      </w:r>
    </w:p>
    <w:p w14:paraId="08F9BD64" w14:textId="77777777" w:rsidR="00904B59" w:rsidRPr="00904B59" w:rsidRDefault="00904B59" w:rsidP="00904B59">
      <w:pPr>
        <w:pStyle w:val="Bibliography"/>
        <w:rPr>
          <w:rFonts w:ascii="Calibri" w:hAnsi="Calibri" w:cs="Calibri"/>
        </w:rPr>
      </w:pPr>
      <w:r w:rsidRPr="00904B59">
        <w:rPr>
          <w:rFonts w:ascii="Calibri" w:hAnsi="Calibri" w:cs="Calibri"/>
        </w:rPr>
        <w:t>5.</w:t>
      </w:r>
      <w:r w:rsidRPr="00904B59">
        <w:rPr>
          <w:rFonts w:ascii="Calibri" w:hAnsi="Calibri" w:cs="Calibri"/>
        </w:rPr>
        <w:tab/>
        <w:t xml:space="preserve">Moreton R, Collinson B, Sandhu J. Working with commissioners and policy-makers: Workforce development and multiple disadvantage. 2021. </w:t>
      </w:r>
    </w:p>
    <w:p w14:paraId="6FE351D5" w14:textId="77777777" w:rsidR="00904B59" w:rsidRPr="00904B59" w:rsidRDefault="00904B59" w:rsidP="00904B59">
      <w:pPr>
        <w:pStyle w:val="Bibliography"/>
        <w:rPr>
          <w:rFonts w:ascii="Calibri" w:hAnsi="Calibri" w:cs="Calibri"/>
        </w:rPr>
      </w:pPr>
      <w:r w:rsidRPr="00904B59">
        <w:rPr>
          <w:rFonts w:ascii="Calibri" w:hAnsi="Calibri" w:cs="Calibri"/>
        </w:rPr>
        <w:t>6.</w:t>
      </w:r>
      <w:r w:rsidRPr="00904B59">
        <w:rPr>
          <w:rFonts w:ascii="Calibri" w:hAnsi="Calibri" w:cs="Calibri"/>
        </w:rPr>
        <w:tab/>
        <w:t xml:space="preserve">Woodall J, Davison E, Parnaby J, Hall AM. A Meeting of Minds: How co-production benefits people, professionals and organisations. 2019. </w:t>
      </w:r>
    </w:p>
    <w:p w14:paraId="7EC75488" w14:textId="77777777" w:rsidR="00904B59" w:rsidRPr="00904B59" w:rsidRDefault="00904B59" w:rsidP="00904B59">
      <w:pPr>
        <w:pStyle w:val="Bibliography"/>
        <w:rPr>
          <w:rFonts w:ascii="Calibri" w:hAnsi="Calibri" w:cs="Calibri"/>
        </w:rPr>
      </w:pPr>
      <w:r w:rsidRPr="00904B59">
        <w:rPr>
          <w:rFonts w:ascii="Calibri" w:hAnsi="Calibri" w:cs="Calibri"/>
        </w:rPr>
        <w:t>7.</w:t>
      </w:r>
      <w:r w:rsidRPr="00904B59">
        <w:rPr>
          <w:rFonts w:ascii="Calibri" w:hAnsi="Calibri" w:cs="Calibri"/>
        </w:rPr>
        <w:tab/>
        <w:t xml:space="preserve">NHS England. NHS England » The NHS Five Year Forward View. NHS England. 2014. </w:t>
      </w:r>
    </w:p>
    <w:p w14:paraId="4002E4DC" w14:textId="77777777" w:rsidR="00904B59" w:rsidRPr="00904B59" w:rsidRDefault="00904B59" w:rsidP="00904B59">
      <w:pPr>
        <w:pStyle w:val="Bibliography"/>
        <w:rPr>
          <w:rFonts w:ascii="Calibri" w:hAnsi="Calibri" w:cs="Calibri"/>
        </w:rPr>
      </w:pPr>
      <w:r w:rsidRPr="00904B59">
        <w:rPr>
          <w:rFonts w:ascii="Calibri" w:hAnsi="Calibri" w:cs="Calibri"/>
        </w:rPr>
        <w:t>8.</w:t>
      </w:r>
      <w:r w:rsidRPr="00904B59">
        <w:rPr>
          <w:rFonts w:ascii="Calibri" w:hAnsi="Calibri" w:cs="Calibri"/>
        </w:rPr>
        <w:tab/>
        <w:t xml:space="preserve">NHS England. The NHS Long Term Plan. 2019. </w:t>
      </w:r>
    </w:p>
    <w:p w14:paraId="4A12A4B6" w14:textId="77777777" w:rsidR="00904B59" w:rsidRPr="00904B59" w:rsidRDefault="00904B59" w:rsidP="00904B59">
      <w:pPr>
        <w:pStyle w:val="Bibliography"/>
        <w:rPr>
          <w:rFonts w:ascii="Calibri" w:hAnsi="Calibri" w:cs="Calibri"/>
        </w:rPr>
      </w:pPr>
      <w:r w:rsidRPr="00904B59">
        <w:rPr>
          <w:rFonts w:ascii="Calibri" w:hAnsi="Calibri" w:cs="Calibri"/>
        </w:rPr>
        <w:t>9.</w:t>
      </w:r>
      <w:r w:rsidRPr="00904B59">
        <w:rPr>
          <w:rFonts w:ascii="Calibri" w:hAnsi="Calibri" w:cs="Calibri"/>
        </w:rPr>
        <w:tab/>
        <w:t>NHS Scotland. Delivering Effective Services: Needs assessment and service recommendations for specialist and universal perinatal mental health services [Internet]. 2019. Available from: https://www.gov.scot/binaries/content/documents/govscot/publications/strategy-plan/2019/03/delivering-effective-services-needs-assessment-service-recommendations-specialist-universal-perinatal-mental-health-services/documents/delivering-effective-services</w:t>
      </w:r>
    </w:p>
    <w:p w14:paraId="4845BD52" w14:textId="77777777" w:rsidR="00904B59" w:rsidRPr="00904B59" w:rsidRDefault="00904B59" w:rsidP="00904B59">
      <w:pPr>
        <w:pStyle w:val="Bibliography"/>
        <w:rPr>
          <w:rFonts w:ascii="Calibri" w:hAnsi="Calibri" w:cs="Calibri"/>
        </w:rPr>
      </w:pPr>
      <w:r w:rsidRPr="00904B59">
        <w:rPr>
          <w:rFonts w:ascii="Calibri" w:hAnsi="Calibri" w:cs="Calibri"/>
        </w:rPr>
        <w:t>10.</w:t>
      </w:r>
      <w:r w:rsidRPr="00904B59">
        <w:rPr>
          <w:rFonts w:ascii="Calibri" w:hAnsi="Calibri" w:cs="Calibri"/>
        </w:rPr>
        <w:tab/>
        <w:t xml:space="preserve">The King’s Fund. How funding flows in the NHS. 2020. </w:t>
      </w:r>
    </w:p>
    <w:p w14:paraId="367CDF83" w14:textId="77777777" w:rsidR="00904B59" w:rsidRPr="00904B59" w:rsidRDefault="00904B59" w:rsidP="00904B59">
      <w:pPr>
        <w:pStyle w:val="Bibliography"/>
        <w:rPr>
          <w:rFonts w:ascii="Calibri" w:hAnsi="Calibri" w:cs="Calibri"/>
        </w:rPr>
      </w:pPr>
      <w:r w:rsidRPr="00904B59">
        <w:rPr>
          <w:rFonts w:ascii="Calibri" w:hAnsi="Calibri" w:cs="Calibri"/>
        </w:rPr>
        <w:t>11.</w:t>
      </w:r>
      <w:r w:rsidRPr="00904B59">
        <w:rPr>
          <w:rFonts w:ascii="Calibri" w:hAnsi="Calibri" w:cs="Calibri"/>
        </w:rPr>
        <w:tab/>
        <w:t xml:space="preserve">Greater Manchester Combined Authority. Greater Manchester Perinatal and Parent Infant Mental Health Service: Championing 1001 Critical Days. 2020. </w:t>
      </w:r>
    </w:p>
    <w:p w14:paraId="6F976D91" w14:textId="77777777" w:rsidR="00904B59" w:rsidRPr="00904B59" w:rsidRDefault="00904B59" w:rsidP="00904B59">
      <w:pPr>
        <w:pStyle w:val="Bibliography"/>
        <w:rPr>
          <w:rFonts w:ascii="Calibri" w:hAnsi="Calibri" w:cs="Calibri"/>
        </w:rPr>
      </w:pPr>
      <w:r w:rsidRPr="00904B59">
        <w:rPr>
          <w:rFonts w:ascii="Calibri" w:hAnsi="Calibri" w:cs="Calibri"/>
        </w:rPr>
        <w:t>12.</w:t>
      </w:r>
      <w:r w:rsidRPr="00904B59">
        <w:rPr>
          <w:rFonts w:ascii="Calibri" w:hAnsi="Calibri" w:cs="Calibri"/>
        </w:rPr>
        <w:tab/>
        <w:t>ACACIA Family Support. Help for Black, Asian and Minority Ethnic Mums / Dads and People of Colour [Internet]. Pre and postnatal depression support services. 2021. Available from: https://www.acacia.org.uk/bame/mums-dads/#</w:t>
      </w:r>
    </w:p>
    <w:p w14:paraId="1F5350BC" w14:textId="77777777" w:rsidR="00904B59" w:rsidRPr="00904B59" w:rsidRDefault="00904B59" w:rsidP="00904B59">
      <w:pPr>
        <w:pStyle w:val="Bibliography"/>
        <w:rPr>
          <w:rFonts w:ascii="Calibri" w:hAnsi="Calibri" w:cs="Calibri"/>
        </w:rPr>
      </w:pPr>
      <w:r w:rsidRPr="00904B59">
        <w:rPr>
          <w:rFonts w:ascii="Calibri" w:hAnsi="Calibri" w:cs="Calibri"/>
        </w:rPr>
        <w:t>13.</w:t>
      </w:r>
      <w:r w:rsidRPr="00904B59">
        <w:rPr>
          <w:rFonts w:ascii="Calibri" w:hAnsi="Calibri" w:cs="Calibri"/>
        </w:rPr>
        <w:tab/>
        <w:t xml:space="preserve">NHS London Clinical Networks. Perinatal mental health services for London: Guide for commissioners. 2017. </w:t>
      </w:r>
    </w:p>
    <w:p w14:paraId="5A4CF5EA" w14:textId="77777777" w:rsidR="00904B59" w:rsidRPr="00904B59" w:rsidRDefault="00904B59" w:rsidP="00904B59">
      <w:pPr>
        <w:pStyle w:val="Bibliography"/>
        <w:rPr>
          <w:rFonts w:ascii="Calibri" w:hAnsi="Calibri" w:cs="Calibri"/>
        </w:rPr>
      </w:pPr>
      <w:r w:rsidRPr="00904B59">
        <w:rPr>
          <w:rFonts w:ascii="Calibri" w:hAnsi="Calibri" w:cs="Calibri"/>
        </w:rPr>
        <w:t>14.</w:t>
      </w:r>
      <w:r w:rsidRPr="00904B59">
        <w:rPr>
          <w:rFonts w:ascii="Calibri" w:hAnsi="Calibri" w:cs="Calibri"/>
        </w:rPr>
        <w:tab/>
        <w:t>The Motherhood Group. Understanding Diverse Motherhood: Workshop &amp; Training [Internet]. 2021. Available from: https://www.themotherhoodgroup.com/bmmhwstakeholdertoolkit</w:t>
      </w:r>
    </w:p>
    <w:p w14:paraId="558305FF" w14:textId="77777777" w:rsidR="00904B59" w:rsidRPr="00904B59" w:rsidRDefault="00904B59" w:rsidP="00904B59">
      <w:pPr>
        <w:pStyle w:val="Bibliography"/>
        <w:rPr>
          <w:rFonts w:ascii="Calibri" w:hAnsi="Calibri" w:cs="Calibri"/>
        </w:rPr>
      </w:pPr>
      <w:r w:rsidRPr="00904B59">
        <w:rPr>
          <w:rFonts w:ascii="Calibri" w:hAnsi="Calibri" w:cs="Calibri"/>
        </w:rPr>
        <w:t>15.</w:t>
      </w:r>
      <w:r w:rsidRPr="00904B59">
        <w:rPr>
          <w:rFonts w:ascii="Calibri" w:hAnsi="Calibri" w:cs="Calibri"/>
        </w:rPr>
        <w:tab/>
        <w:t xml:space="preserve">Feldman R. What Price Safe Motherhood? Charging for NHS Maternity Care in England and its Impact on Migrant Women. Maternity Action; 2018. </w:t>
      </w:r>
    </w:p>
    <w:p w14:paraId="1E89E85F" w14:textId="77777777" w:rsidR="00904B59" w:rsidRPr="00904B59" w:rsidRDefault="00904B59" w:rsidP="00904B59">
      <w:pPr>
        <w:pStyle w:val="Bibliography"/>
        <w:rPr>
          <w:rFonts w:ascii="Calibri" w:hAnsi="Calibri" w:cs="Calibri"/>
        </w:rPr>
      </w:pPr>
      <w:r w:rsidRPr="00904B59">
        <w:rPr>
          <w:rFonts w:ascii="Calibri" w:hAnsi="Calibri" w:cs="Calibri"/>
        </w:rPr>
        <w:t>16.</w:t>
      </w:r>
      <w:r w:rsidRPr="00904B59">
        <w:rPr>
          <w:rFonts w:ascii="Calibri" w:hAnsi="Calibri" w:cs="Calibri"/>
        </w:rPr>
        <w:tab/>
        <w:t xml:space="preserve">Harris S, Hardwick J. A Vicious Circle: The relationship between NHS Charges for Maternity Care, Destitution, and Violence Against Women and Girls. Maternity Action; 2019. </w:t>
      </w:r>
    </w:p>
    <w:p w14:paraId="2BA44B19" w14:textId="77777777" w:rsidR="00904B59" w:rsidRPr="00904B59" w:rsidRDefault="00904B59" w:rsidP="00904B59">
      <w:pPr>
        <w:pStyle w:val="Bibliography"/>
        <w:rPr>
          <w:rFonts w:ascii="Calibri" w:hAnsi="Calibri" w:cs="Calibri"/>
        </w:rPr>
      </w:pPr>
      <w:r w:rsidRPr="00904B59">
        <w:rPr>
          <w:rFonts w:ascii="Calibri" w:hAnsi="Calibri" w:cs="Calibri"/>
        </w:rPr>
        <w:lastRenderedPageBreak/>
        <w:t>17.</w:t>
      </w:r>
      <w:r w:rsidRPr="00904B59">
        <w:rPr>
          <w:rFonts w:ascii="Calibri" w:hAnsi="Calibri" w:cs="Calibri"/>
        </w:rPr>
        <w:tab/>
        <w:t xml:space="preserve">Nullums LB, Rustage K, Hargreaves S, Friedland JS, Miller A, Hiam L. Access to healthcare for people seeking and refused asylum in Great Britain: A review of evidence. Equality and Human Rights Commission; 2018. </w:t>
      </w:r>
    </w:p>
    <w:p w14:paraId="58E1B59A" w14:textId="77777777" w:rsidR="00904B59" w:rsidRPr="00904B59" w:rsidRDefault="00904B59" w:rsidP="00904B59">
      <w:pPr>
        <w:pStyle w:val="Bibliography"/>
        <w:rPr>
          <w:rFonts w:ascii="Calibri" w:hAnsi="Calibri" w:cs="Calibri"/>
        </w:rPr>
      </w:pPr>
      <w:r w:rsidRPr="00904B59">
        <w:rPr>
          <w:rFonts w:ascii="Calibri" w:hAnsi="Calibri" w:cs="Calibri"/>
        </w:rPr>
        <w:t>18.</w:t>
      </w:r>
      <w:r w:rsidRPr="00904B59">
        <w:rPr>
          <w:rFonts w:ascii="Calibri" w:hAnsi="Calibri" w:cs="Calibri"/>
        </w:rPr>
        <w:tab/>
        <w:t xml:space="preserve">Knight M, Bunch K, Tuffnell D, Shakespeare J, Kotnis R, Kenyon S, et al. Saving Lives, Improving Mothers’ Care – Lessons Learned to Inform Maternity Care from the UK and Ireland Confidential Enquiries into Maternal Deaths and Morbidity 2015-17. MBRRACE-UK; 2019 p. 28. </w:t>
      </w:r>
    </w:p>
    <w:p w14:paraId="6600C5A3" w14:textId="77777777" w:rsidR="00904B59" w:rsidRPr="00904B59" w:rsidRDefault="00904B59" w:rsidP="00904B59">
      <w:pPr>
        <w:pStyle w:val="Bibliography"/>
        <w:rPr>
          <w:rFonts w:ascii="Calibri" w:hAnsi="Calibri" w:cs="Calibri"/>
        </w:rPr>
      </w:pPr>
      <w:r w:rsidRPr="00904B59">
        <w:rPr>
          <w:rFonts w:ascii="Calibri" w:hAnsi="Calibri" w:cs="Calibri"/>
        </w:rPr>
        <w:t>19.</w:t>
      </w:r>
      <w:r w:rsidRPr="00904B59">
        <w:rPr>
          <w:rFonts w:ascii="Calibri" w:hAnsi="Calibri" w:cs="Calibri"/>
        </w:rPr>
        <w:tab/>
        <w:t xml:space="preserve">Public Health England. Maternity high impact area: Reducing the inequality of outcomes for women from Black, Asian and Minority Ethnic (BAME) communities and their babies. 2020. </w:t>
      </w:r>
    </w:p>
    <w:p w14:paraId="46AADF3F" w14:textId="77777777" w:rsidR="00904B59" w:rsidRPr="00904B59" w:rsidRDefault="00904B59" w:rsidP="00904B59">
      <w:pPr>
        <w:pStyle w:val="Bibliography"/>
        <w:rPr>
          <w:rFonts w:ascii="Calibri" w:hAnsi="Calibri" w:cs="Calibri"/>
        </w:rPr>
      </w:pPr>
      <w:r w:rsidRPr="00904B59">
        <w:rPr>
          <w:rFonts w:ascii="Calibri" w:hAnsi="Calibri" w:cs="Calibri"/>
        </w:rPr>
        <w:t>20.</w:t>
      </w:r>
      <w:r w:rsidRPr="00904B59">
        <w:rPr>
          <w:rFonts w:ascii="Calibri" w:hAnsi="Calibri" w:cs="Calibri"/>
        </w:rPr>
        <w:tab/>
        <w:t>Royal Colleges. Royal colleges support suspension of NHS overseas visitor charges pending review [Internet]. Royal College of Physicians; 2018. Available from: https://www.rcplondon.ac.uk/news/royal-colleges-support-suspension-nhs-overseas-visitor-charges-pending-review</w:t>
      </w:r>
    </w:p>
    <w:p w14:paraId="24435658" w14:textId="77777777" w:rsidR="00904B59" w:rsidRPr="00904B59" w:rsidRDefault="00904B59" w:rsidP="00904B59">
      <w:pPr>
        <w:pStyle w:val="Bibliography"/>
        <w:rPr>
          <w:rFonts w:ascii="Calibri" w:hAnsi="Calibri" w:cs="Calibri"/>
        </w:rPr>
      </w:pPr>
      <w:r w:rsidRPr="00904B59">
        <w:rPr>
          <w:rFonts w:ascii="Calibri" w:hAnsi="Calibri" w:cs="Calibri"/>
        </w:rPr>
        <w:t>21.</w:t>
      </w:r>
      <w:r w:rsidRPr="00904B59">
        <w:rPr>
          <w:rFonts w:ascii="Calibri" w:hAnsi="Calibri" w:cs="Calibri"/>
        </w:rPr>
        <w:tab/>
        <w:t xml:space="preserve">Academy of Medical Royal Colleges. NHS charges to overseas visitors regulations: A statement from the Academy of Medical Royal Colleges. 2019. </w:t>
      </w:r>
    </w:p>
    <w:p w14:paraId="46543B5F" w14:textId="77777777" w:rsidR="00904B59" w:rsidRPr="00904B59" w:rsidRDefault="00904B59" w:rsidP="00904B59">
      <w:pPr>
        <w:pStyle w:val="Bibliography"/>
        <w:rPr>
          <w:rFonts w:ascii="Calibri" w:hAnsi="Calibri" w:cs="Calibri"/>
        </w:rPr>
      </w:pPr>
      <w:r w:rsidRPr="00904B59">
        <w:rPr>
          <w:rFonts w:ascii="Calibri" w:hAnsi="Calibri" w:cs="Calibri"/>
        </w:rPr>
        <w:t>22.</w:t>
      </w:r>
      <w:r w:rsidRPr="00904B59">
        <w:rPr>
          <w:rFonts w:ascii="Calibri" w:hAnsi="Calibri" w:cs="Calibri"/>
        </w:rPr>
        <w:tab/>
        <w:t xml:space="preserve">Royal College of Paediatrics and Child Health. Access to healthcare for migrant and undocumented children - position statement. 2021. </w:t>
      </w:r>
    </w:p>
    <w:p w14:paraId="28767757" w14:textId="77777777" w:rsidR="00904B59" w:rsidRPr="00904B59" w:rsidRDefault="00904B59" w:rsidP="00904B59">
      <w:pPr>
        <w:pStyle w:val="Bibliography"/>
        <w:rPr>
          <w:rFonts w:ascii="Calibri" w:hAnsi="Calibri" w:cs="Calibri"/>
        </w:rPr>
      </w:pPr>
      <w:r w:rsidRPr="00904B59">
        <w:rPr>
          <w:rFonts w:ascii="Calibri" w:hAnsi="Calibri" w:cs="Calibri"/>
        </w:rPr>
        <w:t>23.</w:t>
      </w:r>
      <w:r w:rsidRPr="00904B59">
        <w:rPr>
          <w:rFonts w:ascii="Calibri" w:hAnsi="Calibri" w:cs="Calibri"/>
        </w:rPr>
        <w:tab/>
        <w:t xml:space="preserve">Maternity Action. Breach of Trust: A review of implementation of the NHS charging programme in maternity services in England. 2021. </w:t>
      </w:r>
    </w:p>
    <w:p w14:paraId="63CD178D" w14:textId="77777777" w:rsidR="00904B59" w:rsidRPr="00904B59" w:rsidRDefault="00904B59" w:rsidP="00904B59">
      <w:pPr>
        <w:pStyle w:val="Bibliography"/>
        <w:rPr>
          <w:rFonts w:ascii="Calibri" w:hAnsi="Calibri" w:cs="Calibri"/>
        </w:rPr>
      </w:pPr>
      <w:r w:rsidRPr="00904B59">
        <w:rPr>
          <w:rFonts w:ascii="Calibri" w:hAnsi="Calibri" w:cs="Calibri"/>
        </w:rPr>
        <w:t>24.</w:t>
      </w:r>
      <w:r w:rsidRPr="00904B59">
        <w:rPr>
          <w:rFonts w:ascii="Calibri" w:hAnsi="Calibri" w:cs="Calibri"/>
        </w:rPr>
        <w:tab/>
        <w:t xml:space="preserve">Dietrich S, Mergl R, Freudenberg P, Althaus D, Hegerl U. Impact of a campaign on the public’s attitudes towards depression. Health Educ Res. 2010;25(1):135–50. </w:t>
      </w:r>
    </w:p>
    <w:p w14:paraId="4E0D58FC" w14:textId="77777777" w:rsidR="00904B59" w:rsidRPr="00904B59" w:rsidRDefault="00904B59" w:rsidP="00904B59">
      <w:pPr>
        <w:pStyle w:val="Bibliography"/>
        <w:rPr>
          <w:rFonts w:ascii="Calibri" w:hAnsi="Calibri" w:cs="Calibri"/>
        </w:rPr>
      </w:pPr>
      <w:r w:rsidRPr="00904B59">
        <w:rPr>
          <w:rFonts w:ascii="Calibri" w:hAnsi="Calibri" w:cs="Calibri"/>
        </w:rPr>
        <w:t>25.</w:t>
      </w:r>
      <w:r w:rsidRPr="00904B59">
        <w:rPr>
          <w:rFonts w:ascii="Calibri" w:hAnsi="Calibri" w:cs="Calibri"/>
        </w:rPr>
        <w:tab/>
        <w:t xml:space="preserve">Jorm AF, Christensen H, Griffiths KM. The impact of beyondblue: The national depression initiative on the Australian public’s recognition of depression and beliefs about treatments. Aust N Z J Psychiatry. 2005;39(4):248–54. </w:t>
      </w:r>
    </w:p>
    <w:p w14:paraId="711B9070" w14:textId="77777777" w:rsidR="00904B59" w:rsidRPr="00904B59" w:rsidRDefault="00904B59" w:rsidP="00904B59">
      <w:pPr>
        <w:pStyle w:val="Bibliography"/>
        <w:rPr>
          <w:rFonts w:ascii="Calibri" w:hAnsi="Calibri" w:cs="Calibri"/>
        </w:rPr>
      </w:pPr>
      <w:r w:rsidRPr="00904B59">
        <w:rPr>
          <w:rFonts w:ascii="Calibri" w:hAnsi="Calibri" w:cs="Calibri"/>
        </w:rPr>
        <w:t>26.</w:t>
      </w:r>
      <w:r w:rsidRPr="00904B59">
        <w:rPr>
          <w:rFonts w:ascii="Calibri" w:hAnsi="Calibri" w:cs="Calibri"/>
        </w:rPr>
        <w:tab/>
        <w:t xml:space="preserve">Makowski AC, Mnich EE, Ludwig J, Daubmann A, Bock T, Lambert M, et al. Changes in beliefs and attitudes toward people with depression and schizophrenia - results of a public campaign in Germany. Psychiatry Res. 2016;237:271–8. </w:t>
      </w:r>
    </w:p>
    <w:p w14:paraId="4981112C" w14:textId="77777777" w:rsidR="00904B59" w:rsidRPr="00904B59" w:rsidRDefault="00904B59" w:rsidP="00904B59">
      <w:pPr>
        <w:pStyle w:val="Bibliography"/>
        <w:rPr>
          <w:rFonts w:ascii="Calibri" w:hAnsi="Calibri" w:cs="Calibri"/>
        </w:rPr>
      </w:pPr>
      <w:r w:rsidRPr="00904B59">
        <w:rPr>
          <w:rFonts w:ascii="Calibri" w:hAnsi="Calibri" w:cs="Calibri"/>
        </w:rPr>
        <w:t>27.</w:t>
      </w:r>
      <w:r w:rsidRPr="00904B59">
        <w:rPr>
          <w:rFonts w:ascii="Calibri" w:hAnsi="Calibri" w:cs="Calibri"/>
        </w:rPr>
        <w:tab/>
        <w:t xml:space="preserve">Sampogna G, Bakolis I, Evans-Lacko S, Robinson E, Thornicroft G, Henderson C. The impact of social marketing campaigns on reducing mental health stigma: Results from the 2009–2014 Time to Change programme. Eur Psychiatry. 2017;40:116–22. </w:t>
      </w:r>
    </w:p>
    <w:p w14:paraId="5006F156" w14:textId="015C9353" w:rsidR="00F209E5" w:rsidRDefault="00904B59" w:rsidP="00B77E25">
      <w:pPr>
        <w:ind w:firstLine="0"/>
        <w:rPr>
          <w:lang w:eastAsia="en-US"/>
        </w:rPr>
      </w:pPr>
      <w:r>
        <w:rPr>
          <w:lang w:eastAsia="en-US"/>
        </w:rPr>
        <w:fldChar w:fldCharType="end"/>
      </w:r>
    </w:p>
    <w:p w14:paraId="0C9259E1" w14:textId="77777777" w:rsidR="00F209E5" w:rsidRPr="00B77E25" w:rsidRDefault="00F209E5" w:rsidP="00B77E25">
      <w:pPr>
        <w:ind w:firstLine="0"/>
        <w:rPr>
          <w:lang w:eastAsia="en-US"/>
        </w:rPr>
      </w:pPr>
    </w:p>
    <w:sectPr w:rsidR="00F209E5" w:rsidRPr="00B77E25" w:rsidSect="00904B59">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0BD4A" w14:textId="77777777" w:rsidR="007934B1" w:rsidRDefault="007934B1" w:rsidP="007934B1">
      <w:pPr>
        <w:spacing w:line="240" w:lineRule="auto"/>
      </w:pPr>
      <w:r>
        <w:separator/>
      </w:r>
    </w:p>
  </w:endnote>
  <w:endnote w:type="continuationSeparator" w:id="0">
    <w:p w14:paraId="0839481B" w14:textId="77777777" w:rsidR="007934B1" w:rsidRDefault="007934B1" w:rsidP="007934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6D5C1" w14:textId="77777777" w:rsidR="007934B1" w:rsidRDefault="007934B1" w:rsidP="007934B1">
      <w:pPr>
        <w:spacing w:line="240" w:lineRule="auto"/>
      </w:pPr>
      <w:r>
        <w:separator/>
      </w:r>
    </w:p>
  </w:footnote>
  <w:footnote w:type="continuationSeparator" w:id="0">
    <w:p w14:paraId="6C23AAA9" w14:textId="77777777" w:rsidR="007934B1" w:rsidRDefault="007934B1" w:rsidP="007934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080"/>
        </w:tabs>
        <w:ind w:left="108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0D94470"/>
    <w:multiLevelType w:val="hybridMultilevel"/>
    <w:tmpl w:val="6A24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CB7BDF"/>
    <w:multiLevelType w:val="hybridMultilevel"/>
    <w:tmpl w:val="30882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CC1CC3"/>
    <w:multiLevelType w:val="hybridMultilevel"/>
    <w:tmpl w:val="386C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30493F"/>
    <w:multiLevelType w:val="hybridMultilevel"/>
    <w:tmpl w:val="07DCD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950AC3"/>
    <w:multiLevelType w:val="hybridMultilevel"/>
    <w:tmpl w:val="099295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904788"/>
    <w:multiLevelType w:val="hybridMultilevel"/>
    <w:tmpl w:val="B4DA98F0"/>
    <w:lvl w:ilvl="0" w:tplc="FDE61382">
      <w:start w:val="2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D5AB4"/>
    <w:multiLevelType w:val="hybridMultilevel"/>
    <w:tmpl w:val="F04C22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5D22E3"/>
    <w:multiLevelType w:val="hybridMultilevel"/>
    <w:tmpl w:val="8F682852"/>
    <w:lvl w:ilvl="0" w:tplc="7DB4CEF2">
      <w:start w:val="2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85F74"/>
    <w:multiLevelType w:val="hybridMultilevel"/>
    <w:tmpl w:val="E8D00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A901DD"/>
    <w:multiLevelType w:val="hybridMultilevel"/>
    <w:tmpl w:val="6E52B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8443E"/>
    <w:multiLevelType w:val="hybridMultilevel"/>
    <w:tmpl w:val="7480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74597"/>
    <w:multiLevelType w:val="hybridMultilevel"/>
    <w:tmpl w:val="2CC01160"/>
    <w:lvl w:ilvl="0" w:tplc="D8084D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BD6B2D"/>
    <w:multiLevelType w:val="hybridMultilevel"/>
    <w:tmpl w:val="E7D0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C37DA"/>
    <w:multiLevelType w:val="hybridMultilevel"/>
    <w:tmpl w:val="A69A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985F26"/>
    <w:multiLevelType w:val="hybridMultilevel"/>
    <w:tmpl w:val="77D2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4D12A8"/>
    <w:multiLevelType w:val="hybridMultilevel"/>
    <w:tmpl w:val="6B6C6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C4708"/>
    <w:multiLevelType w:val="hybridMultilevel"/>
    <w:tmpl w:val="87B22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F3086C"/>
    <w:multiLevelType w:val="hybridMultilevel"/>
    <w:tmpl w:val="7B48D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E5ED5"/>
    <w:multiLevelType w:val="hybridMultilevel"/>
    <w:tmpl w:val="5EFC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80C10"/>
    <w:multiLevelType w:val="hybridMultilevel"/>
    <w:tmpl w:val="0B56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B537A"/>
    <w:multiLevelType w:val="hybridMultilevel"/>
    <w:tmpl w:val="7D7E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E4712D"/>
    <w:multiLevelType w:val="hybridMultilevel"/>
    <w:tmpl w:val="3522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D57E21"/>
    <w:multiLevelType w:val="hybridMultilevel"/>
    <w:tmpl w:val="7952E13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8B7BFF"/>
    <w:multiLevelType w:val="hybridMultilevel"/>
    <w:tmpl w:val="EE4689CE"/>
    <w:lvl w:ilvl="0" w:tplc="C0DEA25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9A0828"/>
    <w:multiLevelType w:val="hybridMultilevel"/>
    <w:tmpl w:val="3ABA3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7830036">
    <w:abstractNumId w:val="9"/>
  </w:num>
  <w:num w:numId="2" w16cid:durableId="690884636">
    <w:abstractNumId w:val="7"/>
  </w:num>
  <w:num w:numId="3" w16cid:durableId="1105466986">
    <w:abstractNumId w:val="6"/>
  </w:num>
  <w:num w:numId="4" w16cid:durableId="2062243181">
    <w:abstractNumId w:val="5"/>
  </w:num>
  <w:num w:numId="5" w16cid:durableId="1922904479">
    <w:abstractNumId w:val="4"/>
  </w:num>
  <w:num w:numId="6" w16cid:durableId="1013727036">
    <w:abstractNumId w:val="8"/>
  </w:num>
  <w:num w:numId="7" w16cid:durableId="1065177283">
    <w:abstractNumId w:val="3"/>
  </w:num>
  <w:num w:numId="8" w16cid:durableId="303895726">
    <w:abstractNumId w:val="2"/>
  </w:num>
  <w:num w:numId="9" w16cid:durableId="561790033">
    <w:abstractNumId w:val="1"/>
  </w:num>
  <w:num w:numId="10" w16cid:durableId="1852336115">
    <w:abstractNumId w:val="0"/>
  </w:num>
  <w:num w:numId="11" w16cid:durableId="1285624473">
    <w:abstractNumId w:val="13"/>
  </w:num>
  <w:num w:numId="12" w16cid:durableId="934244633">
    <w:abstractNumId w:val="19"/>
  </w:num>
  <w:num w:numId="13" w16cid:durableId="694817174">
    <w:abstractNumId w:val="25"/>
  </w:num>
  <w:num w:numId="14" w16cid:durableId="1736925286">
    <w:abstractNumId w:val="26"/>
  </w:num>
  <w:num w:numId="15" w16cid:durableId="1424375200">
    <w:abstractNumId w:val="11"/>
  </w:num>
  <w:num w:numId="16" w16cid:durableId="1432623367">
    <w:abstractNumId w:val="28"/>
  </w:num>
  <w:num w:numId="17" w16cid:durableId="1512799339">
    <w:abstractNumId w:val="12"/>
  </w:num>
  <w:num w:numId="18" w16cid:durableId="8994764">
    <w:abstractNumId w:val="29"/>
  </w:num>
  <w:num w:numId="19" w16cid:durableId="2041852244">
    <w:abstractNumId w:val="23"/>
  </w:num>
  <w:num w:numId="20" w16cid:durableId="1547259892">
    <w:abstractNumId w:val="22"/>
  </w:num>
  <w:num w:numId="21" w16cid:durableId="58872708">
    <w:abstractNumId w:val="34"/>
  </w:num>
  <w:num w:numId="22" w16cid:durableId="517042231">
    <w:abstractNumId w:val="10"/>
  </w:num>
  <w:num w:numId="23" w16cid:durableId="1221944570">
    <w:abstractNumId w:val="33"/>
  </w:num>
  <w:num w:numId="24" w16cid:durableId="1638022497">
    <w:abstractNumId w:val="17"/>
  </w:num>
  <w:num w:numId="25" w16cid:durableId="2130128418">
    <w:abstractNumId w:val="15"/>
  </w:num>
  <w:num w:numId="26" w16cid:durableId="417407101">
    <w:abstractNumId w:val="18"/>
  </w:num>
  <w:num w:numId="27" w16cid:durableId="259029904">
    <w:abstractNumId w:val="31"/>
  </w:num>
  <w:num w:numId="28" w16cid:durableId="363672595">
    <w:abstractNumId w:val="30"/>
  </w:num>
  <w:num w:numId="29" w16cid:durableId="143275311">
    <w:abstractNumId w:val="21"/>
  </w:num>
  <w:num w:numId="30" w16cid:durableId="147787542">
    <w:abstractNumId w:val="20"/>
  </w:num>
  <w:num w:numId="31" w16cid:durableId="1621761528">
    <w:abstractNumId w:val="32"/>
  </w:num>
  <w:num w:numId="32" w16cid:durableId="2002148765">
    <w:abstractNumId w:val="24"/>
  </w:num>
  <w:num w:numId="33" w16cid:durableId="281807628">
    <w:abstractNumId w:val="27"/>
  </w:num>
  <w:num w:numId="34" w16cid:durableId="2026519415">
    <w:abstractNumId w:val="16"/>
  </w:num>
  <w:num w:numId="35" w16cid:durableId="210626905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027"/>
    <w:rsid w:val="00064D3D"/>
    <w:rsid w:val="00085824"/>
    <w:rsid w:val="000928B5"/>
    <w:rsid w:val="000A46E0"/>
    <w:rsid w:val="000B75EB"/>
    <w:rsid w:val="000E631C"/>
    <w:rsid w:val="000F1ACA"/>
    <w:rsid w:val="00112C8C"/>
    <w:rsid w:val="0014017C"/>
    <w:rsid w:val="00142F98"/>
    <w:rsid w:val="001478A0"/>
    <w:rsid w:val="001840B0"/>
    <w:rsid w:val="0019357A"/>
    <w:rsid w:val="001D780B"/>
    <w:rsid w:val="0021519F"/>
    <w:rsid w:val="0022744A"/>
    <w:rsid w:val="00231463"/>
    <w:rsid w:val="0023701C"/>
    <w:rsid w:val="00257DD3"/>
    <w:rsid w:val="00265687"/>
    <w:rsid w:val="002A7A48"/>
    <w:rsid w:val="002B7A29"/>
    <w:rsid w:val="002E1A6C"/>
    <w:rsid w:val="00302D87"/>
    <w:rsid w:val="00367A93"/>
    <w:rsid w:val="0039698A"/>
    <w:rsid w:val="003D11E6"/>
    <w:rsid w:val="003E79ED"/>
    <w:rsid w:val="0040056C"/>
    <w:rsid w:val="00452777"/>
    <w:rsid w:val="004713E2"/>
    <w:rsid w:val="00474D75"/>
    <w:rsid w:val="00484C54"/>
    <w:rsid w:val="004B4F1D"/>
    <w:rsid w:val="004B5B8E"/>
    <w:rsid w:val="004C0CFC"/>
    <w:rsid w:val="004C2156"/>
    <w:rsid w:val="00554D17"/>
    <w:rsid w:val="005578A4"/>
    <w:rsid w:val="005F1B39"/>
    <w:rsid w:val="00620F88"/>
    <w:rsid w:val="006A43B6"/>
    <w:rsid w:val="006B2564"/>
    <w:rsid w:val="006C0027"/>
    <w:rsid w:val="006E4D24"/>
    <w:rsid w:val="006F58E6"/>
    <w:rsid w:val="00706304"/>
    <w:rsid w:val="0073172D"/>
    <w:rsid w:val="007521C6"/>
    <w:rsid w:val="007934B1"/>
    <w:rsid w:val="007A71F9"/>
    <w:rsid w:val="007B0BC1"/>
    <w:rsid w:val="007B1560"/>
    <w:rsid w:val="007E0D9F"/>
    <w:rsid w:val="00812F69"/>
    <w:rsid w:val="00821B60"/>
    <w:rsid w:val="008379F5"/>
    <w:rsid w:val="00840F56"/>
    <w:rsid w:val="00846B41"/>
    <w:rsid w:val="00877DA8"/>
    <w:rsid w:val="008836AA"/>
    <w:rsid w:val="008F1DC0"/>
    <w:rsid w:val="00904B59"/>
    <w:rsid w:val="009336B1"/>
    <w:rsid w:val="00933D62"/>
    <w:rsid w:val="009755DF"/>
    <w:rsid w:val="00983756"/>
    <w:rsid w:val="009F351D"/>
    <w:rsid w:val="00A04735"/>
    <w:rsid w:val="00A20792"/>
    <w:rsid w:val="00A77BE1"/>
    <w:rsid w:val="00AA1602"/>
    <w:rsid w:val="00AB6E3E"/>
    <w:rsid w:val="00B77E25"/>
    <w:rsid w:val="00B85887"/>
    <w:rsid w:val="00B93B1D"/>
    <w:rsid w:val="00B96109"/>
    <w:rsid w:val="00BB3D77"/>
    <w:rsid w:val="00BB7BB7"/>
    <w:rsid w:val="00BD1F68"/>
    <w:rsid w:val="00BE7DC4"/>
    <w:rsid w:val="00C378B1"/>
    <w:rsid w:val="00C40329"/>
    <w:rsid w:val="00C6170D"/>
    <w:rsid w:val="00D02261"/>
    <w:rsid w:val="00D26EE1"/>
    <w:rsid w:val="00DF62D8"/>
    <w:rsid w:val="00E22744"/>
    <w:rsid w:val="00E43251"/>
    <w:rsid w:val="00E924D0"/>
    <w:rsid w:val="00E965A2"/>
    <w:rsid w:val="00EC5CDD"/>
    <w:rsid w:val="00ED2CE1"/>
    <w:rsid w:val="00EE18C6"/>
    <w:rsid w:val="00F209E5"/>
    <w:rsid w:val="00F26AE4"/>
    <w:rsid w:val="00F34740"/>
    <w:rsid w:val="00F908CE"/>
    <w:rsid w:val="00FB1036"/>
    <w:rsid w:val="00FB4AD0"/>
    <w:rsid w:val="00FB7ACF"/>
    <w:rsid w:val="00FE2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9AC15"/>
  <w15:chartTrackingRefBased/>
  <w15:docId w15:val="{3FDC442D-8B64-452C-976F-B7174703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027"/>
    <w:pPr>
      <w:spacing w:after="0" w:line="480" w:lineRule="auto"/>
      <w:ind w:firstLine="720"/>
    </w:pPr>
    <w:rPr>
      <w:rFonts w:eastAsiaTheme="minorEastAsia"/>
      <w:kern w:val="24"/>
      <w:sz w:val="24"/>
      <w:szCs w:val="24"/>
      <w:lang w:eastAsia="ja-JP"/>
    </w:rPr>
  </w:style>
  <w:style w:type="paragraph" w:styleId="Heading1">
    <w:name w:val="heading 1"/>
    <w:basedOn w:val="Normal"/>
    <w:next w:val="Normal"/>
    <w:link w:val="Heading1Char"/>
    <w:uiPriority w:val="4"/>
    <w:qFormat/>
    <w:rsid w:val="00F26AE4"/>
    <w:pPr>
      <w:keepNext/>
      <w:keepLines/>
      <w:spacing w:before="240" w:line="259" w:lineRule="auto"/>
      <w:ind w:firstLine="0"/>
      <w:jc w:val="both"/>
      <w:outlineLvl w:val="0"/>
    </w:pPr>
    <w:rPr>
      <w:rFonts w:ascii="Arial" w:eastAsiaTheme="majorEastAsia" w:hAnsi="Arial" w:cs="Arial"/>
      <w:color w:val="2F5496" w:themeColor="accent1" w:themeShade="BF"/>
      <w:kern w:val="0"/>
      <w:sz w:val="32"/>
      <w:szCs w:val="32"/>
      <w:lang w:eastAsia="en-US"/>
    </w:rPr>
  </w:style>
  <w:style w:type="paragraph" w:styleId="Heading2">
    <w:name w:val="heading 2"/>
    <w:basedOn w:val="Normal"/>
    <w:next w:val="Normal"/>
    <w:link w:val="Heading2Char"/>
    <w:uiPriority w:val="4"/>
    <w:unhideWhenUsed/>
    <w:qFormat/>
    <w:rsid w:val="00F26AE4"/>
    <w:pPr>
      <w:keepNext/>
      <w:keepLines/>
      <w:spacing w:before="40" w:line="259" w:lineRule="auto"/>
      <w:ind w:firstLine="0"/>
      <w:jc w:val="both"/>
      <w:outlineLvl w:val="1"/>
    </w:pPr>
    <w:rPr>
      <w:rFonts w:ascii="Arial" w:eastAsia="Times New Roman" w:hAnsi="Arial" w:cs="Arial"/>
      <w:color w:val="2F5496" w:themeColor="accent1" w:themeShade="BF"/>
      <w:kern w:val="0"/>
      <w:sz w:val="26"/>
      <w:szCs w:val="26"/>
      <w:lang w:eastAsia="en-GB"/>
    </w:rPr>
  </w:style>
  <w:style w:type="paragraph" w:styleId="Heading3">
    <w:name w:val="heading 3"/>
    <w:basedOn w:val="Heading2"/>
    <w:next w:val="Normal"/>
    <w:link w:val="Heading3Char"/>
    <w:uiPriority w:val="4"/>
    <w:unhideWhenUsed/>
    <w:qFormat/>
    <w:rsid w:val="00F26AE4"/>
    <w:pPr>
      <w:outlineLvl w:val="2"/>
    </w:pPr>
    <w:rPr>
      <w:color w:val="auto"/>
      <w:sz w:val="24"/>
      <w:u w:val="single"/>
    </w:rPr>
  </w:style>
  <w:style w:type="paragraph" w:styleId="Heading4">
    <w:name w:val="heading 4"/>
    <w:basedOn w:val="Normal"/>
    <w:next w:val="Normal"/>
    <w:link w:val="Heading4Char"/>
    <w:uiPriority w:val="4"/>
    <w:unhideWhenUsed/>
    <w:qFormat/>
    <w:rsid w:val="00F26AE4"/>
    <w:pPr>
      <w:keepNext/>
      <w:keepLines/>
      <w:outlineLvl w:val="3"/>
    </w:pPr>
    <w:rPr>
      <w:rFonts w:asciiTheme="majorHAnsi" w:eastAsiaTheme="majorEastAsia" w:hAnsiTheme="majorHAnsi" w:cstheme="majorBidi"/>
      <w:b/>
      <w:bCs/>
      <w:i/>
      <w:iCs/>
      <w:lang w:val="en-US"/>
    </w:rPr>
  </w:style>
  <w:style w:type="paragraph" w:styleId="Heading5">
    <w:name w:val="heading 5"/>
    <w:basedOn w:val="Normal"/>
    <w:next w:val="Normal"/>
    <w:link w:val="Heading5Char"/>
    <w:uiPriority w:val="4"/>
    <w:unhideWhenUsed/>
    <w:qFormat/>
    <w:rsid w:val="009755DF"/>
    <w:pPr>
      <w:keepNext/>
      <w:keepLines/>
      <w:spacing w:before="40" w:line="259" w:lineRule="auto"/>
      <w:ind w:firstLine="0"/>
      <w:jc w:val="both"/>
      <w:outlineLvl w:val="4"/>
    </w:pPr>
    <w:rPr>
      <w:rFonts w:asciiTheme="majorHAnsi" w:eastAsiaTheme="majorEastAsia" w:hAnsiTheme="majorHAnsi" w:cstheme="majorBidi"/>
      <w:color w:val="2F5496" w:themeColor="accent1" w:themeShade="BF"/>
      <w:kern w:val="0"/>
      <w:sz w:val="22"/>
      <w:szCs w:val="22"/>
      <w:lang w:eastAsia="en-US"/>
    </w:rPr>
  </w:style>
  <w:style w:type="paragraph" w:styleId="Heading6">
    <w:name w:val="heading 6"/>
    <w:basedOn w:val="Normal"/>
    <w:next w:val="Normal"/>
    <w:link w:val="Heading6Char"/>
    <w:uiPriority w:val="9"/>
    <w:semiHidden/>
    <w:qFormat/>
    <w:rsid w:val="00F26AE4"/>
    <w:pPr>
      <w:keepNext/>
      <w:keepLines/>
      <w:spacing w:before="40"/>
      <w:ind w:firstLine="0"/>
      <w:outlineLvl w:val="5"/>
    </w:pPr>
    <w:rPr>
      <w:rFonts w:asciiTheme="majorHAnsi" w:eastAsiaTheme="majorEastAsia" w:hAnsiTheme="majorHAnsi" w:cstheme="majorBidi"/>
      <w:color w:val="1F3763" w:themeColor="accent1" w:themeShade="7F"/>
      <w:lang w:val="en-US"/>
    </w:rPr>
  </w:style>
  <w:style w:type="paragraph" w:styleId="Heading7">
    <w:name w:val="heading 7"/>
    <w:basedOn w:val="Normal"/>
    <w:next w:val="Normal"/>
    <w:link w:val="Heading7Char"/>
    <w:uiPriority w:val="9"/>
    <w:semiHidden/>
    <w:qFormat/>
    <w:rsid w:val="00F26AE4"/>
    <w:pPr>
      <w:keepNext/>
      <w:keepLines/>
      <w:spacing w:before="40"/>
      <w:ind w:firstLine="0"/>
      <w:outlineLvl w:val="6"/>
    </w:pPr>
    <w:rPr>
      <w:rFonts w:asciiTheme="majorHAnsi" w:eastAsiaTheme="majorEastAsia" w:hAnsiTheme="majorHAnsi" w:cstheme="majorBidi"/>
      <w:i/>
      <w:iCs/>
      <w:color w:val="1F3763" w:themeColor="accent1" w:themeShade="7F"/>
      <w:lang w:val="en-US"/>
    </w:rPr>
  </w:style>
  <w:style w:type="paragraph" w:styleId="Heading8">
    <w:name w:val="heading 8"/>
    <w:basedOn w:val="Normal"/>
    <w:next w:val="Normal"/>
    <w:link w:val="Heading8Char"/>
    <w:uiPriority w:val="9"/>
    <w:semiHidden/>
    <w:qFormat/>
    <w:rsid w:val="00F26AE4"/>
    <w:pPr>
      <w:keepNext/>
      <w:keepLines/>
      <w:spacing w:before="40"/>
      <w:ind w:firstLine="0"/>
      <w:outlineLvl w:val="7"/>
    </w:pPr>
    <w:rPr>
      <w:rFonts w:asciiTheme="majorHAnsi" w:eastAsiaTheme="majorEastAsia" w:hAnsiTheme="majorHAnsi" w:cstheme="majorBidi"/>
      <w:color w:val="272727" w:themeColor="text1" w:themeTint="D8"/>
      <w:sz w:val="22"/>
      <w:szCs w:val="21"/>
      <w:lang w:val="en-US"/>
    </w:rPr>
  </w:style>
  <w:style w:type="paragraph" w:styleId="Heading9">
    <w:name w:val="heading 9"/>
    <w:basedOn w:val="Normal"/>
    <w:next w:val="Normal"/>
    <w:link w:val="Heading9Char"/>
    <w:uiPriority w:val="9"/>
    <w:semiHidden/>
    <w:qFormat/>
    <w:rsid w:val="00F26AE4"/>
    <w:pPr>
      <w:keepNext/>
      <w:keepLines/>
      <w:spacing w:before="40"/>
      <w:ind w:firstLine="0"/>
      <w:outlineLvl w:val="8"/>
    </w:pPr>
    <w:rPr>
      <w:rFonts w:asciiTheme="majorHAnsi" w:eastAsiaTheme="majorEastAsia" w:hAnsiTheme="majorHAnsi" w:cstheme="majorBidi"/>
      <w:i/>
      <w:iCs/>
      <w:color w:val="272727" w:themeColor="text1" w:themeTint="D8"/>
      <w:sz w:val="22"/>
      <w:szCs w:val="21"/>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D2CE1"/>
  </w:style>
  <w:style w:type="table" w:customStyle="1" w:styleId="TableGrid1">
    <w:name w:val="Table Grid1"/>
    <w:basedOn w:val="TableNormal"/>
    <w:next w:val="TableGrid"/>
    <w:uiPriority w:val="39"/>
    <w:rsid w:val="007A7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1F9"/>
    <w:pPr>
      <w:spacing w:after="160" w:line="259" w:lineRule="auto"/>
      <w:ind w:left="720" w:firstLine="0"/>
      <w:contextualSpacing/>
    </w:pPr>
    <w:rPr>
      <w:rFonts w:eastAsiaTheme="minorHAnsi"/>
      <w:kern w:val="0"/>
      <w:sz w:val="22"/>
      <w:szCs w:val="22"/>
      <w:lang w:eastAsia="en-US"/>
    </w:rPr>
  </w:style>
  <w:style w:type="table" w:styleId="GridTable4-Accent3">
    <w:name w:val="Grid Table 4 Accent 3"/>
    <w:basedOn w:val="TableNormal"/>
    <w:uiPriority w:val="49"/>
    <w:rsid w:val="007A71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7A71F9"/>
    <w:pPr>
      <w:spacing w:line="240" w:lineRule="auto"/>
      <w:ind w:firstLine="0"/>
    </w:pPr>
    <w:rPr>
      <w:rFonts w:ascii="Segoe UI" w:eastAsiaTheme="minorHAnsi" w:hAnsi="Segoe UI" w:cs="Segoe UI"/>
      <w:kern w:val="0"/>
      <w:sz w:val="18"/>
      <w:szCs w:val="18"/>
      <w:lang w:eastAsia="en-US"/>
    </w:rPr>
  </w:style>
  <w:style w:type="character" w:customStyle="1" w:styleId="BalloonTextChar">
    <w:name w:val="Balloon Text Char"/>
    <w:basedOn w:val="DefaultParagraphFont"/>
    <w:link w:val="BalloonText"/>
    <w:uiPriority w:val="99"/>
    <w:semiHidden/>
    <w:rsid w:val="007A71F9"/>
    <w:rPr>
      <w:rFonts w:ascii="Segoe UI" w:hAnsi="Segoe UI" w:cs="Segoe UI"/>
      <w:sz w:val="18"/>
      <w:szCs w:val="18"/>
    </w:rPr>
  </w:style>
  <w:style w:type="table" w:styleId="GridTable4">
    <w:name w:val="Grid Table 4"/>
    <w:basedOn w:val="TableNormal"/>
    <w:uiPriority w:val="49"/>
    <w:rsid w:val="007A7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7A7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A71F9"/>
    <w:rPr>
      <w:sz w:val="16"/>
      <w:szCs w:val="16"/>
    </w:rPr>
  </w:style>
  <w:style w:type="paragraph" w:styleId="CommentText">
    <w:name w:val="annotation text"/>
    <w:basedOn w:val="Normal"/>
    <w:link w:val="CommentTextChar"/>
    <w:uiPriority w:val="99"/>
    <w:unhideWhenUsed/>
    <w:rsid w:val="007A71F9"/>
    <w:pPr>
      <w:spacing w:after="160" w:line="240" w:lineRule="auto"/>
      <w:ind w:firstLine="0"/>
    </w:pPr>
    <w:rPr>
      <w:rFonts w:eastAsiaTheme="minorHAnsi"/>
      <w:kern w:val="0"/>
      <w:sz w:val="20"/>
      <w:szCs w:val="20"/>
      <w:lang w:eastAsia="en-US"/>
    </w:rPr>
  </w:style>
  <w:style w:type="character" w:customStyle="1" w:styleId="CommentTextChar">
    <w:name w:val="Comment Text Char"/>
    <w:basedOn w:val="DefaultParagraphFont"/>
    <w:link w:val="CommentText"/>
    <w:uiPriority w:val="99"/>
    <w:rsid w:val="007A71F9"/>
    <w:rPr>
      <w:sz w:val="20"/>
      <w:szCs w:val="20"/>
    </w:rPr>
  </w:style>
  <w:style w:type="paragraph" w:styleId="CommentSubject">
    <w:name w:val="annotation subject"/>
    <w:basedOn w:val="CommentText"/>
    <w:next w:val="CommentText"/>
    <w:link w:val="CommentSubjectChar"/>
    <w:uiPriority w:val="99"/>
    <w:semiHidden/>
    <w:unhideWhenUsed/>
    <w:rsid w:val="007A71F9"/>
    <w:rPr>
      <w:b/>
      <w:bCs/>
    </w:rPr>
  </w:style>
  <w:style w:type="character" w:customStyle="1" w:styleId="CommentSubjectChar">
    <w:name w:val="Comment Subject Char"/>
    <w:basedOn w:val="CommentTextChar"/>
    <w:link w:val="CommentSubject"/>
    <w:uiPriority w:val="99"/>
    <w:semiHidden/>
    <w:rsid w:val="007A71F9"/>
    <w:rPr>
      <w:b/>
      <w:bCs/>
      <w:sz w:val="20"/>
      <w:szCs w:val="20"/>
    </w:rPr>
  </w:style>
  <w:style w:type="table" w:styleId="GridTable1Light-Accent1">
    <w:name w:val="Grid Table 1 Light Accent 1"/>
    <w:basedOn w:val="TableNormal"/>
    <w:uiPriority w:val="46"/>
    <w:rsid w:val="00B93B1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B93B1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Hyperlink">
    <w:name w:val="Hyperlink"/>
    <w:basedOn w:val="DefaultParagraphFont"/>
    <w:uiPriority w:val="99"/>
    <w:unhideWhenUsed/>
    <w:rsid w:val="00FE2BFE"/>
    <w:rPr>
      <w:color w:val="0000FF"/>
      <w:u w:val="single"/>
    </w:rPr>
  </w:style>
  <w:style w:type="character" w:customStyle="1" w:styleId="Heading5Char">
    <w:name w:val="Heading 5 Char"/>
    <w:basedOn w:val="DefaultParagraphFont"/>
    <w:link w:val="Heading5"/>
    <w:uiPriority w:val="4"/>
    <w:rsid w:val="009755DF"/>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4"/>
    <w:rsid w:val="00F26AE4"/>
    <w:rPr>
      <w:rFonts w:ascii="Arial" w:eastAsiaTheme="majorEastAsia" w:hAnsi="Arial" w:cs="Arial"/>
      <w:color w:val="2F5496" w:themeColor="accent1" w:themeShade="BF"/>
      <w:sz w:val="32"/>
      <w:szCs w:val="32"/>
    </w:rPr>
  </w:style>
  <w:style w:type="character" w:customStyle="1" w:styleId="Heading2Char">
    <w:name w:val="Heading 2 Char"/>
    <w:basedOn w:val="DefaultParagraphFont"/>
    <w:link w:val="Heading2"/>
    <w:uiPriority w:val="4"/>
    <w:rsid w:val="00F26AE4"/>
    <w:rPr>
      <w:rFonts w:ascii="Arial" w:eastAsia="Times New Roman" w:hAnsi="Arial" w:cs="Arial"/>
      <w:color w:val="2F5496" w:themeColor="accent1" w:themeShade="BF"/>
      <w:sz w:val="26"/>
      <w:szCs w:val="26"/>
      <w:lang w:eastAsia="en-GB"/>
    </w:rPr>
  </w:style>
  <w:style w:type="character" w:customStyle="1" w:styleId="Heading3Char">
    <w:name w:val="Heading 3 Char"/>
    <w:basedOn w:val="DefaultParagraphFont"/>
    <w:link w:val="Heading3"/>
    <w:uiPriority w:val="4"/>
    <w:rsid w:val="00F26AE4"/>
    <w:rPr>
      <w:rFonts w:ascii="Arial" w:eastAsia="Times New Roman" w:hAnsi="Arial" w:cs="Arial"/>
      <w:sz w:val="24"/>
      <w:szCs w:val="26"/>
      <w:u w:val="single"/>
      <w:lang w:eastAsia="en-GB"/>
    </w:rPr>
  </w:style>
  <w:style w:type="character" w:customStyle="1" w:styleId="Heading4Char">
    <w:name w:val="Heading 4 Char"/>
    <w:basedOn w:val="DefaultParagraphFont"/>
    <w:link w:val="Heading4"/>
    <w:uiPriority w:val="4"/>
    <w:rsid w:val="00F26AE4"/>
    <w:rPr>
      <w:rFonts w:asciiTheme="majorHAnsi" w:eastAsiaTheme="majorEastAsia" w:hAnsiTheme="majorHAnsi" w:cstheme="majorBidi"/>
      <w:b/>
      <w:bCs/>
      <w:i/>
      <w:iCs/>
      <w:kern w:val="24"/>
      <w:sz w:val="24"/>
      <w:szCs w:val="24"/>
      <w:lang w:val="en-US" w:eastAsia="ja-JP"/>
    </w:rPr>
  </w:style>
  <w:style w:type="character" w:customStyle="1" w:styleId="Heading6Char">
    <w:name w:val="Heading 6 Char"/>
    <w:basedOn w:val="DefaultParagraphFont"/>
    <w:link w:val="Heading6"/>
    <w:uiPriority w:val="9"/>
    <w:semiHidden/>
    <w:rsid w:val="00F26AE4"/>
    <w:rPr>
      <w:rFonts w:asciiTheme="majorHAnsi" w:eastAsiaTheme="majorEastAsia" w:hAnsiTheme="majorHAnsi" w:cstheme="majorBidi"/>
      <w:color w:val="1F3763" w:themeColor="accent1" w:themeShade="7F"/>
      <w:kern w:val="24"/>
      <w:sz w:val="24"/>
      <w:szCs w:val="24"/>
      <w:lang w:val="en-US" w:eastAsia="ja-JP"/>
    </w:rPr>
  </w:style>
  <w:style w:type="character" w:customStyle="1" w:styleId="Heading7Char">
    <w:name w:val="Heading 7 Char"/>
    <w:basedOn w:val="DefaultParagraphFont"/>
    <w:link w:val="Heading7"/>
    <w:uiPriority w:val="9"/>
    <w:semiHidden/>
    <w:rsid w:val="00F26AE4"/>
    <w:rPr>
      <w:rFonts w:asciiTheme="majorHAnsi" w:eastAsiaTheme="majorEastAsia" w:hAnsiTheme="majorHAnsi" w:cstheme="majorBidi"/>
      <w:i/>
      <w:iCs/>
      <w:color w:val="1F3763" w:themeColor="accent1" w:themeShade="7F"/>
      <w:kern w:val="24"/>
      <w:sz w:val="24"/>
      <w:szCs w:val="24"/>
      <w:lang w:val="en-US" w:eastAsia="ja-JP"/>
    </w:rPr>
  </w:style>
  <w:style w:type="character" w:customStyle="1" w:styleId="Heading8Char">
    <w:name w:val="Heading 8 Char"/>
    <w:basedOn w:val="DefaultParagraphFont"/>
    <w:link w:val="Heading8"/>
    <w:uiPriority w:val="9"/>
    <w:semiHidden/>
    <w:rsid w:val="00F26AE4"/>
    <w:rPr>
      <w:rFonts w:asciiTheme="majorHAnsi" w:eastAsiaTheme="majorEastAsia" w:hAnsiTheme="majorHAnsi" w:cstheme="majorBidi"/>
      <w:color w:val="272727" w:themeColor="text1" w:themeTint="D8"/>
      <w:kern w:val="24"/>
      <w:szCs w:val="21"/>
      <w:lang w:val="en-US" w:eastAsia="ja-JP"/>
    </w:rPr>
  </w:style>
  <w:style w:type="character" w:customStyle="1" w:styleId="Heading9Char">
    <w:name w:val="Heading 9 Char"/>
    <w:basedOn w:val="DefaultParagraphFont"/>
    <w:link w:val="Heading9"/>
    <w:uiPriority w:val="9"/>
    <w:semiHidden/>
    <w:rsid w:val="00F26AE4"/>
    <w:rPr>
      <w:rFonts w:asciiTheme="majorHAnsi" w:eastAsiaTheme="majorEastAsia" w:hAnsiTheme="majorHAnsi" w:cstheme="majorBidi"/>
      <w:i/>
      <w:iCs/>
      <w:color w:val="272727" w:themeColor="text1" w:themeTint="D8"/>
      <w:kern w:val="24"/>
      <w:szCs w:val="21"/>
      <w:lang w:val="en-US" w:eastAsia="ja-JP"/>
    </w:rPr>
  </w:style>
  <w:style w:type="paragraph" w:styleId="Header">
    <w:name w:val="header"/>
    <w:basedOn w:val="Normal"/>
    <w:link w:val="HeaderChar"/>
    <w:uiPriority w:val="99"/>
    <w:unhideWhenUsed/>
    <w:qFormat/>
    <w:rsid w:val="00F26AE4"/>
    <w:pPr>
      <w:tabs>
        <w:tab w:val="center" w:pos="4513"/>
        <w:tab w:val="right" w:pos="9026"/>
      </w:tabs>
      <w:spacing w:line="240" w:lineRule="auto"/>
      <w:ind w:firstLine="0"/>
      <w:jc w:val="both"/>
    </w:pPr>
    <w:rPr>
      <w:rFonts w:ascii="Arial" w:eastAsiaTheme="minorHAnsi" w:hAnsi="Arial"/>
      <w:kern w:val="0"/>
      <w:sz w:val="22"/>
      <w:szCs w:val="22"/>
      <w:lang w:eastAsia="en-US"/>
    </w:rPr>
  </w:style>
  <w:style w:type="character" w:customStyle="1" w:styleId="HeaderChar">
    <w:name w:val="Header Char"/>
    <w:basedOn w:val="DefaultParagraphFont"/>
    <w:link w:val="Header"/>
    <w:uiPriority w:val="99"/>
    <w:rsid w:val="00F26AE4"/>
    <w:rPr>
      <w:rFonts w:ascii="Arial" w:hAnsi="Arial"/>
    </w:rPr>
  </w:style>
  <w:style w:type="paragraph" w:styleId="Footer">
    <w:name w:val="footer"/>
    <w:basedOn w:val="Normal"/>
    <w:link w:val="FooterChar"/>
    <w:uiPriority w:val="99"/>
    <w:unhideWhenUsed/>
    <w:rsid w:val="00F26AE4"/>
    <w:pPr>
      <w:tabs>
        <w:tab w:val="center" w:pos="4513"/>
        <w:tab w:val="right" w:pos="9026"/>
      </w:tabs>
      <w:spacing w:line="240" w:lineRule="auto"/>
      <w:ind w:firstLine="0"/>
      <w:jc w:val="both"/>
    </w:pPr>
    <w:rPr>
      <w:rFonts w:ascii="Arial" w:eastAsiaTheme="minorHAnsi" w:hAnsi="Arial"/>
      <w:kern w:val="0"/>
      <w:sz w:val="22"/>
      <w:szCs w:val="22"/>
      <w:lang w:eastAsia="en-US"/>
    </w:rPr>
  </w:style>
  <w:style w:type="character" w:customStyle="1" w:styleId="FooterChar">
    <w:name w:val="Footer Char"/>
    <w:basedOn w:val="DefaultParagraphFont"/>
    <w:link w:val="Footer"/>
    <w:uiPriority w:val="99"/>
    <w:rsid w:val="00F26AE4"/>
    <w:rPr>
      <w:rFonts w:ascii="Arial" w:hAnsi="Arial"/>
    </w:rPr>
  </w:style>
  <w:style w:type="paragraph" w:styleId="TOCHeading">
    <w:name w:val="TOC Heading"/>
    <w:basedOn w:val="Heading1"/>
    <w:next w:val="Normal"/>
    <w:uiPriority w:val="39"/>
    <w:unhideWhenUsed/>
    <w:qFormat/>
    <w:rsid w:val="00F26AE4"/>
    <w:pPr>
      <w:jc w:val="left"/>
      <w:outlineLvl w:val="9"/>
    </w:pPr>
    <w:rPr>
      <w:lang w:val="en-US"/>
    </w:rPr>
  </w:style>
  <w:style w:type="paragraph" w:styleId="TOC1">
    <w:name w:val="toc 1"/>
    <w:basedOn w:val="Normal"/>
    <w:next w:val="Normal"/>
    <w:autoRedefine/>
    <w:uiPriority w:val="39"/>
    <w:unhideWhenUsed/>
    <w:rsid w:val="00F26AE4"/>
    <w:pPr>
      <w:tabs>
        <w:tab w:val="right" w:leader="dot" w:pos="9016"/>
      </w:tabs>
      <w:spacing w:after="100" w:line="259" w:lineRule="auto"/>
      <w:ind w:firstLine="0"/>
      <w:jc w:val="both"/>
    </w:pPr>
    <w:rPr>
      <w:rFonts w:ascii="Arial" w:eastAsiaTheme="minorHAnsi" w:hAnsi="Arial"/>
      <w:kern w:val="0"/>
      <w:sz w:val="22"/>
      <w:szCs w:val="22"/>
      <w:lang w:eastAsia="en-US"/>
    </w:rPr>
  </w:style>
  <w:style w:type="paragraph" w:styleId="TOC2">
    <w:name w:val="toc 2"/>
    <w:basedOn w:val="Normal"/>
    <w:next w:val="Normal"/>
    <w:autoRedefine/>
    <w:uiPriority w:val="39"/>
    <w:unhideWhenUsed/>
    <w:rsid w:val="00F26AE4"/>
    <w:pPr>
      <w:spacing w:after="100" w:line="259" w:lineRule="auto"/>
      <w:ind w:left="220" w:firstLine="0"/>
      <w:jc w:val="both"/>
    </w:pPr>
    <w:rPr>
      <w:rFonts w:ascii="Arial" w:eastAsiaTheme="minorHAnsi" w:hAnsi="Arial"/>
      <w:kern w:val="0"/>
      <w:sz w:val="22"/>
      <w:szCs w:val="22"/>
      <w:lang w:eastAsia="en-US"/>
    </w:rPr>
  </w:style>
  <w:style w:type="paragraph" w:styleId="FootnoteText">
    <w:name w:val="footnote text"/>
    <w:basedOn w:val="Normal"/>
    <w:link w:val="FootnoteTextChar"/>
    <w:uiPriority w:val="99"/>
    <w:unhideWhenUsed/>
    <w:rsid w:val="00F26AE4"/>
    <w:pPr>
      <w:spacing w:line="240" w:lineRule="auto"/>
      <w:ind w:firstLine="0"/>
      <w:jc w:val="both"/>
    </w:pPr>
    <w:rPr>
      <w:rFonts w:eastAsiaTheme="minorHAnsi"/>
      <w:kern w:val="0"/>
      <w:sz w:val="20"/>
      <w:szCs w:val="20"/>
      <w:lang w:eastAsia="en-US"/>
    </w:rPr>
  </w:style>
  <w:style w:type="character" w:customStyle="1" w:styleId="FootnoteTextChar">
    <w:name w:val="Footnote Text Char"/>
    <w:basedOn w:val="DefaultParagraphFont"/>
    <w:link w:val="FootnoteText"/>
    <w:uiPriority w:val="99"/>
    <w:rsid w:val="00F26AE4"/>
    <w:rPr>
      <w:sz w:val="20"/>
      <w:szCs w:val="20"/>
    </w:rPr>
  </w:style>
  <w:style w:type="character" w:styleId="FootnoteReference">
    <w:name w:val="footnote reference"/>
    <w:basedOn w:val="DefaultParagraphFont"/>
    <w:uiPriority w:val="99"/>
    <w:unhideWhenUsed/>
    <w:qFormat/>
    <w:rsid w:val="00F26AE4"/>
    <w:rPr>
      <w:vertAlign w:val="superscript"/>
    </w:rPr>
  </w:style>
  <w:style w:type="paragraph" w:customStyle="1" w:styleId="Default">
    <w:name w:val="Default"/>
    <w:rsid w:val="00F26AE4"/>
    <w:pPr>
      <w:autoSpaceDE w:val="0"/>
      <w:autoSpaceDN w:val="0"/>
      <w:adjustRightInd w:val="0"/>
      <w:spacing w:after="0" w:line="240" w:lineRule="auto"/>
    </w:pPr>
    <w:rPr>
      <w:rFonts w:ascii="ScalaLancetPro" w:hAnsi="ScalaLancetPro" w:cs="ScalaLancetPro"/>
      <w:color w:val="000000"/>
      <w:sz w:val="24"/>
      <w:szCs w:val="24"/>
    </w:rPr>
  </w:style>
  <w:style w:type="character" w:customStyle="1" w:styleId="A6">
    <w:name w:val="A6"/>
    <w:uiPriority w:val="99"/>
    <w:rsid w:val="00F26AE4"/>
    <w:rPr>
      <w:rFonts w:cs="ScalaLancetPro"/>
      <w:color w:val="211D1E"/>
      <w:sz w:val="9"/>
      <w:szCs w:val="9"/>
    </w:rPr>
  </w:style>
  <w:style w:type="paragraph" w:customStyle="1" w:styleId="Pa7">
    <w:name w:val="Pa7"/>
    <w:basedOn w:val="Default"/>
    <w:next w:val="Default"/>
    <w:uiPriority w:val="99"/>
    <w:rsid w:val="00F26AE4"/>
    <w:pPr>
      <w:spacing w:line="181" w:lineRule="atLeast"/>
    </w:pPr>
    <w:rPr>
      <w:rFonts w:cstheme="minorBidi"/>
      <w:color w:val="auto"/>
    </w:rPr>
  </w:style>
  <w:style w:type="character" w:styleId="Emphasis">
    <w:name w:val="Emphasis"/>
    <w:basedOn w:val="DefaultParagraphFont"/>
    <w:uiPriority w:val="4"/>
    <w:qFormat/>
    <w:rsid w:val="00F26AE4"/>
    <w:rPr>
      <w:i/>
      <w:iCs/>
    </w:rPr>
  </w:style>
  <w:style w:type="paragraph" w:customStyle="1" w:styleId="SectionTitle">
    <w:name w:val="Section Title"/>
    <w:basedOn w:val="Normal"/>
    <w:uiPriority w:val="2"/>
    <w:qFormat/>
    <w:rsid w:val="00F26AE4"/>
    <w:pPr>
      <w:pageBreakBefore/>
      <w:ind w:firstLine="0"/>
      <w:jc w:val="center"/>
      <w:outlineLvl w:val="0"/>
    </w:pPr>
    <w:rPr>
      <w:rFonts w:asciiTheme="majorHAnsi" w:eastAsiaTheme="majorEastAsia" w:hAnsiTheme="majorHAnsi" w:cstheme="majorBidi"/>
      <w:lang w:val="en-US"/>
    </w:rPr>
  </w:style>
  <w:style w:type="character" w:styleId="Strong">
    <w:name w:val="Strong"/>
    <w:basedOn w:val="DefaultParagraphFont"/>
    <w:uiPriority w:val="22"/>
    <w:unhideWhenUsed/>
    <w:qFormat/>
    <w:rsid w:val="00F26AE4"/>
    <w:rPr>
      <w:b w:val="0"/>
      <w:bCs w:val="0"/>
      <w:caps/>
      <w:smallCaps w:val="0"/>
    </w:rPr>
  </w:style>
  <w:style w:type="character" w:styleId="PlaceholderText">
    <w:name w:val="Placeholder Text"/>
    <w:basedOn w:val="DefaultParagraphFont"/>
    <w:uiPriority w:val="99"/>
    <w:semiHidden/>
    <w:rsid w:val="00F26AE4"/>
    <w:rPr>
      <w:color w:val="404040" w:themeColor="text1" w:themeTint="BF"/>
    </w:rPr>
  </w:style>
  <w:style w:type="paragraph" w:styleId="NoSpacing">
    <w:name w:val="No Spacing"/>
    <w:aliases w:val="No Indent"/>
    <w:uiPriority w:val="3"/>
    <w:qFormat/>
    <w:rsid w:val="00F26AE4"/>
    <w:pPr>
      <w:spacing w:after="0" w:line="480" w:lineRule="auto"/>
    </w:pPr>
    <w:rPr>
      <w:rFonts w:eastAsiaTheme="minorEastAsia"/>
      <w:sz w:val="24"/>
      <w:szCs w:val="24"/>
      <w:lang w:val="en-US" w:eastAsia="ja-JP"/>
    </w:rPr>
  </w:style>
  <w:style w:type="paragraph" w:styleId="Title">
    <w:name w:val="Title"/>
    <w:basedOn w:val="Normal"/>
    <w:link w:val="TitleChar"/>
    <w:qFormat/>
    <w:rsid w:val="00F26AE4"/>
    <w:pPr>
      <w:spacing w:before="2400"/>
      <w:ind w:firstLine="0"/>
      <w:contextualSpacing/>
      <w:jc w:val="center"/>
    </w:pPr>
    <w:rPr>
      <w:rFonts w:asciiTheme="majorHAnsi" w:eastAsiaTheme="majorEastAsia" w:hAnsiTheme="majorHAnsi" w:cstheme="majorBidi"/>
      <w:lang w:val="en-US"/>
    </w:rPr>
  </w:style>
  <w:style w:type="character" w:customStyle="1" w:styleId="TitleChar">
    <w:name w:val="Title Char"/>
    <w:basedOn w:val="DefaultParagraphFont"/>
    <w:link w:val="Title"/>
    <w:rsid w:val="00F26AE4"/>
    <w:rPr>
      <w:rFonts w:asciiTheme="majorHAnsi" w:eastAsiaTheme="majorEastAsia" w:hAnsiTheme="majorHAnsi" w:cstheme="majorBidi"/>
      <w:kern w:val="24"/>
      <w:sz w:val="24"/>
      <w:szCs w:val="24"/>
      <w:lang w:val="en-US" w:eastAsia="ja-JP"/>
    </w:rPr>
  </w:style>
  <w:style w:type="paragraph" w:styleId="Bibliography">
    <w:name w:val="Bibliography"/>
    <w:basedOn w:val="Normal"/>
    <w:next w:val="Normal"/>
    <w:uiPriority w:val="37"/>
    <w:unhideWhenUsed/>
    <w:qFormat/>
    <w:rsid w:val="00F26AE4"/>
    <w:pPr>
      <w:tabs>
        <w:tab w:val="left" w:pos="384"/>
      </w:tabs>
      <w:spacing w:after="240" w:line="240" w:lineRule="auto"/>
      <w:ind w:left="384" w:hanging="384"/>
    </w:pPr>
    <w:rPr>
      <w:lang w:val="en-US"/>
    </w:rPr>
  </w:style>
  <w:style w:type="paragraph" w:styleId="BlockText">
    <w:name w:val="Block Text"/>
    <w:basedOn w:val="Normal"/>
    <w:uiPriority w:val="99"/>
    <w:semiHidden/>
    <w:unhideWhenUsed/>
    <w:rsid w:val="00F26AE4"/>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lang w:val="en-US"/>
    </w:rPr>
  </w:style>
  <w:style w:type="paragraph" w:styleId="BodyText">
    <w:name w:val="Body Text"/>
    <w:basedOn w:val="Normal"/>
    <w:link w:val="BodyTextChar"/>
    <w:uiPriority w:val="99"/>
    <w:semiHidden/>
    <w:unhideWhenUsed/>
    <w:rsid w:val="00F26AE4"/>
    <w:pPr>
      <w:spacing w:after="120"/>
      <w:ind w:firstLine="0"/>
    </w:pPr>
    <w:rPr>
      <w:lang w:val="en-US"/>
    </w:rPr>
  </w:style>
  <w:style w:type="character" w:customStyle="1" w:styleId="BodyTextChar">
    <w:name w:val="Body Text Char"/>
    <w:basedOn w:val="DefaultParagraphFont"/>
    <w:link w:val="BodyText"/>
    <w:uiPriority w:val="99"/>
    <w:semiHidden/>
    <w:rsid w:val="00F26AE4"/>
    <w:rPr>
      <w:rFonts w:eastAsiaTheme="minorEastAsia"/>
      <w:kern w:val="24"/>
      <w:sz w:val="24"/>
      <w:szCs w:val="24"/>
      <w:lang w:val="en-US" w:eastAsia="ja-JP"/>
    </w:rPr>
  </w:style>
  <w:style w:type="paragraph" w:styleId="BodyText2">
    <w:name w:val="Body Text 2"/>
    <w:basedOn w:val="Normal"/>
    <w:link w:val="BodyText2Char"/>
    <w:uiPriority w:val="99"/>
    <w:semiHidden/>
    <w:unhideWhenUsed/>
    <w:rsid w:val="00F26AE4"/>
    <w:pPr>
      <w:spacing w:after="120"/>
      <w:ind w:firstLine="0"/>
    </w:pPr>
    <w:rPr>
      <w:lang w:val="en-US"/>
    </w:rPr>
  </w:style>
  <w:style w:type="character" w:customStyle="1" w:styleId="BodyText2Char">
    <w:name w:val="Body Text 2 Char"/>
    <w:basedOn w:val="DefaultParagraphFont"/>
    <w:link w:val="BodyText2"/>
    <w:uiPriority w:val="99"/>
    <w:semiHidden/>
    <w:rsid w:val="00F26AE4"/>
    <w:rPr>
      <w:rFonts w:eastAsiaTheme="minorEastAsia"/>
      <w:kern w:val="24"/>
      <w:sz w:val="24"/>
      <w:szCs w:val="24"/>
      <w:lang w:val="en-US" w:eastAsia="ja-JP"/>
    </w:rPr>
  </w:style>
  <w:style w:type="paragraph" w:styleId="BodyText3">
    <w:name w:val="Body Text 3"/>
    <w:basedOn w:val="Normal"/>
    <w:link w:val="BodyText3Char"/>
    <w:uiPriority w:val="99"/>
    <w:semiHidden/>
    <w:unhideWhenUsed/>
    <w:rsid w:val="00F26AE4"/>
    <w:pPr>
      <w:spacing w:after="120"/>
      <w:ind w:firstLine="0"/>
    </w:pPr>
    <w:rPr>
      <w:sz w:val="22"/>
      <w:szCs w:val="16"/>
      <w:lang w:val="en-US"/>
    </w:rPr>
  </w:style>
  <w:style w:type="character" w:customStyle="1" w:styleId="BodyText3Char">
    <w:name w:val="Body Text 3 Char"/>
    <w:basedOn w:val="DefaultParagraphFont"/>
    <w:link w:val="BodyText3"/>
    <w:uiPriority w:val="99"/>
    <w:semiHidden/>
    <w:rsid w:val="00F26AE4"/>
    <w:rPr>
      <w:rFonts w:eastAsiaTheme="minorEastAsia"/>
      <w:kern w:val="24"/>
      <w:szCs w:val="16"/>
      <w:lang w:val="en-US" w:eastAsia="ja-JP"/>
    </w:rPr>
  </w:style>
  <w:style w:type="paragraph" w:styleId="BodyTextFirstIndent">
    <w:name w:val="Body Text First Indent"/>
    <w:basedOn w:val="BodyText"/>
    <w:link w:val="BodyTextFirstIndentChar"/>
    <w:uiPriority w:val="99"/>
    <w:semiHidden/>
    <w:unhideWhenUsed/>
    <w:rsid w:val="00F26AE4"/>
    <w:pPr>
      <w:spacing w:after="0"/>
    </w:pPr>
  </w:style>
  <w:style w:type="character" w:customStyle="1" w:styleId="BodyTextFirstIndentChar">
    <w:name w:val="Body Text First Indent Char"/>
    <w:basedOn w:val="BodyTextChar"/>
    <w:link w:val="BodyTextFirstIndent"/>
    <w:uiPriority w:val="99"/>
    <w:semiHidden/>
    <w:rsid w:val="00F26AE4"/>
    <w:rPr>
      <w:rFonts w:eastAsiaTheme="minorEastAsia"/>
      <w:kern w:val="24"/>
      <w:sz w:val="24"/>
      <w:szCs w:val="24"/>
      <w:lang w:val="en-US" w:eastAsia="ja-JP"/>
    </w:rPr>
  </w:style>
  <w:style w:type="paragraph" w:styleId="BodyTextIndent">
    <w:name w:val="Body Text Indent"/>
    <w:basedOn w:val="Normal"/>
    <w:link w:val="BodyTextIndentChar"/>
    <w:uiPriority w:val="99"/>
    <w:semiHidden/>
    <w:unhideWhenUsed/>
    <w:rsid w:val="00F26AE4"/>
    <w:pPr>
      <w:spacing w:after="120"/>
      <w:ind w:left="360" w:firstLine="0"/>
    </w:pPr>
    <w:rPr>
      <w:lang w:val="en-US"/>
    </w:rPr>
  </w:style>
  <w:style w:type="character" w:customStyle="1" w:styleId="BodyTextIndentChar">
    <w:name w:val="Body Text Indent Char"/>
    <w:basedOn w:val="DefaultParagraphFont"/>
    <w:link w:val="BodyTextIndent"/>
    <w:uiPriority w:val="99"/>
    <w:semiHidden/>
    <w:rsid w:val="00F26AE4"/>
    <w:rPr>
      <w:rFonts w:eastAsiaTheme="minorEastAsia"/>
      <w:kern w:val="24"/>
      <w:sz w:val="24"/>
      <w:szCs w:val="24"/>
      <w:lang w:val="en-US" w:eastAsia="ja-JP"/>
    </w:rPr>
  </w:style>
  <w:style w:type="paragraph" w:styleId="BodyTextFirstIndent2">
    <w:name w:val="Body Text First Indent 2"/>
    <w:basedOn w:val="BodyTextIndent"/>
    <w:link w:val="BodyTextFirstIndent2Char"/>
    <w:uiPriority w:val="99"/>
    <w:semiHidden/>
    <w:unhideWhenUsed/>
    <w:rsid w:val="00F26AE4"/>
    <w:pPr>
      <w:spacing w:after="0"/>
    </w:pPr>
  </w:style>
  <w:style w:type="character" w:customStyle="1" w:styleId="BodyTextFirstIndent2Char">
    <w:name w:val="Body Text First Indent 2 Char"/>
    <w:basedOn w:val="BodyTextIndentChar"/>
    <w:link w:val="BodyTextFirstIndent2"/>
    <w:uiPriority w:val="99"/>
    <w:semiHidden/>
    <w:rsid w:val="00F26AE4"/>
    <w:rPr>
      <w:rFonts w:eastAsiaTheme="minorEastAsia"/>
      <w:kern w:val="24"/>
      <w:sz w:val="24"/>
      <w:szCs w:val="24"/>
      <w:lang w:val="en-US" w:eastAsia="ja-JP"/>
    </w:rPr>
  </w:style>
  <w:style w:type="paragraph" w:styleId="BodyTextIndent2">
    <w:name w:val="Body Text Indent 2"/>
    <w:basedOn w:val="Normal"/>
    <w:link w:val="BodyTextIndent2Char"/>
    <w:uiPriority w:val="99"/>
    <w:semiHidden/>
    <w:unhideWhenUsed/>
    <w:rsid w:val="00F26AE4"/>
    <w:pPr>
      <w:spacing w:after="120"/>
      <w:ind w:left="360" w:firstLine="0"/>
    </w:pPr>
    <w:rPr>
      <w:lang w:val="en-US"/>
    </w:rPr>
  </w:style>
  <w:style w:type="character" w:customStyle="1" w:styleId="BodyTextIndent2Char">
    <w:name w:val="Body Text Indent 2 Char"/>
    <w:basedOn w:val="DefaultParagraphFont"/>
    <w:link w:val="BodyTextIndent2"/>
    <w:uiPriority w:val="99"/>
    <w:semiHidden/>
    <w:rsid w:val="00F26AE4"/>
    <w:rPr>
      <w:rFonts w:eastAsiaTheme="minorEastAsia"/>
      <w:kern w:val="24"/>
      <w:sz w:val="24"/>
      <w:szCs w:val="24"/>
      <w:lang w:val="en-US" w:eastAsia="ja-JP"/>
    </w:rPr>
  </w:style>
  <w:style w:type="paragraph" w:styleId="BodyTextIndent3">
    <w:name w:val="Body Text Indent 3"/>
    <w:basedOn w:val="Normal"/>
    <w:link w:val="BodyTextIndent3Char"/>
    <w:uiPriority w:val="99"/>
    <w:semiHidden/>
    <w:unhideWhenUsed/>
    <w:rsid w:val="00F26AE4"/>
    <w:pPr>
      <w:spacing w:after="120"/>
      <w:ind w:left="360" w:firstLine="0"/>
    </w:pPr>
    <w:rPr>
      <w:sz w:val="22"/>
      <w:szCs w:val="16"/>
      <w:lang w:val="en-US"/>
    </w:rPr>
  </w:style>
  <w:style w:type="character" w:customStyle="1" w:styleId="BodyTextIndent3Char">
    <w:name w:val="Body Text Indent 3 Char"/>
    <w:basedOn w:val="DefaultParagraphFont"/>
    <w:link w:val="BodyTextIndent3"/>
    <w:uiPriority w:val="99"/>
    <w:semiHidden/>
    <w:rsid w:val="00F26AE4"/>
    <w:rPr>
      <w:rFonts w:eastAsiaTheme="minorEastAsia"/>
      <w:kern w:val="24"/>
      <w:szCs w:val="16"/>
      <w:lang w:val="en-US" w:eastAsia="ja-JP"/>
    </w:rPr>
  </w:style>
  <w:style w:type="paragraph" w:styleId="Caption">
    <w:name w:val="caption"/>
    <w:basedOn w:val="Normal"/>
    <w:next w:val="Normal"/>
    <w:uiPriority w:val="35"/>
    <w:unhideWhenUsed/>
    <w:qFormat/>
    <w:rsid w:val="00F26AE4"/>
    <w:pPr>
      <w:spacing w:after="200" w:line="240" w:lineRule="auto"/>
      <w:ind w:firstLine="0"/>
    </w:pPr>
    <w:rPr>
      <w:i/>
      <w:iCs/>
      <w:color w:val="44546A" w:themeColor="text2"/>
      <w:sz w:val="22"/>
      <w:szCs w:val="18"/>
      <w:lang w:val="en-US"/>
    </w:rPr>
  </w:style>
  <w:style w:type="paragraph" w:styleId="Closing">
    <w:name w:val="Closing"/>
    <w:basedOn w:val="Normal"/>
    <w:link w:val="ClosingChar"/>
    <w:uiPriority w:val="99"/>
    <w:semiHidden/>
    <w:unhideWhenUsed/>
    <w:rsid w:val="00F26AE4"/>
    <w:pPr>
      <w:spacing w:line="240" w:lineRule="auto"/>
      <w:ind w:left="4320" w:firstLine="0"/>
    </w:pPr>
    <w:rPr>
      <w:lang w:val="en-US"/>
    </w:rPr>
  </w:style>
  <w:style w:type="character" w:customStyle="1" w:styleId="ClosingChar">
    <w:name w:val="Closing Char"/>
    <w:basedOn w:val="DefaultParagraphFont"/>
    <w:link w:val="Closing"/>
    <w:uiPriority w:val="99"/>
    <w:semiHidden/>
    <w:rsid w:val="00F26AE4"/>
    <w:rPr>
      <w:rFonts w:eastAsiaTheme="minorEastAsia"/>
      <w:kern w:val="24"/>
      <w:sz w:val="24"/>
      <w:szCs w:val="24"/>
      <w:lang w:val="en-US" w:eastAsia="ja-JP"/>
    </w:rPr>
  </w:style>
  <w:style w:type="paragraph" w:styleId="Date">
    <w:name w:val="Date"/>
    <w:basedOn w:val="Normal"/>
    <w:next w:val="Normal"/>
    <w:link w:val="DateChar"/>
    <w:uiPriority w:val="99"/>
    <w:semiHidden/>
    <w:unhideWhenUsed/>
    <w:rsid w:val="00F26AE4"/>
    <w:pPr>
      <w:ind w:firstLine="0"/>
    </w:pPr>
    <w:rPr>
      <w:lang w:val="en-US"/>
    </w:rPr>
  </w:style>
  <w:style w:type="character" w:customStyle="1" w:styleId="DateChar">
    <w:name w:val="Date Char"/>
    <w:basedOn w:val="DefaultParagraphFont"/>
    <w:link w:val="Date"/>
    <w:uiPriority w:val="99"/>
    <w:semiHidden/>
    <w:rsid w:val="00F26AE4"/>
    <w:rPr>
      <w:rFonts w:eastAsiaTheme="minorEastAsia"/>
      <w:kern w:val="24"/>
      <w:sz w:val="24"/>
      <w:szCs w:val="24"/>
      <w:lang w:val="en-US" w:eastAsia="ja-JP"/>
    </w:rPr>
  </w:style>
  <w:style w:type="paragraph" w:styleId="DocumentMap">
    <w:name w:val="Document Map"/>
    <w:basedOn w:val="Normal"/>
    <w:link w:val="DocumentMapChar"/>
    <w:uiPriority w:val="99"/>
    <w:semiHidden/>
    <w:unhideWhenUsed/>
    <w:rsid w:val="00F26AE4"/>
    <w:pPr>
      <w:spacing w:line="240" w:lineRule="auto"/>
      <w:ind w:firstLine="0"/>
    </w:pPr>
    <w:rPr>
      <w:rFonts w:ascii="Segoe UI" w:hAnsi="Segoe UI" w:cs="Segoe UI"/>
      <w:sz w:val="22"/>
      <w:szCs w:val="16"/>
      <w:lang w:val="en-US"/>
    </w:rPr>
  </w:style>
  <w:style w:type="character" w:customStyle="1" w:styleId="DocumentMapChar">
    <w:name w:val="Document Map Char"/>
    <w:basedOn w:val="DefaultParagraphFont"/>
    <w:link w:val="DocumentMap"/>
    <w:uiPriority w:val="99"/>
    <w:semiHidden/>
    <w:rsid w:val="00F26AE4"/>
    <w:rPr>
      <w:rFonts w:ascii="Segoe UI" w:eastAsiaTheme="minorEastAsia" w:hAnsi="Segoe UI" w:cs="Segoe UI"/>
      <w:kern w:val="24"/>
      <w:szCs w:val="16"/>
      <w:lang w:val="en-US" w:eastAsia="ja-JP"/>
    </w:rPr>
  </w:style>
  <w:style w:type="paragraph" w:styleId="E-mailSignature">
    <w:name w:val="E-mail Signature"/>
    <w:basedOn w:val="Normal"/>
    <w:link w:val="E-mailSignatureChar"/>
    <w:uiPriority w:val="99"/>
    <w:semiHidden/>
    <w:unhideWhenUsed/>
    <w:rsid w:val="00F26AE4"/>
    <w:pPr>
      <w:spacing w:line="240" w:lineRule="auto"/>
      <w:ind w:firstLine="0"/>
    </w:pPr>
    <w:rPr>
      <w:lang w:val="en-US"/>
    </w:rPr>
  </w:style>
  <w:style w:type="character" w:customStyle="1" w:styleId="E-mailSignatureChar">
    <w:name w:val="E-mail Signature Char"/>
    <w:basedOn w:val="DefaultParagraphFont"/>
    <w:link w:val="E-mailSignature"/>
    <w:uiPriority w:val="99"/>
    <w:semiHidden/>
    <w:rsid w:val="00F26AE4"/>
    <w:rPr>
      <w:rFonts w:eastAsiaTheme="minorEastAsia"/>
      <w:kern w:val="24"/>
      <w:sz w:val="24"/>
      <w:szCs w:val="24"/>
      <w:lang w:val="en-US" w:eastAsia="ja-JP"/>
    </w:rPr>
  </w:style>
  <w:style w:type="paragraph" w:styleId="EnvelopeAddress">
    <w:name w:val="envelope address"/>
    <w:basedOn w:val="Normal"/>
    <w:uiPriority w:val="99"/>
    <w:semiHidden/>
    <w:unhideWhenUsed/>
    <w:rsid w:val="00F26AE4"/>
    <w:pPr>
      <w:framePr w:w="7920" w:h="1980" w:hRule="exact" w:hSpace="180" w:wrap="auto" w:hAnchor="page" w:xAlign="center" w:yAlign="bottom"/>
      <w:spacing w:line="240" w:lineRule="auto"/>
      <w:ind w:left="2880" w:firstLine="0"/>
    </w:pPr>
    <w:rPr>
      <w:rFonts w:asciiTheme="majorHAnsi" w:eastAsiaTheme="majorEastAsia" w:hAnsiTheme="majorHAnsi" w:cstheme="majorBidi"/>
      <w:lang w:val="en-US"/>
    </w:rPr>
  </w:style>
  <w:style w:type="paragraph" w:styleId="EnvelopeReturn">
    <w:name w:val="envelope return"/>
    <w:basedOn w:val="Normal"/>
    <w:uiPriority w:val="99"/>
    <w:semiHidden/>
    <w:unhideWhenUsed/>
    <w:rsid w:val="00F26AE4"/>
    <w:pPr>
      <w:spacing w:line="240" w:lineRule="auto"/>
      <w:ind w:firstLine="0"/>
    </w:pPr>
    <w:rPr>
      <w:rFonts w:asciiTheme="majorHAnsi" w:eastAsiaTheme="majorEastAsia" w:hAnsiTheme="majorHAnsi" w:cstheme="majorBidi"/>
      <w:sz w:val="22"/>
      <w:szCs w:val="20"/>
      <w:lang w:val="en-US"/>
    </w:rPr>
  </w:style>
  <w:style w:type="paragraph" w:styleId="HTMLAddress">
    <w:name w:val="HTML Address"/>
    <w:basedOn w:val="Normal"/>
    <w:link w:val="HTMLAddressChar"/>
    <w:uiPriority w:val="99"/>
    <w:semiHidden/>
    <w:unhideWhenUsed/>
    <w:rsid w:val="00F26AE4"/>
    <w:pPr>
      <w:spacing w:line="240" w:lineRule="auto"/>
      <w:ind w:firstLine="0"/>
    </w:pPr>
    <w:rPr>
      <w:i/>
      <w:iCs/>
      <w:lang w:val="en-US"/>
    </w:rPr>
  </w:style>
  <w:style w:type="character" w:customStyle="1" w:styleId="HTMLAddressChar">
    <w:name w:val="HTML Address Char"/>
    <w:basedOn w:val="DefaultParagraphFont"/>
    <w:link w:val="HTMLAddress"/>
    <w:uiPriority w:val="99"/>
    <w:semiHidden/>
    <w:rsid w:val="00F26AE4"/>
    <w:rPr>
      <w:rFonts w:eastAsiaTheme="minorEastAsia"/>
      <w:i/>
      <w:iCs/>
      <w:kern w:val="24"/>
      <w:sz w:val="24"/>
      <w:szCs w:val="24"/>
      <w:lang w:val="en-US" w:eastAsia="ja-JP"/>
    </w:rPr>
  </w:style>
  <w:style w:type="paragraph" w:styleId="HTMLPreformatted">
    <w:name w:val="HTML Preformatted"/>
    <w:basedOn w:val="Normal"/>
    <w:link w:val="HTMLPreformattedChar"/>
    <w:uiPriority w:val="99"/>
    <w:semiHidden/>
    <w:unhideWhenUsed/>
    <w:rsid w:val="00F26AE4"/>
    <w:pPr>
      <w:spacing w:line="240" w:lineRule="auto"/>
      <w:ind w:firstLine="0"/>
    </w:pPr>
    <w:rPr>
      <w:rFonts w:ascii="Consolas" w:hAnsi="Consolas" w:cs="Consolas"/>
      <w:sz w:val="22"/>
      <w:szCs w:val="20"/>
      <w:lang w:val="en-US"/>
    </w:rPr>
  </w:style>
  <w:style w:type="character" w:customStyle="1" w:styleId="HTMLPreformattedChar">
    <w:name w:val="HTML Preformatted Char"/>
    <w:basedOn w:val="DefaultParagraphFont"/>
    <w:link w:val="HTMLPreformatted"/>
    <w:uiPriority w:val="99"/>
    <w:semiHidden/>
    <w:rsid w:val="00F26AE4"/>
    <w:rPr>
      <w:rFonts w:ascii="Consolas" w:eastAsiaTheme="minorEastAsia" w:hAnsi="Consolas" w:cs="Consolas"/>
      <w:kern w:val="24"/>
      <w:szCs w:val="20"/>
      <w:lang w:val="en-US" w:eastAsia="ja-JP"/>
    </w:rPr>
  </w:style>
  <w:style w:type="paragraph" w:styleId="Index1">
    <w:name w:val="index 1"/>
    <w:basedOn w:val="Normal"/>
    <w:next w:val="Normal"/>
    <w:autoRedefine/>
    <w:uiPriority w:val="99"/>
    <w:semiHidden/>
    <w:unhideWhenUsed/>
    <w:rsid w:val="00F26AE4"/>
    <w:pPr>
      <w:spacing w:line="240" w:lineRule="auto"/>
      <w:ind w:left="240" w:firstLine="0"/>
    </w:pPr>
    <w:rPr>
      <w:lang w:val="en-US"/>
    </w:rPr>
  </w:style>
  <w:style w:type="paragraph" w:styleId="Index2">
    <w:name w:val="index 2"/>
    <w:basedOn w:val="Normal"/>
    <w:next w:val="Normal"/>
    <w:autoRedefine/>
    <w:uiPriority w:val="99"/>
    <w:semiHidden/>
    <w:unhideWhenUsed/>
    <w:rsid w:val="00F26AE4"/>
    <w:pPr>
      <w:spacing w:line="240" w:lineRule="auto"/>
      <w:ind w:left="480" w:firstLine="0"/>
    </w:pPr>
    <w:rPr>
      <w:lang w:val="en-US"/>
    </w:rPr>
  </w:style>
  <w:style w:type="paragraph" w:styleId="Index3">
    <w:name w:val="index 3"/>
    <w:basedOn w:val="Normal"/>
    <w:next w:val="Normal"/>
    <w:autoRedefine/>
    <w:uiPriority w:val="99"/>
    <w:semiHidden/>
    <w:unhideWhenUsed/>
    <w:rsid w:val="00F26AE4"/>
    <w:pPr>
      <w:spacing w:line="240" w:lineRule="auto"/>
      <w:ind w:left="720" w:firstLine="0"/>
    </w:pPr>
    <w:rPr>
      <w:lang w:val="en-US"/>
    </w:rPr>
  </w:style>
  <w:style w:type="paragraph" w:styleId="Index4">
    <w:name w:val="index 4"/>
    <w:basedOn w:val="Normal"/>
    <w:next w:val="Normal"/>
    <w:autoRedefine/>
    <w:uiPriority w:val="99"/>
    <w:semiHidden/>
    <w:unhideWhenUsed/>
    <w:rsid w:val="00F26AE4"/>
    <w:pPr>
      <w:spacing w:line="240" w:lineRule="auto"/>
      <w:ind w:left="960" w:firstLine="0"/>
    </w:pPr>
    <w:rPr>
      <w:lang w:val="en-US"/>
    </w:rPr>
  </w:style>
  <w:style w:type="paragraph" w:styleId="Index5">
    <w:name w:val="index 5"/>
    <w:basedOn w:val="Normal"/>
    <w:next w:val="Normal"/>
    <w:autoRedefine/>
    <w:uiPriority w:val="99"/>
    <w:semiHidden/>
    <w:unhideWhenUsed/>
    <w:rsid w:val="00F26AE4"/>
    <w:pPr>
      <w:spacing w:line="240" w:lineRule="auto"/>
      <w:ind w:left="1200" w:firstLine="0"/>
    </w:pPr>
    <w:rPr>
      <w:lang w:val="en-US"/>
    </w:rPr>
  </w:style>
  <w:style w:type="paragraph" w:styleId="Index6">
    <w:name w:val="index 6"/>
    <w:basedOn w:val="Normal"/>
    <w:next w:val="Normal"/>
    <w:autoRedefine/>
    <w:uiPriority w:val="99"/>
    <w:semiHidden/>
    <w:unhideWhenUsed/>
    <w:rsid w:val="00F26AE4"/>
    <w:pPr>
      <w:spacing w:line="240" w:lineRule="auto"/>
      <w:ind w:left="1440" w:firstLine="0"/>
    </w:pPr>
    <w:rPr>
      <w:lang w:val="en-US"/>
    </w:rPr>
  </w:style>
  <w:style w:type="paragraph" w:styleId="Index7">
    <w:name w:val="index 7"/>
    <w:basedOn w:val="Normal"/>
    <w:next w:val="Normal"/>
    <w:autoRedefine/>
    <w:uiPriority w:val="99"/>
    <w:semiHidden/>
    <w:unhideWhenUsed/>
    <w:rsid w:val="00F26AE4"/>
    <w:pPr>
      <w:spacing w:line="240" w:lineRule="auto"/>
      <w:ind w:left="1680" w:firstLine="0"/>
    </w:pPr>
    <w:rPr>
      <w:lang w:val="en-US"/>
    </w:rPr>
  </w:style>
  <w:style w:type="paragraph" w:styleId="Index8">
    <w:name w:val="index 8"/>
    <w:basedOn w:val="Normal"/>
    <w:next w:val="Normal"/>
    <w:autoRedefine/>
    <w:uiPriority w:val="99"/>
    <w:semiHidden/>
    <w:unhideWhenUsed/>
    <w:rsid w:val="00F26AE4"/>
    <w:pPr>
      <w:spacing w:line="240" w:lineRule="auto"/>
      <w:ind w:left="1920" w:firstLine="0"/>
    </w:pPr>
    <w:rPr>
      <w:lang w:val="en-US"/>
    </w:rPr>
  </w:style>
  <w:style w:type="paragraph" w:styleId="Index9">
    <w:name w:val="index 9"/>
    <w:basedOn w:val="Normal"/>
    <w:next w:val="Normal"/>
    <w:autoRedefine/>
    <w:uiPriority w:val="99"/>
    <w:semiHidden/>
    <w:unhideWhenUsed/>
    <w:rsid w:val="00F26AE4"/>
    <w:pPr>
      <w:spacing w:line="240" w:lineRule="auto"/>
      <w:ind w:left="2160" w:firstLine="0"/>
    </w:pPr>
    <w:rPr>
      <w:lang w:val="en-US"/>
    </w:rPr>
  </w:style>
  <w:style w:type="paragraph" w:styleId="IndexHeading">
    <w:name w:val="index heading"/>
    <w:basedOn w:val="Normal"/>
    <w:next w:val="Index1"/>
    <w:uiPriority w:val="99"/>
    <w:semiHidden/>
    <w:unhideWhenUsed/>
    <w:rsid w:val="00F26AE4"/>
    <w:pPr>
      <w:ind w:firstLine="0"/>
    </w:pPr>
    <w:rPr>
      <w:rFonts w:asciiTheme="majorHAnsi" w:eastAsiaTheme="majorEastAsia" w:hAnsiTheme="majorHAnsi" w:cstheme="majorBidi"/>
      <w:b/>
      <w:bCs/>
      <w:lang w:val="en-US"/>
    </w:rPr>
  </w:style>
  <w:style w:type="paragraph" w:styleId="IntenseQuote">
    <w:name w:val="Intense Quote"/>
    <w:basedOn w:val="Normal"/>
    <w:next w:val="Normal"/>
    <w:link w:val="IntenseQuoteChar"/>
    <w:uiPriority w:val="30"/>
    <w:unhideWhenUsed/>
    <w:qFormat/>
    <w:rsid w:val="00F26AE4"/>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lang w:val="en-US"/>
    </w:rPr>
  </w:style>
  <w:style w:type="character" w:customStyle="1" w:styleId="IntenseQuoteChar">
    <w:name w:val="Intense Quote Char"/>
    <w:basedOn w:val="DefaultParagraphFont"/>
    <w:link w:val="IntenseQuote"/>
    <w:uiPriority w:val="30"/>
    <w:rsid w:val="00F26AE4"/>
    <w:rPr>
      <w:rFonts w:eastAsiaTheme="minorEastAsia"/>
      <w:i/>
      <w:iCs/>
      <w:color w:val="404040" w:themeColor="text1" w:themeTint="BF"/>
      <w:kern w:val="24"/>
      <w:sz w:val="24"/>
      <w:szCs w:val="24"/>
      <w:lang w:val="en-US" w:eastAsia="ja-JP"/>
    </w:rPr>
  </w:style>
  <w:style w:type="paragraph" w:styleId="List">
    <w:name w:val="List"/>
    <w:basedOn w:val="Normal"/>
    <w:uiPriority w:val="99"/>
    <w:semiHidden/>
    <w:unhideWhenUsed/>
    <w:rsid w:val="00F26AE4"/>
    <w:pPr>
      <w:ind w:left="360" w:firstLine="0"/>
      <w:contextualSpacing/>
    </w:pPr>
    <w:rPr>
      <w:lang w:val="en-US"/>
    </w:rPr>
  </w:style>
  <w:style w:type="paragraph" w:styleId="List2">
    <w:name w:val="List 2"/>
    <w:basedOn w:val="Normal"/>
    <w:uiPriority w:val="99"/>
    <w:semiHidden/>
    <w:unhideWhenUsed/>
    <w:rsid w:val="00F26AE4"/>
    <w:pPr>
      <w:ind w:left="720" w:firstLine="0"/>
      <w:contextualSpacing/>
    </w:pPr>
    <w:rPr>
      <w:lang w:val="en-US"/>
    </w:rPr>
  </w:style>
  <w:style w:type="paragraph" w:styleId="List3">
    <w:name w:val="List 3"/>
    <w:basedOn w:val="Normal"/>
    <w:uiPriority w:val="99"/>
    <w:semiHidden/>
    <w:unhideWhenUsed/>
    <w:rsid w:val="00F26AE4"/>
    <w:pPr>
      <w:ind w:left="1080" w:firstLine="0"/>
      <w:contextualSpacing/>
    </w:pPr>
    <w:rPr>
      <w:lang w:val="en-US"/>
    </w:rPr>
  </w:style>
  <w:style w:type="paragraph" w:styleId="List4">
    <w:name w:val="List 4"/>
    <w:basedOn w:val="Normal"/>
    <w:uiPriority w:val="99"/>
    <w:semiHidden/>
    <w:unhideWhenUsed/>
    <w:rsid w:val="00F26AE4"/>
    <w:pPr>
      <w:ind w:left="1440" w:firstLine="0"/>
      <w:contextualSpacing/>
    </w:pPr>
    <w:rPr>
      <w:lang w:val="en-US"/>
    </w:rPr>
  </w:style>
  <w:style w:type="paragraph" w:styleId="List5">
    <w:name w:val="List 5"/>
    <w:basedOn w:val="Normal"/>
    <w:uiPriority w:val="99"/>
    <w:semiHidden/>
    <w:unhideWhenUsed/>
    <w:rsid w:val="00F26AE4"/>
    <w:pPr>
      <w:ind w:left="1800" w:firstLine="0"/>
      <w:contextualSpacing/>
    </w:pPr>
    <w:rPr>
      <w:lang w:val="en-US"/>
    </w:rPr>
  </w:style>
  <w:style w:type="paragraph" w:styleId="ListBullet">
    <w:name w:val="List Bullet"/>
    <w:basedOn w:val="Normal"/>
    <w:uiPriority w:val="9"/>
    <w:unhideWhenUsed/>
    <w:qFormat/>
    <w:rsid w:val="00F26AE4"/>
    <w:pPr>
      <w:numPr>
        <w:numId w:val="1"/>
      </w:numPr>
      <w:contextualSpacing/>
    </w:pPr>
    <w:rPr>
      <w:lang w:val="en-US"/>
    </w:rPr>
  </w:style>
  <w:style w:type="paragraph" w:styleId="ListBullet2">
    <w:name w:val="List Bullet 2"/>
    <w:basedOn w:val="Normal"/>
    <w:uiPriority w:val="99"/>
    <w:semiHidden/>
    <w:unhideWhenUsed/>
    <w:rsid w:val="00F26AE4"/>
    <w:pPr>
      <w:numPr>
        <w:numId w:val="2"/>
      </w:numPr>
      <w:ind w:firstLine="0"/>
      <w:contextualSpacing/>
    </w:pPr>
    <w:rPr>
      <w:lang w:val="en-US"/>
    </w:rPr>
  </w:style>
  <w:style w:type="paragraph" w:styleId="ListBullet3">
    <w:name w:val="List Bullet 3"/>
    <w:basedOn w:val="Normal"/>
    <w:uiPriority w:val="99"/>
    <w:semiHidden/>
    <w:unhideWhenUsed/>
    <w:rsid w:val="00F26AE4"/>
    <w:pPr>
      <w:numPr>
        <w:numId w:val="3"/>
      </w:numPr>
      <w:ind w:firstLine="0"/>
      <w:contextualSpacing/>
    </w:pPr>
    <w:rPr>
      <w:lang w:val="en-US"/>
    </w:rPr>
  </w:style>
  <w:style w:type="paragraph" w:styleId="ListBullet4">
    <w:name w:val="List Bullet 4"/>
    <w:basedOn w:val="Normal"/>
    <w:uiPriority w:val="99"/>
    <w:semiHidden/>
    <w:unhideWhenUsed/>
    <w:rsid w:val="00F26AE4"/>
    <w:pPr>
      <w:numPr>
        <w:numId w:val="4"/>
      </w:numPr>
      <w:ind w:firstLine="0"/>
      <w:contextualSpacing/>
    </w:pPr>
    <w:rPr>
      <w:lang w:val="en-US"/>
    </w:rPr>
  </w:style>
  <w:style w:type="paragraph" w:styleId="ListBullet5">
    <w:name w:val="List Bullet 5"/>
    <w:basedOn w:val="Normal"/>
    <w:uiPriority w:val="99"/>
    <w:semiHidden/>
    <w:unhideWhenUsed/>
    <w:rsid w:val="00F26AE4"/>
    <w:pPr>
      <w:numPr>
        <w:numId w:val="5"/>
      </w:numPr>
      <w:ind w:firstLine="0"/>
      <w:contextualSpacing/>
    </w:pPr>
    <w:rPr>
      <w:lang w:val="en-US"/>
    </w:rPr>
  </w:style>
  <w:style w:type="paragraph" w:styleId="ListContinue">
    <w:name w:val="List Continue"/>
    <w:basedOn w:val="Normal"/>
    <w:uiPriority w:val="99"/>
    <w:semiHidden/>
    <w:unhideWhenUsed/>
    <w:rsid w:val="00F26AE4"/>
    <w:pPr>
      <w:spacing w:after="120"/>
      <w:ind w:left="360" w:firstLine="0"/>
      <w:contextualSpacing/>
    </w:pPr>
    <w:rPr>
      <w:lang w:val="en-US"/>
    </w:rPr>
  </w:style>
  <w:style w:type="paragraph" w:styleId="ListContinue2">
    <w:name w:val="List Continue 2"/>
    <w:basedOn w:val="Normal"/>
    <w:uiPriority w:val="99"/>
    <w:semiHidden/>
    <w:unhideWhenUsed/>
    <w:rsid w:val="00F26AE4"/>
    <w:pPr>
      <w:spacing w:after="120"/>
      <w:ind w:left="720" w:firstLine="0"/>
      <w:contextualSpacing/>
    </w:pPr>
    <w:rPr>
      <w:lang w:val="en-US"/>
    </w:rPr>
  </w:style>
  <w:style w:type="paragraph" w:styleId="ListContinue3">
    <w:name w:val="List Continue 3"/>
    <w:basedOn w:val="Normal"/>
    <w:uiPriority w:val="99"/>
    <w:semiHidden/>
    <w:unhideWhenUsed/>
    <w:rsid w:val="00F26AE4"/>
    <w:pPr>
      <w:spacing w:after="120"/>
      <w:ind w:left="1080" w:firstLine="0"/>
      <w:contextualSpacing/>
    </w:pPr>
    <w:rPr>
      <w:lang w:val="en-US"/>
    </w:rPr>
  </w:style>
  <w:style w:type="paragraph" w:styleId="ListContinue4">
    <w:name w:val="List Continue 4"/>
    <w:basedOn w:val="Normal"/>
    <w:uiPriority w:val="99"/>
    <w:semiHidden/>
    <w:unhideWhenUsed/>
    <w:rsid w:val="00F26AE4"/>
    <w:pPr>
      <w:spacing w:after="120"/>
      <w:ind w:left="1440" w:firstLine="0"/>
      <w:contextualSpacing/>
    </w:pPr>
    <w:rPr>
      <w:lang w:val="en-US"/>
    </w:rPr>
  </w:style>
  <w:style w:type="paragraph" w:styleId="ListContinue5">
    <w:name w:val="List Continue 5"/>
    <w:basedOn w:val="Normal"/>
    <w:uiPriority w:val="99"/>
    <w:semiHidden/>
    <w:unhideWhenUsed/>
    <w:rsid w:val="00F26AE4"/>
    <w:pPr>
      <w:spacing w:after="120"/>
      <w:ind w:left="1800" w:firstLine="0"/>
      <w:contextualSpacing/>
    </w:pPr>
    <w:rPr>
      <w:lang w:val="en-US"/>
    </w:rPr>
  </w:style>
  <w:style w:type="paragraph" w:styleId="ListNumber">
    <w:name w:val="List Number"/>
    <w:basedOn w:val="Normal"/>
    <w:uiPriority w:val="9"/>
    <w:unhideWhenUsed/>
    <w:qFormat/>
    <w:rsid w:val="00F26AE4"/>
    <w:pPr>
      <w:numPr>
        <w:numId w:val="6"/>
      </w:numPr>
      <w:contextualSpacing/>
    </w:pPr>
    <w:rPr>
      <w:lang w:val="en-US"/>
    </w:rPr>
  </w:style>
  <w:style w:type="paragraph" w:styleId="ListNumber2">
    <w:name w:val="List Number 2"/>
    <w:basedOn w:val="Normal"/>
    <w:uiPriority w:val="99"/>
    <w:semiHidden/>
    <w:unhideWhenUsed/>
    <w:rsid w:val="00F26AE4"/>
    <w:pPr>
      <w:numPr>
        <w:numId w:val="7"/>
      </w:numPr>
      <w:ind w:firstLine="0"/>
      <w:contextualSpacing/>
    </w:pPr>
    <w:rPr>
      <w:lang w:val="en-US"/>
    </w:rPr>
  </w:style>
  <w:style w:type="paragraph" w:styleId="ListNumber3">
    <w:name w:val="List Number 3"/>
    <w:basedOn w:val="Normal"/>
    <w:uiPriority w:val="99"/>
    <w:semiHidden/>
    <w:unhideWhenUsed/>
    <w:rsid w:val="00F26AE4"/>
    <w:pPr>
      <w:numPr>
        <w:numId w:val="8"/>
      </w:numPr>
      <w:ind w:firstLine="0"/>
      <w:contextualSpacing/>
    </w:pPr>
    <w:rPr>
      <w:lang w:val="en-US"/>
    </w:rPr>
  </w:style>
  <w:style w:type="paragraph" w:styleId="ListNumber4">
    <w:name w:val="List Number 4"/>
    <w:basedOn w:val="Normal"/>
    <w:uiPriority w:val="99"/>
    <w:semiHidden/>
    <w:unhideWhenUsed/>
    <w:rsid w:val="00F26AE4"/>
    <w:pPr>
      <w:numPr>
        <w:numId w:val="9"/>
      </w:numPr>
      <w:ind w:firstLine="0"/>
      <w:contextualSpacing/>
    </w:pPr>
    <w:rPr>
      <w:lang w:val="en-US"/>
    </w:rPr>
  </w:style>
  <w:style w:type="paragraph" w:styleId="ListNumber5">
    <w:name w:val="List Number 5"/>
    <w:basedOn w:val="Normal"/>
    <w:uiPriority w:val="99"/>
    <w:semiHidden/>
    <w:unhideWhenUsed/>
    <w:rsid w:val="00F26AE4"/>
    <w:pPr>
      <w:numPr>
        <w:numId w:val="10"/>
      </w:numPr>
      <w:ind w:firstLine="0"/>
      <w:contextualSpacing/>
    </w:pPr>
    <w:rPr>
      <w:lang w:val="en-US"/>
    </w:rPr>
  </w:style>
  <w:style w:type="paragraph" w:styleId="MacroText">
    <w:name w:val="macro"/>
    <w:link w:val="MacroTextChar"/>
    <w:uiPriority w:val="99"/>
    <w:semiHidden/>
    <w:unhideWhenUsed/>
    <w:rsid w:val="00F26AE4"/>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eastAsiaTheme="minorEastAsia" w:hAnsi="Consolas" w:cs="Consolas"/>
      <w:kern w:val="24"/>
      <w:szCs w:val="20"/>
      <w:lang w:val="en-US" w:eastAsia="ja-JP"/>
    </w:rPr>
  </w:style>
  <w:style w:type="character" w:customStyle="1" w:styleId="MacroTextChar">
    <w:name w:val="Macro Text Char"/>
    <w:basedOn w:val="DefaultParagraphFont"/>
    <w:link w:val="MacroText"/>
    <w:uiPriority w:val="99"/>
    <w:semiHidden/>
    <w:rsid w:val="00F26AE4"/>
    <w:rPr>
      <w:rFonts w:ascii="Consolas" w:eastAsiaTheme="minorEastAsia" w:hAnsi="Consolas" w:cs="Consolas"/>
      <w:kern w:val="24"/>
      <w:szCs w:val="20"/>
      <w:lang w:val="en-US" w:eastAsia="ja-JP"/>
    </w:rPr>
  </w:style>
  <w:style w:type="paragraph" w:styleId="MessageHeader">
    <w:name w:val="Message Header"/>
    <w:basedOn w:val="Normal"/>
    <w:link w:val="MessageHeaderChar"/>
    <w:uiPriority w:val="99"/>
    <w:semiHidden/>
    <w:unhideWhenUsed/>
    <w:rsid w:val="00F26AE4"/>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lang w:val="en-US"/>
    </w:rPr>
  </w:style>
  <w:style w:type="character" w:customStyle="1" w:styleId="MessageHeaderChar">
    <w:name w:val="Message Header Char"/>
    <w:basedOn w:val="DefaultParagraphFont"/>
    <w:link w:val="MessageHeader"/>
    <w:uiPriority w:val="99"/>
    <w:semiHidden/>
    <w:rsid w:val="00F26AE4"/>
    <w:rPr>
      <w:rFonts w:asciiTheme="majorHAnsi" w:eastAsiaTheme="majorEastAsia" w:hAnsiTheme="majorHAnsi" w:cstheme="majorBidi"/>
      <w:kern w:val="24"/>
      <w:sz w:val="24"/>
      <w:szCs w:val="24"/>
      <w:shd w:val="pct20" w:color="auto" w:fill="auto"/>
      <w:lang w:val="en-US" w:eastAsia="ja-JP"/>
    </w:rPr>
  </w:style>
  <w:style w:type="paragraph" w:styleId="NormalWeb">
    <w:name w:val="Normal (Web)"/>
    <w:basedOn w:val="Normal"/>
    <w:uiPriority w:val="99"/>
    <w:semiHidden/>
    <w:unhideWhenUsed/>
    <w:rsid w:val="00F26AE4"/>
    <w:pPr>
      <w:ind w:firstLine="0"/>
    </w:pPr>
    <w:rPr>
      <w:rFonts w:ascii="Times New Roman" w:hAnsi="Times New Roman" w:cs="Times New Roman"/>
      <w:lang w:val="en-US"/>
    </w:rPr>
  </w:style>
  <w:style w:type="paragraph" w:styleId="NormalIndent">
    <w:name w:val="Normal Indent"/>
    <w:basedOn w:val="Normal"/>
    <w:uiPriority w:val="99"/>
    <w:semiHidden/>
    <w:unhideWhenUsed/>
    <w:rsid w:val="00F26AE4"/>
    <w:pPr>
      <w:ind w:left="720" w:firstLine="0"/>
    </w:pPr>
    <w:rPr>
      <w:lang w:val="en-US"/>
    </w:rPr>
  </w:style>
  <w:style w:type="paragraph" w:styleId="NoteHeading">
    <w:name w:val="Note Heading"/>
    <w:basedOn w:val="Normal"/>
    <w:next w:val="Normal"/>
    <w:link w:val="NoteHeadingChar"/>
    <w:uiPriority w:val="99"/>
    <w:semiHidden/>
    <w:unhideWhenUsed/>
    <w:rsid w:val="00F26AE4"/>
    <w:pPr>
      <w:spacing w:line="240" w:lineRule="auto"/>
      <w:ind w:firstLine="0"/>
    </w:pPr>
    <w:rPr>
      <w:lang w:val="en-US"/>
    </w:rPr>
  </w:style>
  <w:style w:type="character" w:customStyle="1" w:styleId="NoteHeadingChar">
    <w:name w:val="Note Heading Char"/>
    <w:basedOn w:val="DefaultParagraphFont"/>
    <w:link w:val="NoteHeading"/>
    <w:uiPriority w:val="99"/>
    <w:semiHidden/>
    <w:rsid w:val="00F26AE4"/>
    <w:rPr>
      <w:rFonts w:eastAsiaTheme="minorEastAsia"/>
      <w:kern w:val="24"/>
      <w:sz w:val="24"/>
      <w:szCs w:val="24"/>
      <w:lang w:val="en-US" w:eastAsia="ja-JP"/>
    </w:rPr>
  </w:style>
  <w:style w:type="paragraph" w:styleId="PlainText">
    <w:name w:val="Plain Text"/>
    <w:basedOn w:val="Normal"/>
    <w:link w:val="PlainTextChar"/>
    <w:uiPriority w:val="99"/>
    <w:semiHidden/>
    <w:unhideWhenUsed/>
    <w:rsid w:val="00F26AE4"/>
    <w:pPr>
      <w:spacing w:line="240" w:lineRule="auto"/>
      <w:ind w:firstLine="0"/>
    </w:pPr>
    <w:rPr>
      <w:rFonts w:ascii="Consolas" w:hAnsi="Consolas" w:cs="Consolas"/>
      <w:sz w:val="22"/>
      <w:szCs w:val="21"/>
      <w:lang w:val="en-US"/>
    </w:rPr>
  </w:style>
  <w:style w:type="character" w:customStyle="1" w:styleId="PlainTextChar">
    <w:name w:val="Plain Text Char"/>
    <w:basedOn w:val="DefaultParagraphFont"/>
    <w:link w:val="PlainText"/>
    <w:uiPriority w:val="99"/>
    <w:semiHidden/>
    <w:rsid w:val="00F26AE4"/>
    <w:rPr>
      <w:rFonts w:ascii="Consolas" w:eastAsiaTheme="minorEastAsia" w:hAnsi="Consolas" w:cs="Consolas"/>
      <w:kern w:val="24"/>
      <w:szCs w:val="21"/>
      <w:lang w:val="en-US" w:eastAsia="ja-JP"/>
    </w:rPr>
  </w:style>
  <w:style w:type="paragraph" w:styleId="Quote">
    <w:name w:val="Quote"/>
    <w:basedOn w:val="Normal"/>
    <w:next w:val="Normal"/>
    <w:link w:val="QuoteChar"/>
    <w:uiPriority w:val="29"/>
    <w:unhideWhenUsed/>
    <w:qFormat/>
    <w:rsid w:val="00F26AE4"/>
    <w:pPr>
      <w:spacing w:before="200" w:after="160"/>
      <w:ind w:left="864" w:right="864" w:firstLine="0"/>
      <w:jc w:val="center"/>
    </w:pPr>
    <w:rPr>
      <w:i/>
      <w:iCs/>
      <w:color w:val="404040" w:themeColor="text1" w:themeTint="BF"/>
      <w:lang w:val="en-US"/>
    </w:rPr>
  </w:style>
  <w:style w:type="character" w:customStyle="1" w:styleId="QuoteChar">
    <w:name w:val="Quote Char"/>
    <w:basedOn w:val="DefaultParagraphFont"/>
    <w:link w:val="Quote"/>
    <w:uiPriority w:val="29"/>
    <w:rsid w:val="00F26AE4"/>
    <w:rPr>
      <w:rFonts w:eastAsiaTheme="minorEastAsia"/>
      <w:i/>
      <w:iCs/>
      <w:color w:val="404040" w:themeColor="text1" w:themeTint="BF"/>
      <w:kern w:val="24"/>
      <w:sz w:val="24"/>
      <w:szCs w:val="24"/>
      <w:lang w:val="en-US" w:eastAsia="ja-JP"/>
    </w:rPr>
  </w:style>
  <w:style w:type="paragraph" w:styleId="Salutation">
    <w:name w:val="Salutation"/>
    <w:basedOn w:val="Normal"/>
    <w:next w:val="Normal"/>
    <w:link w:val="SalutationChar"/>
    <w:uiPriority w:val="99"/>
    <w:semiHidden/>
    <w:unhideWhenUsed/>
    <w:rsid w:val="00F26AE4"/>
    <w:pPr>
      <w:ind w:firstLine="0"/>
    </w:pPr>
    <w:rPr>
      <w:lang w:val="en-US"/>
    </w:rPr>
  </w:style>
  <w:style w:type="character" w:customStyle="1" w:styleId="SalutationChar">
    <w:name w:val="Salutation Char"/>
    <w:basedOn w:val="DefaultParagraphFont"/>
    <w:link w:val="Salutation"/>
    <w:uiPriority w:val="99"/>
    <w:semiHidden/>
    <w:rsid w:val="00F26AE4"/>
    <w:rPr>
      <w:rFonts w:eastAsiaTheme="minorEastAsia"/>
      <w:kern w:val="24"/>
      <w:sz w:val="24"/>
      <w:szCs w:val="24"/>
      <w:lang w:val="en-US" w:eastAsia="ja-JP"/>
    </w:rPr>
  </w:style>
  <w:style w:type="paragraph" w:styleId="Signature">
    <w:name w:val="Signature"/>
    <w:basedOn w:val="Normal"/>
    <w:link w:val="SignatureChar"/>
    <w:uiPriority w:val="99"/>
    <w:semiHidden/>
    <w:unhideWhenUsed/>
    <w:rsid w:val="00F26AE4"/>
    <w:pPr>
      <w:spacing w:line="240" w:lineRule="auto"/>
      <w:ind w:left="4320" w:firstLine="0"/>
    </w:pPr>
    <w:rPr>
      <w:lang w:val="en-US"/>
    </w:rPr>
  </w:style>
  <w:style w:type="character" w:customStyle="1" w:styleId="SignatureChar">
    <w:name w:val="Signature Char"/>
    <w:basedOn w:val="DefaultParagraphFont"/>
    <w:link w:val="Signature"/>
    <w:uiPriority w:val="99"/>
    <w:semiHidden/>
    <w:rsid w:val="00F26AE4"/>
    <w:rPr>
      <w:rFonts w:eastAsiaTheme="minorEastAsia"/>
      <w:kern w:val="24"/>
      <w:sz w:val="24"/>
      <w:szCs w:val="24"/>
      <w:lang w:val="en-US" w:eastAsia="ja-JP"/>
    </w:rPr>
  </w:style>
  <w:style w:type="paragraph" w:styleId="TableofAuthorities">
    <w:name w:val="table of authorities"/>
    <w:basedOn w:val="Normal"/>
    <w:next w:val="Normal"/>
    <w:uiPriority w:val="99"/>
    <w:semiHidden/>
    <w:unhideWhenUsed/>
    <w:rsid w:val="00F26AE4"/>
    <w:pPr>
      <w:ind w:left="240" w:firstLine="0"/>
    </w:pPr>
    <w:rPr>
      <w:lang w:val="en-US"/>
    </w:rPr>
  </w:style>
  <w:style w:type="paragraph" w:styleId="TableofFigures">
    <w:name w:val="table of figures"/>
    <w:basedOn w:val="Normal"/>
    <w:next w:val="Normal"/>
    <w:uiPriority w:val="99"/>
    <w:unhideWhenUsed/>
    <w:rsid w:val="00F26AE4"/>
    <w:pPr>
      <w:ind w:firstLine="0"/>
    </w:pPr>
    <w:rPr>
      <w:lang w:val="en-US"/>
    </w:rPr>
  </w:style>
  <w:style w:type="paragraph" w:styleId="TOAHeading">
    <w:name w:val="toa heading"/>
    <w:basedOn w:val="Normal"/>
    <w:next w:val="Normal"/>
    <w:uiPriority w:val="99"/>
    <w:semiHidden/>
    <w:unhideWhenUsed/>
    <w:rsid w:val="00F26AE4"/>
    <w:pPr>
      <w:spacing w:before="120"/>
      <w:ind w:firstLine="0"/>
    </w:pPr>
    <w:rPr>
      <w:rFonts w:asciiTheme="majorHAnsi" w:eastAsiaTheme="majorEastAsia" w:hAnsiTheme="majorHAnsi" w:cstheme="majorBidi"/>
      <w:b/>
      <w:bCs/>
      <w:lang w:val="en-US"/>
    </w:rPr>
  </w:style>
  <w:style w:type="paragraph" w:styleId="TOC4">
    <w:name w:val="toc 4"/>
    <w:basedOn w:val="Normal"/>
    <w:next w:val="Normal"/>
    <w:autoRedefine/>
    <w:uiPriority w:val="39"/>
    <w:unhideWhenUsed/>
    <w:rsid w:val="00F26AE4"/>
    <w:pPr>
      <w:spacing w:after="100"/>
      <w:ind w:left="720" w:firstLine="0"/>
    </w:pPr>
    <w:rPr>
      <w:lang w:val="en-US"/>
    </w:rPr>
  </w:style>
  <w:style w:type="paragraph" w:styleId="TOC5">
    <w:name w:val="toc 5"/>
    <w:basedOn w:val="Normal"/>
    <w:next w:val="Normal"/>
    <w:autoRedefine/>
    <w:uiPriority w:val="39"/>
    <w:unhideWhenUsed/>
    <w:rsid w:val="00F26AE4"/>
    <w:pPr>
      <w:spacing w:after="100"/>
      <w:ind w:left="960" w:firstLine="0"/>
    </w:pPr>
    <w:rPr>
      <w:lang w:val="en-US"/>
    </w:rPr>
  </w:style>
  <w:style w:type="paragraph" w:styleId="TOC6">
    <w:name w:val="toc 6"/>
    <w:basedOn w:val="Normal"/>
    <w:next w:val="Normal"/>
    <w:autoRedefine/>
    <w:uiPriority w:val="39"/>
    <w:unhideWhenUsed/>
    <w:rsid w:val="00F26AE4"/>
    <w:pPr>
      <w:spacing w:after="100"/>
      <w:ind w:left="1200" w:firstLine="0"/>
    </w:pPr>
    <w:rPr>
      <w:lang w:val="en-US"/>
    </w:rPr>
  </w:style>
  <w:style w:type="paragraph" w:styleId="TOC7">
    <w:name w:val="toc 7"/>
    <w:basedOn w:val="Normal"/>
    <w:next w:val="Normal"/>
    <w:autoRedefine/>
    <w:uiPriority w:val="39"/>
    <w:unhideWhenUsed/>
    <w:rsid w:val="00F26AE4"/>
    <w:pPr>
      <w:spacing w:after="100"/>
      <w:ind w:left="1440" w:firstLine="0"/>
    </w:pPr>
    <w:rPr>
      <w:lang w:val="en-US"/>
    </w:rPr>
  </w:style>
  <w:style w:type="paragraph" w:styleId="TOC8">
    <w:name w:val="toc 8"/>
    <w:basedOn w:val="Normal"/>
    <w:next w:val="Normal"/>
    <w:autoRedefine/>
    <w:uiPriority w:val="39"/>
    <w:unhideWhenUsed/>
    <w:rsid w:val="00F26AE4"/>
    <w:pPr>
      <w:spacing w:after="100"/>
      <w:ind w:left="1680" w:firstLine="0"/>
    </w:pPr>
    <w:rPr>
      <w:lang w:val="en-US"/>
    </w:rPr>
  </w:style>
  <w:style w:type="paragraph" w:styleId="TOC9">
    <w:name w:val="toc 9"/>
    <w:basedOn w:val="Normal"/>
    <w:next w:val="Normal"/>
    <w:autoRedefine/>
    <w:uiPriority w:val="39"/>
    <w:unhideWhenUsed/>
    <w:rsid w:val="00F26AE4"/>
    <w:pPr>
      <w:spacing w:after="100"/>
      <w:ind w:left="1920" w:firstLine="0"/>
    </w:pPr>
    <w:rPr>
      <w:lang w:val="en-US"/>
    </w:rPr>
  </w:style>
  <w:style w:type="character" w:styleId="EndnoteReference">
    <w:name w:val="endnote reference"/>
    <w:basedOn w:val="DefaultParagraphFont"/>
    <w:uiPriority w:val="99"/>
    <w:semiHidden/>
    <w:unhideWhenUsed/>
    <w:rsid w:val="00F26AE4"/>
    <w:rPr>
      <w:vertAlign w:val="superscript"/>
    </w:rPr>
  </w:style>
  <w:style w:type="table" w:customStyle="1" w:styleId="APAReport">
    <w:name w:val="APA Report"/>
    <w:basedOn w:val="TableNormal"/>
    <w:uiPriority w:val="99"/>
    <w:rsid w:val="00F26AE4"/>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F26AE4"/>
    <w:pPr>
      <w:spacing w:before="240"/>
      <w:ind w:firstLine="0"/>
      <w:contextualSpacing/>
    </w:pPr>
    <w:rPr>
      <w:lang w:val="en-US"/>
    </w:rPr>
  </w:style>
  <w:style w:type="table" w:styleId="PlainTable1">
    <w:name w:val="Plain Table 1"/>
    <w:basedOn w:val="TableNormal"/>
    <w:uiPriority w:val="41"/>
    <w:rsid w:val="00F26AE4"/>
    <w:pPr>
      <w:spacing w:after="0" w:line="240" w:lineRule="auto"/>
      <w:ind w:firstLine="720"/>
    </w:pPr>
    <w:rPr>
      <w:rFonts w:eastAsiaTheme="minorEastAsia"/>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qFormat/>
    <w:rsid w:val="00F26AE4"/>
    <w:pPr>
      <w:spacing w:line="240" w:lineRule="auto"/>
    </w:pPr>
    <w:rPr>
      <w:sz w:val="22"/>
      <w:szCs w:val="20"/>
      <w:lang w:val="en-US"/>
    </w:rPr>
  </w:style>
  <w:style w:type="character" w:customStyle="1" w:styleId="EndnoteTextChar">
    <w:name w:val="Endnote Text Char"/>
    <w:basedOn w:val="DefaultParagraphFont"/>
    <w:link w:val="EndnoteText"/>
    <w:uiPriority w:val="99"/>
    <w:semiHidden/>
    <w:rsid w:val="00F26AE4"/>
    <w:rPr>
      <w:rFonts w:eastAsiaTheme="minorEastAsia"/>
      <w:kern w:val="24"/>
      <w:szCs w:val="20"/>
      <w:lang w:val="en-US" w:eastAsia="ja-JP"/>
    </w:rPr>
  </w:style>
  <w:style w:type="character" w:styleId="HTMLCode">
    <w:name w:val="HTML Code"/>
    <w:basedOn w:val="DefaultParagraphFont"/>
    <w:uiPriority w:val="99"/>
    <w:semiHidden/>
    <w:unhideWhenUsed/>
    <w:rsid w:val="00F26AE4"/>
    <w:rPr>
      <w:rFonts w:ascii="Consolas" w:hAnsi="Consolas"/>
      <w:sz w:val="22"/>
      <w:szCs w:val="20"/>
    </w:rPr>
  </w:style>
  <w:style w:type="character" w:styleId="HTMLKeyboard">
    <w:name w:val="HTML Keyboard"/>
    <w:basedOn w:val="DefaultParagraphFont"/>
    <w:uiPriority w:val="99"/>
    <w:semiHidden/>
    <w:unhideWhenUsed/>
    <w:rsid w:val="00F26AE4"/>
    <w:rPr>
      <w:rFonts w:ascii="Consolas" w:hAnsi="Consolas"/>
      <w:sz w:val="22"/>
      <w:szCs w:val="20"/>
    </w:rPr>
  </w:style>
  <w:style w:type="character" w:styleId="HTMLTypewriter">
    <w:name w:val="HTML Typewriter"/>
    <w:basedOn w:val="DefaultParagraphFont"/>
    <w:uiPriority w:val="99"/>
    <w:semiHidden/>
    <w:unhideWhenUsed/>
    <w:rsid w:val="00F26AE4"/>
    <w:rPr>
      <w:rFonts w:ascii="Consolas" w:hAnsi="Consolas"/>
      <w:sz w:val="22"/>
      <w:szCs w:val="20"/>
    </w:rPr>
  </w:style>
  <w:style w:type="character" w:styleId="IntenseEmphasis">
    <w:name w:val="Intense Emphasis"/>
    <w:basedOn w:val="DefaultParagraphFont"/>
    <w:uiPriority w:val="21"/>
    <w:unhideWhenUsed/>
    <w:qFormat/>
    <w:rsid w:val="00F26AE4"/>
    <w:rPr>
      <w:i/>
      <w:iCs/>
      <w:color w:val="0F1C32" w:themeColor="accent1" w:themeShade="40"/>
    </w:rPr>
  </w:style>
  <w:style w:type="character" w:styleId="IntenseReference">
    <w:name w:val="Intense Reference"/>
    <w:basedOn w:val="DefaultParagraphFont"/>
    <w:uiPriority w:val="32"/>
    <w:unhideWhenUsed/>
    <w:qFormat/>
    <w:rsid w:val="00F26AE4"/>
    <w:rPr>
      <w:b/>
      <w:bCs/>
      <w:caps w:val="0"/>
      <w:smallCaps/>
      <w:color w:val="595959" w:themeColor="text1" w:themeTint="A6"/>
      <w:spacing w:val="5"/>
    </w:rPr>
  </w:style>
  <w:style w:type="character" w:styleId="FollowedHyperlink">
    <w:name w:val="FollowedHyperlink"/>
    <w:basedOn w:val="DefaultParagraphFont"/>
    <w:uiPriority w:val="99"/>
    <w:semiHidden/>
    <w:unhideWhenUsed/>
    <w:rsid w:val="00F26AE4"/>
    <w:rPr>
      <w:color w:val="595959" w:themeColor="text1" w:themeTint="A6"/>
      <w:u w:val="single"/>
    </w:rPr>
  </w:style>
  <w:style w:type="paragraph" w:customStyle="1" w:styleId="Title2">
    <w:name w:val="Title 2"/>
    <w:basedOn w:val="Normal"/>
    <w:uiPriority w:val="1"/>
    <w:qFormat/>
    <w:rsid w:val="00F26AE4"/>
    <w:pPr>
      <w:ind w:firstLine="0"/>
      <w:jc w:val="center"/>
    </w:pPr>
    <w:rPr>
      <w:lang w:val="en-US"/>
    </w:rPr>
  </w:style>
  <w:style w:type="character" w:customStyle="1" w:styleId="UnresolvedMention1">
    <w:name w:val="Unresolved Mention1"/>
    <w:basedOn w:val="DefaultParagraphFont"/>
    <w:uiPriority w:val="99"/>
    <w:semiHidden/>
    <w:unhideWhenUsed/>
    <w:rsid w:val="00F26AE4"/>
    <w:rPr>
      <w:color w:val="605E5C"/>
      <w:shd w:val="clear" w:color="auto" w:fill="E1DFDD"/>
    </w:rPr>
  </w:style>
  <w:style w:type="table" w:styleId="PlainTable4">
    <w:name w:val="Plain Table 4"/>
    <w:basedOn w:val="TableNormal"/>
    <w:uiPriority w:val="44"/>
    <w:rsid w:val="00F26AE4"/>
    <w:pPr>
      <w:spacing w:after="0" w:line="240" w:lineRule="auto"/>
      <w:ind w:firstLine="720"/>
    </w:pPr>
    <w:rPr>
      <w:rFonts w:eastAsiaTheme="minorEastAsia"/>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F26AE4"/>
    <w:pPr>
      <w:numPr>
        <w:ilvl w:val="1"/>
      </w:numPr>
      <w:spacing w:after="160" w:line="259" w:lineRule="auto"/>
      <w:ind w:firstLine="720"/>
      <w:jc w:val="both"/>
    </w:pPr>
    <w:rPr>
      <w:color w:val="5A5A5A" w:themeColor="text1" w:themeTint="A5"/>
      <w:spacing w:val="15"/>
      <w:kern w:val="0"/>
      <w:sz w:val="22"/>
      <w:szCs w:val="22"/>
      <w:lang w:eastAsia="en-US"/>
    </w:rPr>
  </w:style>
  <w:style w:type="character" w:customStyle="1" w:styleId="SubtitleChar">
    <w:name w:val="Subtitle Char"/>
    <w:basedOn w:val="DefaultParagraphFont"/>
    <w:link w:val="Subtitle"/>
    <w:uiPriority w:val="11"/>
    <w:rsid w:val="00F26AE4"/>
    <w:rPr>
      <w:rFonts w:eastAsiaTheme="minorEastAsia"/>
      <w:color w:val="5A5A5A" w:themeColor="text1" w:themeTint="A5"/>
      <w:spacing w:val="15"/>
    </w:rPr>
  </w:style>
  <w:style w:type="paragraph" w:customStyle="1" w:styleId="Normal0">
    <w:name w:val="[Normal]"/>
    <w:rsid w:val="00F26AE4"/>
    <w:pPr>
      <w:widowControl w:val="0"/>
      <w:autoSpaceDE w:val="0"/>
      <w:autoSpaceDN w:val="0"/>
      <w:adjustRightInd w:val="0"/>
      <w:spacing w:after="0" w:line="240" w:lineRule="auto"/>
    </w:pPr>
    <w:rPr>
      <w:rFonts w:ascii="Arial" w:eastAsiaTheme="minorEastAsia" w:hAnsi="Arial" w:cs="Arial"/>
      <w:sz w:val="24"/>
      <w:szCs w:val="24"/>
      <w:lang w:eastAsia="ja-JP"/>
    </w:rPr>
  </w:style>
  <w:style w:type="paragraph" w:customStyle="1" w:styleId="msonormal0">
    <w:name w:val="msonormal"/>
    <w:basedOn w:val="Normal"/>
    <w:rsid w:val="00F26AE4"/>
    <w:pP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font0">
    <w:name w:val="font0"/>
    <w:basedOn w:val="Normal"/>
    <w:rsid w:val="00F26AE4"/>
    <w:pPr>
      <w:spacing w:before="100" w:beforeAutospacing="1" w:after="100" w:afterAutospacing="1" w:line="240" w:lineRule="auto"/>
      <w:ind w:firstLine="0"/>
    </w:pPr>
    <w:rPr>
      <w:rFonts w:ascii="Calibri" w:eastAsia="Times New Roman" w:hAnsi="Calibri" w:cs="Calibri"/>
      <w:color w:val="000000"/>
      <w:kern w:val="0"/>
      <w:sz w:val="22"/>
      <w:szCs w:val="22"/>
      <w:lang w:eastAsia="en-GB"/>
    </w:rPr>
  </w:style>
  <w:style w:type="paragraph" w:customStyle="1" w:styleId="font5">
    <w:name w:val="font5"/>
    <w:basedOn w:val="Normal"/>
    <w:rsid w:val="00F26AE4"/>
    <w:pPr>
      <w:spacing w:before="100" w:beforeAutospacing="1" w:after="100" w:afterAutospacing="1" w:line="240" w:lineRule="auto"/>
      <w:ind w:firstLine="0"/>
    </w:pPr>
    <w:rPr>
      <w:rFonts w:ascii="Calibri" w:eastAsia="Times New Roman" w:hAnsi="Calibri" w:cs="Calibri"/>
      <w:b/>
      <w:bCs/>
      <w:color w:val="000000"/>
      <w:kern w:val="0"/>
      <w:sz w:val="22"/>
      <w:szCs w:val="22"/>
      <w:lang w:eastAsia="en-GB"/>
    </w:rPr>
  </w:style>
  <w:style w:type="paragraph" w:customStyle="1" w:styleId="xl65">
    <w:name w:val="xl65"/>
    <w:basedOn w:val="Normal"/>
    <w:rsid w:val="00F26AE4"/>
    <w:pPr>
      <w:pBdr>
        <w:top w:val="single" w:sz="8" w:space="0" w:color="7F7F7F"/>
        <w:bottom w:val="single" w:sz="8" w:space="0" w:color="7F7F7F"/>
      </w:pBd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66">
    <w:name w:val="xl66"/>
    <w:basedOn w:val="Normal"/>
    <w:rsid w:val="00F26AE4"/>
    <w:pPr>
      <w:pBdr>
        <w:top w:val="single" w:sz="8" w:space="0" w:color="7F7F7F"/>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67">
    <w:name w:val="xl67"/>
    <w:basedOn w:val="Normal"/>
    <w:rsid w:val="00F26AE4"/>
    <w:pP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68">
    <w:name w:val="xl68"/>
    <w:basedOn w:val="Normal"/>
    <w:rsid w:val="00F26AE4"/>
    <w:pP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69">
    <w:name w:val="xl69"/>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70">
    <w:name w:val="xl70"/>
    <w:basedOn w:val="Normal"/>
    <w:rsid w:val="00F26AE4"/>
    <w:pP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71">
    <w:name w:val="xl71"/>
    <w:basedOn w:val="Normal"/>
    <w:rsid w:val="00F26AE4"/>
    <w:pPr>
      <w:pBdr>
        <w:top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72">
    <w:name w:val="xl72"/>
    <w:basedOn w:val="Normal"/>
    <w:rsid w:val="00F26AE4"/>
    <w:pPr>
      <w:pBdr>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73">
    <w:name w:val="xl73"/>
    <w:basedOn w:val="Normal"/>
    <w:rsid w:val="00F26AE4"/>
    <w:pPr>
      <w:pBdr>
        <w:top w:val="single" w:sz="12" w:space="0" w:color="7B7B7B"/>
        <w:left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74">
    <w:name w:val="xl74"/>
    <w:basedOn w:val="Normal"/>
    <w:rsid w:val="00F26AE4"/>
    <w:pPr>
      <w:pBdr>
        <w:top w:val="single" w:sz="12" w:space="0" w:color="7B7B7B"/>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75">
    <w:name w:val="xl75"/>
    <w:basedOn w:val="Normal"/>
    <w:rsid w:val="00F26AE4"/>
    <w:pPr>
      <w:pBdr>
        <w:top w:val="single" w:sz="4" w:space="0" w:color="auto"/>
        <w:left w:val="single" w:sz="4" w:space="0" w:color="auto"/>
        <w:bottom w:val="single" w:sz="4" w:space="0" w:color="auto"/>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76">
    <w:name w:val="xl76"/>
    <w:basedOn w:val="Normal"/>
    <w:rsid w:val="00F26AE4"/>
    <w:pPr>
      <w:pBdr>
        <w:top w:val="single" w:sz="4" w:space="0" w:color="auto"/>
        <w:bottom w:val="single" w:sz="4" w:space="0" w:color="auto"/>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77">
    <w:name w:val="xl77"/>
    <w:basedOn w:val="Normal"/>
    <w:rsid w:val="00F26AE4"/>
    <w:pP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78">
    <w:name w:val="xl78"/>
    <w:basedOn w:val="Normal"/>
    <w:rsid w:val="00F26AE4"/>
    <w:pPr>
      <w:pBdr>
        <w:top w:val="single" w:sz="12" w:space="0" w:color="7B7B7B"/>
        <w:left w:val="single" w:sz="12" w:space="0" w:color="7B7B7B"/>
        <w:bottom w:val="single" w:sz="12" w:space="0" w:color="7B7B7B"/>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79">
    <w:name w:val="xl79"/>
    <w:basedOn w:val="Normal"/>
    <w:rsid w:val="00F26AE4"/>
    <w:pPr>
      <w:pBdr>
        <w:top w:val="single" w:sz="12" w:space="0" w:color="7B7B7B"/>
        <w:bottom w:val="single" w:sz="12" w:space="0" w:color="7B7B7B"/>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80">
    <w:name w:val="xl80"/>
    <w:basedOn w:val="Normal"/>
    <w:rsid w:val="00F26AE4"/>
    <w:pPr>
      <w:shd w:val="clear" w:color="000000" w:fill="B4C6E7"/>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81">
    <w:name w:val="xl81"/>
    <w:basedOn w:val="Normal"/>
    <w:rsid w:val="00F26AE4"/>
    <w:pP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82">
    <w:name w:val="xl82"/>
    <w:basedOn w:val="Normal"/>
    <w:rsid w:val="00F26AE4"/>
    <w:pPr>
      <w:pBdr>
        <w:top w:val="single" w:sz="12" w:space="0" w:color="7B7B7B"/>
        <w:left w:val="single" w:sz="12" w:space="0" w:color="7B7B7B"/>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83">
    <w:name w:val="xl83"/>
    <w:basedOn w:val="Normal"/>
    <w:rsid w:val="00F26AE4"/>
    <w:pPr>
      <w:pBdr>
        <w:top w:val="single" w:sz="12" w:space="0" w:color="7B7B7B"/>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84">
    <w:name w:val="xl84"/>
    <w:basedOn w:val="Normal"/>
    <w:rsid w:val="00F26AE4"/>
    <w:pPr>
      <w:pBdr>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85">
    <w:name w:val="xl85"/>
    <w:basedOn w:val="Normal"/>
    <w:rsid w:val="00F26AE4"/>
    <w:pPr>
      <w:pBdr>
        <w:top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86">
    <w:name w:val="xl86"/>
    <w:basedOn w:val="Normal"/>
    <w:rsid w:val="00F26AE4"/>
    <w:pPr>
      <w:pBdr>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87">
    <w:name w:val="xl87"/>
    <w:basedOn w:val="Normal"/>
    <w:rsid w:val="00F26AE4"/>
    <w:pPr>
      <w:pBdr>
        <w:bottom w:val="single" w:sz="4"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88">
    <w:name w:val="xl88"/>
    <w:basedOn w:val="Normal"/>
    <w:rsid w:val="00F26AE4"/>
    <w:pPr>
      <w:pBdr>
        <w:left w:val="single" w:sz="4" w:space="0" w:color="A5A5A5"/>
        <w:bottom w:val="single" w:sz="4"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89">
    <w:name w:val="xl89"/>
    <w:basedOn w:val="Normal"/>
    <w:rsid w:val="00F26AE4"/>
    <w:pP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90">
    <w:name w:val="xl90"/>
    <w:basedOn w:val="Normal"/>
    <w:rsid w:val="00F26AE4"/>
    <w:pPr>
      <w:pBdr>
        <w:top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91">
    <w:name w:val="xl91"/>
    <w:basedOn w:val="Normal"/>
    <w:rsid w:val="00F26AE4"/>
    <w:pPr>
      <w:pBdr>
        <w:top w:val="single" w:sz="12" w:space="0" w:color="7B7B7B"/>
        <w:bottom w:val="single" w:sz="12" w:space="0" w:color="7B7B7B"/>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92">
    <w:name w:val="xl92"/>
    <w:basedOn w:val="Normal"/>
    <w:rsid w:val="00F26AE4"/>
    <w:pPr>
      <w:pBdr>
        <w:top w:val="single" w:sz="4" w:space="0" w:color="auto"/>
      </w:pBd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93">
    <w:name w:val="xl93"/>
    <w:basedOn w:val="Normal"/>
    <w:rsid w:val="00F26AE4"/>
    <w:pPr>
      <w:pBdr>
        <w:bottom w:val="single" w:sz="4" w:space="0" w:color="auto"/>
      </w:pBd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94">
    <w:name w:val="xl94"/>
    <w:basedOn w:val="Normal"/>
    <w:rsid w:val="00F26AE4"/>
    <w:pPr>
      <w:pBdr>
        <w:bottom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95">
    <w:name w:val="xl95"/>
    <w:basedOn w:val="Normal"/>
    <w:rsid w:val="00F26AE4"/>
    <w:pPr>
      <w:pBdr>
        <w:top w:val="single" w:sz="12" w:space="0" w:color="7B7B7B"/>
        <w:bottom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96">
    <w:name w:val="xl96"/>
    <w:basedOn w:val="Normal"/>
    <w:rsid w:val="00F26AE4"/>
    <w:pPr>
      <w:pBdr>
        <w:top w:val="single" w:sz="12" w:space="0" w:color="7B7B7B"/>
        <w:bottom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97">
    <w:name w:val="xl97"/>
    <w:basedOn w:val="Normal"/>
    <w:rsid w:val="00F26AE4"/>
    <w:pPr>
      <w:pBdr>
        <w:top w:val="single" w:sz="12" w:space="0" w:color="7B7B7B"/>
        <w:left w:val="single" w:sz="4"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98">
    <w:name w:val="xl98"/>
    <w:basedOn w:val="Normal"/>
    <w:rsid w:val="00F26AE4"/>
    <w:pPr>
      <w:pBdr>
        <w:top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99">
    <w:name w:val="xl99"/>
    <w:basedOn w:val="Normal"/>
    <w:rsid w:val="00F26AE4"/>
    <w:pPr>
      <w:pBdr>
        <w:top w:val="single" w:sz="4" w:space="0" w:color="7B7B7B"/>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00">
    <w:name w:val="xl100"/>
    <w:basedOn w:val="Normal"/>
    <w:rsid w:val="00F26AE4"/>
    <w:pPr>
      <w:pBdr>
        <w:top w:val="single" w:sz="12" w:space="0" w:color="A5A5A5"/>
        <w:bottom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01">
    <w:name w:val="xl101"/>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02">
    <w:name w:val="xl102"/>
    <w:basedOn w:val="Normal"/>
    <w:rsid w:val="00F26AE4"/>
    <w:pPr>
      <w:pBdr>
        <w:top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03">
    <w:name w:val="xl103"/>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04">
    <w:name w:val="xl104"/>
    <w:basedOn w:val="Normal"/>
    <w:rsid w:val="00F26AE4"/>
    <w:pPr>
      <w:pBdr>
        <w:bottom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05">
    <w:name w:val="xl105"/>
    <w:basedOn w:val="Normal"/>
    <w:rsid w:val="00F26AE4"/>
    <w:pPr>
      <w:pBdr>
        <w:top w:val="single" w:sz="4"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06">
    <w:name w:val="xl106"/>
    <w:basedOn w:val="Normal"/>
    <w:rsid w:val="00F26AE4"/>
    <w:pPr>
      <w:pBdr>
        <w:top w:val="single" w:sz="4" w:space="0" w:color="A5A5A5"/>
        <w:bottom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07">
    <w:name w:val="xl107"/>
    <w:basedOn w:val="Normal"/>
    <w:rsid w:val="00F26AE4"/>
    <w:pPr>
      <w:shd w:val="clear" w:color="000000" w:fill="A5A5A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08">
    <w:name w:val="xl108"/>
    <w:basedOn w:val="Normal"/>
    <w:rsid w:val="00F26AE4"/>
    <w:pPr>
      <w:pBdr>
        <w:top w:val="single" w:sz="12" w:space="0" w:color="A5A5A5"/>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09">
    <w:name w:val="xl109"/>
    <w:basedOn w:val="Normal"/>
    <w:rsid w:val="00F26AE4"/>
    <w:pPr>
      <w:pBdr>
        <w:top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10">
    <w:name w:val="xl110"/>
    <w:basedOn w:val="Normal"/>
    <w:rsid w:val="00F26AE4"/>
    <w:pP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11">
    <w:name w:val="xl111"/>
    <w:basedOn w:val="Normal"/>
    <w:rsid w:val="00F26AE4"/>
    <w:pPr>
      <w:pBdr>
        <w:bottom w:val="single" w:sz="4"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12">
    <w:name w:val="xl112"/>
    <w:basedOn w:val="Normal"/>
    <w:rsid w:val="00F26AE4"/>
    <w:pPr>
      <w:pBdr>
        <w:top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13">
    <w:name w:val="xl113"/>
    <w:basedOn w:val="Normal"/>
    <w:rsid w:val="00F26AE4"/>
    <w:pPr>
      <w:pBdr>
        <w:top w:val="single" w:sz="8" w:space="0" w:color="7F7F7F"/>
        <w:bottom w:val="single" w:sz="8" w:space="0" w:color="7F7F7F"/>
      </w:pBd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14">
    <w:name w:val="xl114"/>
    <w:basedOn w:val="Normal"/>
    <w:rsid w:val="00F26AE4"/>
    <w:pP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15">
    <w:name w:val="xl115"/>
    <w:basedOn w:val="Normal"/>
    <w:rsid w:val="00F26AE4"/>
    <w:pPr>
      <w:pBdr>
        <w:top w:val="single" w:sz="12" w:space="0" w:color="A5A5A5"/>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16">
    <w:name w:val="xl116"/>
    <w:basedOn w:val="Normal"/>
    <w:rsid w:val="00F26AE4"/>
    <w:pPr>
      <w:pBdr>
        <w:top w:val="single" w:sz="12" w:space="0" w:color="7B7B7B"/>
        <w:bottom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17">
    <w:name w:val="xl117"/>
    <w:basedOn w:val="Normal"/>
    <w:rsid w:val="00F26AE4"/>
    <w:pPr>
      <w:pBdr>
        <w:bottom w:val="single" w:sz="8" w:space="0" w:color="7F7F7F"/>
      </w:pBd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18">
    <w:name w:val="xl118"/>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19">
    <w:name w:val="xl119"/>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20">
    <w:name w:val="xl120"/>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21">
    <w:name w:val="xl121"/>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22">
    <w:name w:val="xl122"/>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23">
    <w:name w:val="xl123"/>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24">
    <w:name w:val="xl124"/>
    <w:basedOn w:val="Normal"/>
    <w:rsid w:val="00F26AE4"/>
    <w:pPr>
      <w:pBdr>
        <w:top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125">
    <w:name w:val="xl125"/>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126">
    <w:name w:val="xl126"/>
    <w:basedOn w:val="Normal"/>
    <w:rsid w:val="00F26AE4"/>
    <w:pPr>
      <w:pBdr>
        <w:bottom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127">
    <w:name w:val="xl127"/>
    <w:basedOn w:val="Normal"/>
    <w:rsid w:val="00F26AE4"/>
    <w:pPr>
      <w:pBdr>
        <w:top w:val="single" w:sz="8" w:space="0" w:color="7F7F7F"/>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128">
    <w:name w:val="xl128"/>
    <w:basedOn w:val="Normal"/>
    <w:rsid w:val="00F26AE4"/>
    <w:pPr>
      <w:pBdr>
        <w:top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29">
    <w:name w:val="xl129"/>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30">
    <w:name w:val="xl130"/>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31">
    <w:name w:val="xl131"/>
    <w:basedOn w:val="Normal"/>
    <w:rsid w:val="00F26AE4"/>
    <w:pPr>
      <w:pBdr>
        <w:top w:val="single" w:sz="12" w:space="0" w:color="7B7B7B"/>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32">
    <w:name w:val="xl132"/>
    <w:basedOn w:val="Normal"/>
    <w:rsid w:val="00F26AE4"/>
    <w:pPr>
      <w:pBdr>
        <w:left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33">
    <w:name w:val="xl133"/>
    <w:basedOn w:val="Normal"/>
    <w:rsid w:val="00F26AE4"/>
    <w:pPr>
      <w:pBdr>
        <w:top w:val="single" w:sz="12" w:space="0" w:color="7B7B7B"/>
        <w:left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134">
    <w:name w:val="xl134"/>
    <w:basedOn w:val="Normal"/>
    <w:rsid w:val="00F26AE4"/>
    <w:pPr>
      <w:pBdr>
        <w:left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135">
    <w:name w:val="xl135"/>
    <w:basedOn w:val="Normal"/>
    <w:rsid w:val="00F26AE4"/>
    <w:pPr>
      <w:pBdr>
        <w:left w:val="single" w:sz="12" w:space="0" w:color="7B7B7B"/>
        <w:bottom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136">
    <w:name w:val="xl136"/>
    <w:basedOn w:val="Normal"/>
    <w:rsid w:val="00F26AE4"/>
    <w:pPr>
      <w:pBdr>
        <w:bottom w:val="single" w:sz="8" w:space="0" w:color="7F7F7F"/>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37">
    <w:name w:val="xl137"/>
    <w:basedOn w:val="Normal"/>
    <w:rsid w:val="00F26AE4"/>
    <w:pPr>
      <w:pBdr>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38">
    <w:name w:val="xl138"/>
    <w:basedOn w:val="Normal"/>
    <w:rsid w:val="00F26AE4"/>
    <w:pPr>
      <w:pBdr>
        <w:lef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39">
    <w:name w:val="xl139"/>
    <w:basedOn w:val="Normal"/>
    <w:rsid w:val="00F26AE4"/>
    <w:pPr>
      <w:pBdr>
        <w:top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140">
    <w:name w:val="xl140"/>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141">
    <w:name w:val="xl141"/>
    <w:basedOn w:val="Normal"/>
    <w:rsid w:val="00F26AE4"/>
    <w:pPr>
      <w:pBdr>
        <w:top w:val="single" w:sz="8" w:space="0" w:color="7F7F7F"/>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42">
    <w:name w:val="xl142"/>
    <w:basedOn w:val="Normal"/>
    <w:rsid w:val="00F26AE4"/>
    <w:pP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43">
    <w:name w:val="xl143"/>
    <w:basedOn w:val="Normal"/>
    <w:rsid w:val="00F26AE4"/>
    <w:pPr>
      <w:pBdr>
        <w:top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kern w:val="0"/>
      <w:lang w:eastAsia="en-GB"/>
    </w:rPr>
  </w:style>
  <w:style w:type="paragraph" w:customStyle="1" w:styleId="xl144">
    <w:name w:val="xl144"/>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145">
    <w:name w:val="xl145"/>
    <w:basedOn w:val="Normal"/>
    <w:rsid w:val="00F26AE4"/>
    <w:pPr>
      <w:pBdr>
        <w:bottom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146">
    <w:name w:val="xl146"/>
    <w:basedOn w:val="Normal"/>
    <w:rsid w:val="00F26AE4"/>
    <w:pPr>
      <w:pBdr>
        <w:top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47">
    <w:name w:val="xl147"/>
    <w:basedOn w:val="Normal"/>
    <w:rsid w:val="00F26AE4"/>
    <w:pPr>
      <w:pBdr>
        <w:top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48">
    <w:name w:val="xl148"/>
    <w:basedOn w:val="Normal"/>
    <w:rsid w:val="00F26AE4"/>
    <w:pPr>
      <w:pBdr>
        <w:top w:val="single" w:sz="4" w:space="0" w:color="7B7B7B"/>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49">
    <w:name w:val="xl149"/>
    <w:basedOn w:val="Normal"/>
    <w:rsid w:val="00F26AE4"/>
    <w:pPr>
      <w:pBdr>
        <w:top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50">
    <w:name w:val="xl150"/>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51">
    <w:name w:val="xl151"/>
    <w:basedOn w:val="Normal"/>
    <w:rsid w:val="00F26AE4"/>
    <w:pPr>
      <w:pBdr>
        <w:top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52">
    <w:name w:val="xl152"/>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53">
    <w:name w:val="xl153"/>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54">
    <w:name w:val="xl154"/>
    <w:basedOn w:val="Normal"/>
    <w:rsid w:val="00F26AE4"/>
    <w:pPr>
      <w:pBdr>
        <w:top w:val="single" w:sz="12" w:space="0" w:color="7B7B7B"/>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55">
    <w:name w:val="xl155"/>
    <w:basedOn w:val="Normal"/>
    <w:rsid w:val="00F26AE4"/>
    <w:pPr>
      <w:pBdr>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56">
    <w:name w:val="xl156"/>
    <w:basedOn w:val="Normal"/>
    <w:rsid w:val="00F26AE4"/>
    <w:pPr>
      <w:pBdr>
        <w:left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157">
    <w:name w:val="xl157"/>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58">
    <w:name w:val="xl158"/>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59">
    <w:name w:val="xl159"/>
    <w:basedOn w:val="Normal"/>
    <w:rsid w:val="00F26AE4"/>
    <w:pPr>
      <w:pBdr>
        <w:bottom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60">
    <w:name w:val="xl160"/>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161">
    <w:name w:val="xl161"/>
    <w:basedOn w:val="Normal"/>
    <w:rsid w:val="00F26AE4"/>
    <w:pPr>
      <w:pBdr>
        <w:bottom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162">
    <w:name w:val="xl162"/>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63">
    <w:name w:val="xl163"/>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64">
    <w:name w:val="xl164"/>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65">
    <w:name w:val="xl165"/>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66">
    <w:name w:val="xl166"/>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67">
    <w:name w:val="xl167"/>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68">
    <w:name w:val="xl168"/>
    <w:basedOn w:val="Normal"/>
    <w:rsid w:val="00F26AE4"/>
    <w:pPr>
      <w:pBdr>
        <w:top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kern w:val="0"/>
      <w:lang w:eastAsia="en-GB"/>
    </w:rPr>
  </w:style>
  <w:style w:type="paragraph" w:customStyle="1" w:styleId="xl169">
    <w:name w:val="xl169"/>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kern w:val="0"/>
      <w:lang w:eastAsia="en-GB"/>
    </w:rPr>
  </w:style>
  <w:style w:type="paragraph" w:customStyle="1" w:styleId="xl170">
    <w:name w:val="xl170"/>
    <w:basedOn w:val="Normal"/>
    <w:rsid w:val="00F26AE4"/>
    <w:pPr>
      <w:pBdr>
        <w:bottom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kern w:val="0"/>
      <w:lang w:eastAsia="en-GB"/>
    </w:rPr>
  </w:style>
  <w:style w:type="paragraph" w:customStyle="1" w:styleId="xl171">
    <w:name w:val="xl171"/>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172">
    <w:name w:val="xl172"/>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73">
    <w:name w:val="xl173"/>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74">
    <w:name w:val="xl174"/>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75">
    <w:name w:val="xl175"/>
    <w:basedOn w:val="Normal"/>
    <w:rsid w:val="00F26AE4"/>
    <w:pPr>
      <w:pBdr>
        <w:top w:val="single" w:sz="12" w:space="0" w:color="A5A5A5"/>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176">
    <w:name w:val="xl176"/>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77">
    <w:name w:val="xl177"/>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78">
    <w:name w:val="xl178"/>
    <w:basedOn w:val="Normal"/>
    <w:rsid w:val="00F26AE4"/>
    <w:pPr>
      <w:pBdr>
        <w:top w:val="single" w:sz="8" w:space="0" w:color="7F7F7F"/>
        <w:bottom w:val="single" w:sz="8" w:space="0" w:color="7F7F7F"/>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79">
    <w:name w:val="xl179"/>
    <w:basedOn w:val="Normal"/>
    <w:rsid w:val="00F26AE4"/>
    <w:pPr>
      <w:pBdr>
        <w:top w:val="single" w:sz="12" w:space="0" w:color="A5A5A5"/>
      </w:pBd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180">
    <w:name w:val="xl180"/>
    <w:basedOn w:val="Normal"/>
    <w:rsid w:val="00F26AE4"/>
    <w:pPr>
      <w:pBdr>
        <w:top w:val="single" w:sz="12" w:space="0" w:color="A5A5A5"/>
      </w:pBdr>
      <w:shd w:val="clear" w:color="000000" w:fill="A5A5A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font6">
    <w:name w:val="font6"/>
    <w:basedOn w:val="Normal"/>
    <w:rsid w:val="00F26AE4"/>
    <w:pPr>
      <w:spacing w:before="100" w:beforeAutospacing="1" w:after="100" w:afterAutospacing="1" w:line="240" w:lineRule="auto"/>
      <w:ind w:firstLine="0"/>
    </w:pPr>
    <w:rPr>
      <w:rFonts w:ascii="Calibri" w:eastAsia="Times New Roman" w:hAnsi="Calibri" w:cs="Calibri"/>
      <w:color w:val="70AD47"/>
      <w:kern w:val="0"/>
      <w:sz w:val="22"/>
      <w:szCs w:val="22"/>
      <w:lang w:eastAsia="en-GB"/>
    </w:rPr>
  </w:style>
  <w:style w:type="paragraph" w:customStyle="1" w:styleId="font7">
    <w:name w:val="font7"/>
    <w:basedOn w:val="Normal"/>
    <w:rsid w:val="00F26AE4"/>
    <w:pPr>
      <w:spacing w:before="100" w:beforeAutospacing="1" w:after="100" w:afterAutospacing="1" w:line="240" w:lineRule="auto"/>
      <w:ind w:firstLine="0"/>
    </w:pPr>
    <w:rPr>
      <w:rFonts w:ascii="Calibri" w:eastAsia="Times New Roman" w:hAnsi="Calibri" w:cs="Calibri"/>
      <w:i/>
      <w:iCs/>
      <w:color w:val="000000"/>
      <w:kern w:val="0"/>
      <w:sz w:val="22"/>
      <w:szCs w:val="22"/>
      <w:lang w:eastAsia="en-GB"/>
    </w:rPr>
  </w:style>
  <w:style w:type="paragraph" w:customStyle="1" w:styleId="font8">
    <w:name w:val="font8"/>
    <w:basedOn w:val="Normal"/>
    <w:rsid w:val="00F26AE4"/>
    <w:pPr>
      <w:spacing w:before="100" w:beforeAutospacing="1" w:after="100" w:afterAutospacing="1" w:line="240" w:lineRule="auto"/>
      <w:ind w:firstLine="0"/>
    </w:pPr>
    <w:rPr>
      <w:rFonts w:ascii="Calibri" w:eastAsia="Times New Roman" w:hAnsi="Calibri" w:cs="Calibri"/>
      <w:i/>
      <w:iCs/>
      <w:kern w:val="0"/>
      <w:sz w:val="22"/>
      <w:szCs w:val="22"/>
      <w:lang w:eastAsia="en-GB"/>
    </w:rPr>
  </w:style>
  <w:style w:type="paragraph" w:customStyle="1" w:styleId="font9">
    <w:name w:val="font9"/>
    <w:basedOn w:val="Normal"/>
    <w:rsid w:val="00F26AE4"/>
    <w:pPr>
      <w:spacing w:before="100" w:beforeAutospacing="1" w:after="100" w:afterAutospacing="1" w:line="240" w:lineRule="auto"/>
      <w:ind w:firstLine="0"/>
    </w:pPr>
    <w:rPr>
      <w:rFonts w:ascii="Calibri" w:eastAsia="Times New Roman" w:hAnsi="Calibri" w:cs="Calibri"/>
      <w:i/>
      <w:iCs/>
      <w:color w:val="70AD47"/>
      <w:kern w:val="0"/>
      <w:sz w:val="22"/>
      <w:szCs w:val="22"/>
      <w:lang w:eastAsia="en-GB"/>
    </w:rPr>
  </w:style>
  <w:style w:type="paragraph" w:customStyle="1" w:styleId="font10">
    <w:name w:val="font10"/>
    <w:basedOn w:val="Normal"/>
    <w:rsid w:val="00F26AE4"/>
    <w:pPr>
      <w:spacing w:before="100" w:beforeAutospacing="1" w:after="100" w:afterAutospacing="1" w:line="240" w:lineRule="auto"/>
      <w:ind w:firstLine="0"/>
    </w:pPr>
    <w:rPr>
      <w:rFonts w:ascii="Calibri" w:eastAsia="Times New Roman" w:hAnsi="Calibri" w:cs="Calibri"/>
      <w:b/>
      <w:bCs/>
      <w:i/>
      <w:iCs/>
      <w:color w:val="000000"/>
      <w:kern w:val="0"/>
      <w:sz w:val="22"/>
      <w:szCs w:val="22"/>
      <w:lang w:eastAsia="en-GB"/>
    </w:rPr>
  </w:style>
  <w:style w:type="paragraph" w:customStyle="1" w:styleId="font11">
    <w:name w:val="font11"/>
    <w:basedOn w:val="Normal"/>
    <w:rsid w:val="00F26AE4"/>
    <w:pPr>
      <w:spacing w:before="100" w:beforeAutospacing="1" w:after="100" w:afterAutospacing="1" w:line="240" w:lineRule="auto"/>
      <w:ind w:firstLine="0"/>
    </w:pPr>
    <w:rPr>
      <w:rFonts w:ascii="Calibri" w:eastAsia="Times New Roman" w:hAnsi="Calibri" w:cs="Calibri"/>
      <w:b/>
      <w:bCs/>
      <w:i/>
      <w:iCs/>
      <w:color w:val="70AD47"/>
      <w:kern w:val="0"/>
      <w:sz w:val="22"/>
      <w:szCs w:val="22"/>
      <w:lang w:eastAsia="en-GB"/>
    </w:rPr>
  </w:style>
  <w:style w:type="paragraph" w:customStyle="1" w:styleId="xl181">
    <w:name w:val="xl181"/>
    <w:basedOn w:val="Normal"/>
    <w:rsid w:val="00F26AE4"/>
    <w:pPr>
      <w:pBdr>
        <w:top w:val="single" w:sz="12" w:space="0" w:color="7B7B7B"/>
      </w:pBd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82">
    <w:name w:val="xl182"/>
    <w:basedOn w:val="Normal"/>
    <w:rsid w:val="00F26AE4"/>
    <w:pPr>
      <w:pBdr>
        <w:top w:val="single" w:sz="12" w:space="0" w:color="7B7B7B"/>
      </w:pBd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83">
    <w:name w:val="xl183"/>
    <w:basedOn w:val="Normal"/>
    <w:rsid w:val="00F26AE4"/>
    <w:pPr>
      <w:pBdr>
        <w:top w:val="single" w:sz="12" w:space="0" w:color="7B7B7B"/>
      </w:pBdr>
      <w:shd w:val="clear" w:color="000000" w:fill="F4B08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84">
    <w:name w:val="xl184"/>
    <w:basedOn w:val="Normal"/>
    <w:rsid w:val="00F26AE4"/>
    <w:pP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85">
    <w:name w:val="xl185"/>
    <w:basedOn w:val="Normal"/>
    <w:rsid w:val="00F26AE4"/>
    <w:pPr>
      <w:shd w:val="clear" w:color="000000" w:fill="C6E0B4"/>
      <w:spacing w:before="100" w:beforeAutospacing="1" w:after="100" w:afterAutospacing="1" w:line="240" w:lineRule="auto"/>
      <w:ind w:firstLine="0"/>
    </w:pPr>
    <w:rPr>
      <w:rFonts w:ascii="Times New Roman" w:eastAsia="Times New Roman" w:hAnsi="Times New Roman" w:cs="Times New Roman"/>
      <w:i/>
      <w:iCs/>
      <w:color w:val="548235"/>
      <w:kern w:val="0"/>
      <w:lang w:eastAsia="en-GB"/>
    </w:rPr>
  </w:style>
  <w:style w:type="paragraph" w:customStyle="1" w:styleId="xl186">
    <w:name w:val="xl186"/>
    <w:basedOn w:val="Normal"/>
    <w:rsid w:val="00F26AE4"/>
    <w:pPr>
      <w:shd w:val="clear" w:color="000000" w:fill="A9D08E"/>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87">
    <w:name w:val="xl187"/>
    <w:basedOn w:val="Normal"/>
    <w:rsid w:val="00F26AE4"/>
    <w:pP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88">
    <w:name w:val="xl188"/>
    <w:basedOn w:val="Normal"/>
    <w:rsid w:val="00F26AE4"/>
    <w:pPr>
      <w:shd w:val="clear" w:color="000000" w:fill="548235"/>
      <w:spacing w:before="100" w:beforeAutospacing="1" w:after="100" w:afterAutospacing="1" w:line="240" w:lineRule="auto"/>
      <w:ind w:firstLine="0"/>
    </w:pPr>
    <w:rPr>
      <w:rFonts w:ascii="Times New Roman" w:eastAsia="Times New Roman" w:hAnsi="Times New Roman" w:cs="Times New Roman"/>
      <w:i/>
      <w:iCs/>
      <w:color w:val="548235"/>
      <w:kern w:val="0"/>
      <w:lang w:eastAsia="en-GB"/>
    </w:rPr>
  </w:style>
  <w:style w:type="paragraph" w:customStyle="1" w:styleId="xl189">
    <w:name w:val="xl189"/>
    <w:basedOn w:val="Normal"/>
    <w:rsid w:val="00F26AE4"/>
    <w:pPr>
      <w:shd w:val="clear" w:color="000000" w:fill="54823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90">
    <w:name w:val="xl190"/>
    <w:basedOn w:val="Normal"/>
    <w:rsid w:val="00F26AE4"/>
    <w:pPr>
      <w:pBdr>
        <w:bottom w:val="single" w:sz="4" w:space="0" w:color="7B7B7B"/>
      </w:pBd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91">
    <w:name w:val="xl191"/>
    <w:basedOn w:val="Normal"/>
    <w:rsid w:val="00F26AE4"/>
    <w:pPr>
      <w:pBdr>
        <w:bottom w:val="single" w:sz="4" w:space="0" w:color="7B7B7B"/>
      </w:pBdr>
      <w:shd w:val="clear" w:color="000000" w:fill="A9D08E"/>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92">
    <w:name w:val="xl192"/>
    <w:basedOn w:val="Normal"/>
    <w:rsid w:val="00F26AE4"/>
    <w:pPr>
      <w:pBdr>
        <w:bottom w:val="single" w:sz="4" w:space="0" w:color="7B7B7B"/>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93">
    <w:name w:val="xl193"/>
    <w:basedOn w:val="Normal"/>
    <w:rsid w:val="00F26AE4"/>
    <w:pPr>
      <w:pBdr>
        <w:bottom w:val="single" w:sz="4" w:space="0" w:color="7B7B7B"/>
      </w:pBd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94">
    <w:name w:val="xl194"/>
    <w:basedOn w:val="Normal"/>
    <w:rsid w:val="00F26AE4"/>
    <w:pPr>
      <w:pBdr>
        <w:bottom w:val="single" w:sz="4" w:space="0" w:color="7B7B7B"/>
      </w:pBdr>
      <w:shd w:val="clear" w:color="000000" w:fill="F4B08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95">
    <w:name w:val="xl195"/>
    <w:basedOn w:val="Normal"/>
    <w:rsid w:val="00F26AE4"/>
    <w:pPr>
      <w:shd w:val="clear" w:color="000000" w:fill="54823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196">
    <w:name w:val="xl196"/>
    <w:basedOn w:val="Normal"/>
    <w:rsid w:val="00F26AE4"/>
    <w:pPr>
      <w:pBdr>
        <w:top w:val="single" w:sz="4" w:space="0" w:color="7B7B7B"/>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197">
    <w:name w:val="xl197"/>
    <w:basedOn w:val="Normal"/>
    <w:rsid w:val="00F26AE4"/>
    <w:pPr>
      <w:pBdr>
        <w:bottom w:val="single" w:sz="12" w:space="0" w:color="7B7B7B"/>
      </w:pBdr>
      <w:shd w:val="clear" w:color="000000" w:fill="F4B08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198">
    <w:name w:val="xl198"/>
    <w:basedOn w:val="Normal"/>
    <w:rsid w:val="00F26AE4"/>
    <w:pPr>
      <w:shd w:val="clear" w:color="000000" w:fill="F4B084"/>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199">
    <w:name w:val="xl199"/>
    <w:basedOn w:val="Normal"/>
    <w:rsid w:val="00F26AE4"/>
    <w:pP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00">
    <w:name w:val="xl200"/>
    <w:basedOn w:val="Normal"/>
    <w:rsid w:val="00F26AE4"/>
    <w:pPr>
      <w:pBdr>
        <w:top w:val="single" w:sz="4" w:space="0" w:color="auto"/>
        <w:bottom w:val="single" w:sz="4" w:space="0" w:color="auto"/>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01">
    <w:name w:val="xl201"/>
    <w:basedOn w:val="Normal"/>
    <w:rsid w:val="00F26AE4"/>
    <w:pPr>
      <w:pBdr>
        <w:top w:val="single" w:sz="12"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02">
    <w:name w:val="xl202"/>
    <w:basedOn w:val="Normal"/>
    <w:rsid w:val="00F26AE4"/>
    <w:pPr>
      <w:pBdr>
        <w:bottom w:val="single" w:sz="12"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03">
    <w:name w:val="xl203"/>
    <w:basedOn w:val="Normal"/>
    <w:rsid w:val="00F26AE4"/>
    <w:pPr>
      <w:pBdr>
        <w:top w:val="single" w:sz="12" w:space="0" w:color="7B7B7B"/>
        <w:bottom w:val="single" w:sz="12"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04">
    <w:name w:val="xl204"/>
    <w:basedOn w:val="Normal"/>
    <w:rsid w:val="00F26AE4"/>
    <w:pPr>
      <w:pBdr>
        <w:top w:val="single" w:sz="12" w:space="0" w:color="7B7B7B"/>
        <w:bottom w:val="single" w:sz="4"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05">
    <w:name w:val="xl205"/>
    <w:basedOn w:val="Normal"/>
    <w:rsid w:val="00F26AE4"/>
    <w:pP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06">
    <w:name w:val="xl206"/>
    <w:basedOn w:val="Normal"/>
    <w:rsid w:val="00F26AE4"/>
    <w:pPr>
      <w:pBdr>
        <w:bottom w:val="single" w:sz="4"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07">
    <w:name w:val="xl207"/>
    <w:basedOn w:val="Normal"/>
    <w:rsid w:val="00F26AE4"/>
    <w:pPr>
      <w:pBdr>
        <w:top w:val="single" w:sz="12"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08">
    <w:name w:val="xl208"/>
    <w:basedOn w:val="Normal"/>
    <w:rsid w:val="00F26AE4"/>
    <w:pP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09">
    <w:name w:val="xl209"/>
    <w:basedOn w:val="Normal"/>
    <w:rsid w:val="00F26AE4"/>
    <w:pPr>
      <w:pBdr>
        <w:top w:val="single" w:sz="12" w:space="0" w:color="7B7B7B"/>
        <w:bottom w:val="single" w:sz="4"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10">
    <w:name w:val="xl210"/>
    <w:basedOn w:val="Normal"/>
    <w:rsid w:val="00F26AE4"/>
    <w:pP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1">
    <w:name w:val="xl211"/>
    <w:basedOn w:val="Normal"/>
    <w:rsid w:val="00F26AE4"/>
    <w:pPr>
      <w:pBdr>
        <w:bottom w:val="single" w:sz="4"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12">
    <w:name w:val="xl212"/>
    <w:basedOn w:val="Normal"/>
    <w:rsid w:val="00F26AE4"/>
    <w:pPr>
      <w:pBdr>
        <w:bottom w:val="single" w:sz="12"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3">
    <w:name w:val="xl213"/>
    <w:basedOn w:val="Normal"/>
    <w:rsid w:val="00F26AE4"/>
    <w:pPr>
      <w:pBdr>
        <w:bottom w:val="single" w:sz="4"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4">
    <w:name w:val="xl214"/>
    <w:basedOn w:val="Normal"/>
    <w:rsid w:val="00F26AE4"/>
    <w:pPr>
      <w:pBdr>
        <w:top w:val="single" w:sz="4" w:space="0" w:color="7B7B7B"/>
        <w:bottom w:val="single" w:sz="12"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5">
    <w:name w:val="xl215"/>
    <w:basedOn w:val="Normal"/>
    <w:rsid w:val="00F26AE4"/>
    <w:pPr>
      <w:pBdr>
        <w:top w:val="single" w:sz="12" w:space="0" w:color="A5A5A5"/>
        <w:bottom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6">
    <w:name w:val="xl216"/>
    <w:basedOn w:val="Normal"/>
    <w:rsid w:val="00F26AE4"/>
    <w:pPr>
      <w:pBdr>
        <w:top w:val="single" w:sz="12" w:space="0" w:color="A5A5A5"/>
        <w:bottom w:val="single" w:sz="12"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7">
    <w:name w:val="xl217"/>
    <w:basedOn w:val="Normal"/>
    <w:rsid w:val="00F26AE4"/>
    <w:pPr>
      <w:pBdr>
        <w:top w:val="single" w:sz="12" w:space="0" w:color="A5A5A5"/>
        <w:bottom w:val="single" w:sz="12"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8">
    <w:name w:val="xl218"/>
    <w:basedOn w:val="Normal"/>
    <w:rsid w:val="00F26AE4"/>
    <w:pPr>
      <w:pBdr>
        <w:top w:val="single" w:sz="12" w:space="0" w:color="A5A5A5"/>
        <w:bottom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19">
    <w:name w:val="xl219"/>
    <w:basedOn w:val="Normal"/>
    <w:rsid w:val="00F26AE4"/>
    <w:pPr>
      <w:pBdr>
        <w:top w:val="single" w:sz="12" w:space="0" w:color="A5A5A5"/>
        <w:bottom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0">
    <w:name w:val="xl220"/>
    <w:basedOn w:val="Normal"/>
    <w:rsid w:val="00F26AE4"/>
    <w:pPr>
      <w:pBdr>
        <w:top w:val="single" w:sz="12" w:space="0" w:color="A5A5A5"/>
        <w:bottom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1">
    <w:name w:val="xl221"/>
    <w:basedOn w:val="Normal"/>
    <w:rsid w:val="00F26AE4"/>
    <w:pPr>
      <w:pBdr>
        <w:top w:val="single" w:sz="12" w:space="0" w:color="A5A5A5"/>
        <w:bottom w:val="single" w:sz="12"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2">
    <w:name w:val="xl222"/>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223">
    <w:name w:val="xl223"/>
    <w:basedOn w:val="Normal"/>
    <w:rsid w:val="00F26AE4"/>
    <w:pPr>
      <w:pBdr>
        <w:top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4">
    <w:name w:val="xl224"/>
    <w:basedOn w:val="Normal"/>
    <w:rsid w:val="00F26AE4"/>
    <w:pPr>
      <w:pBdr>
        <w:top w:val="single" w:sz="12"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5">
    <w:name w:val="xl225"/>
    <w:basedOn w:val="Normal"/>
    <w:rsid w:val="00F26AE4"/>
    <w:pPr>
      <w:pBdr>
        <w:top w:val="single" w:sz="12"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6">
    <w:name w:val="xl226"/>
    <w:basedOn w:val="Normal"/>
    <w:rsid w:val="00F26AE4"/>
    <w:pPr>
      <w:pBdr>
        <w:top w:val="single" w:sz="12"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7">
    <w:name w:val="xl227"/>
    <w:basedOn w:val="Normal"/>
    <w:rsid w:val="00F26AE4"/>
    <w:pPr>
      <w:pBdr>
        <w:top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8">
    <w:name w:val="xl228"/>
    <w:basedOn w:val="Normal"/>
    <w:rsid w:val="00F26AE4"/>
    <w:pPr>
      <w:pBdr>
        <w:top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29">
    <w:name w:val="xl229"/>
    <w:basedOn w:val="Normal"/>
    <w:rsid w:val="00F26AE4"/>
    <w:pPr>
      <w:pBdr>
        <w:top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0">
    <w:name w:val="xl230"/>
    <w:basedOn w:val="Normal"/>
    <w:rsid w:val="00F26AE4"/>
    <w:pPr>
      <w:pBdr>
        <w:top w:val="single" w:sz="12"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1">
    <w:name w:val="xl231"/>
    <w:basedOn w:val="Normal"/>
    <w:rsid w:val="00F26AE4"/>
    <w:pPr>
      <w:shd w:val="clear" w:color="000000" w:fill="A9D08E"/>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232">
    <w:name w:val="xl232"/>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233">
    <w:name w:val="xl233"/>
    <w:basedOn w:val="Normal"/>
    <w:rsid w:val="00F26AE4"/>
    <w:pPr>
      <w:pBdr>
        <w:bottom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4">
    <w:name w:val="xl234"/>
    <w:basedOn w:val="Normal"/>
    <w:rsid w:val="00F26AE4"/>
    <w:pPr>
      <w:pBdr>
        <w:bottom w:val="single" w:sz="12"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5">
    <w:name w:val="xl235"/>
    <w:basedOn w:val="Normal"/>
    <w:rsid w:val="00F26AE4"/>
    <w:pPr>
      <w:pBdr>
        <w:bottom w:val="single" w:sz="12"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6">
    <w:name w:val="xl236"/>
    <w:basedOn w:val="Normal"/>
    <w:rsid w:val="00F26AE4"/>
    <w:pPr>
      <w:pBdr>
        <w:bottom w:val="single" w:sz="12"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7">
    <w:name w:val="xl237"/>
    <w:basedOn w:val="Normal"/>
    <w:rsid w:val="00F26AE4"/>
    <w:pPr>
      <w:pBdr>
        <w:bottom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8">
    <w:name w:val="xl238"/>
    <w:basedOn w:val="Normal"/>
    <w:rsid w:val="00F26AE4"/>
    <w:pPr>
      <w:pBdr>
        <w:bottom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39">
    <w:name w:val="xl239"/>
    <w:basedOn w:val="Normal"/>
    <w:rsid w:val="00F26AE4"/>
    <w:pPr>
      <w:pBdr>
        <w:bottom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40">
    <w:name w:val="xl240"/>
    <w:basedOn w:val="Normal"/>
    <w:rsid w:val="00F26AE4"/>
    <w:pPr>
      <w:pBdr>
        <w:bottom w:val="single" w:sz="12"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41">
    <w:name w:val="xl241"/>
    <w:basedOn w:val="Normal"/>
    <w:rsid w:val="00F26AE4"/>
    <w:pPr>
      <w:pBdr>
        <w:top w:val="single" w:sz="12" w:space="0" w:color="A5A5A5"/>
        <w:bottom w:val="single" w:sz="12"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42">
    <w:name w:val="xl242"/>
    <w:basedOn w:val="Normal"/>
    <w:rsid w:val="00F26AE4"/>
    <w:pPr>
      <w:pBdr>
        <w:top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243">
    <w:name w:val="xl243"/>
    <w:basedOn w:val="Normal"/>
    <w:rsid w:val="00F26AE4"/>
    <w:pPr>
      <w:shd w:val="clear" w:color="000000" w:fill="FFE699"/>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244">
    <w:name w:val="xl244"/>
    <w:basedOn w:val="Normal"/>
    <w:rsid w:val="00F26AE4"/>
    <w:pPr>
      <w:shd w:val="clear" w:color="000000" w:fill="8EA9DB"/>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45">
    <w:name w:val="xl245"/>
    <w:basedOn w:val="Normal"/>
    <w:rsid w:val="00F26AE4"/>
    <w:pPr>
      <w:shd w:val="clear" w:color="000000" w:fill="F8CBAD"/>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46">
    <w:name w:val="xl246"/>
    <w:basedOn w:val="Normal"/>
    <w:rsid w:val="00F26AE4"/>
    <w:pPr>
      <w:shd w:val="clear" w:color="000000" w:fill="C6E0B4"/>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47">
    <w:name w:val="xl247"/>
    <w:basedOn w:val="Normal"/>
    <w:rsid w:val="00F26AE4"/>
    <w:pPr>
      <w:pBdr>
        <w:top w:val="single" w:sz="12" w:space="0" w:color="A5A5A5"/>
        <w:bottom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48">
    <w:name w:val="xl248"/>
    <w:basedOn w:val="Normal"/>
    <w:rsid w:val="00F26AE4"/>
    <w:pPr>
      <w:pBdr>
        <w:top w:val="single" w:sz="12"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49">
    <w:name w:val="xl249"/>
    <w:basedOn w:val="Normal"/>
    <w:rsid w:val="00F26AE4"/>
    <w:pPr>
      <w:pBdr>
        <w:top w:val="single" w:sz="12"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50">
    <w:name w:val="xl250"/>
    <w:basedOn w:val="Normal"/>
    <w:rsid w:val="00F26AE4"/>
    <w:pPr>
      <w:pBdr>
        <w:top w:val="single" w:sz="12"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51">
    <w:name w:val="xl251"/>
    <w:basedOn w:val="Normal"/>
    <w:rsid w:val="00F26AE4"/>
    <w:pPr>
      <w:pBdr>
        <w:top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52">
    <w:name w:val="xl252"/>
    <w:basedOn w:val="Normal"/>
    <w:rsid w:val="00F26AE4"/>
    <w:pPr>
      <w:pBdr>
        <w:top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53">
    <w:name w:val="xl253"/>
    <w:basedOn w:val="Normal"/>
    <w:rsid w:val="00F26AE4"/>
    <w:pPr>
      <w:pBdr>
        <w:top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54">
    <w:name w:val="xl254"/>
    <w:basedOn w:val="Normal"/>
    <w:rsid w:val="00F26AE4"/>
    <w:pPr>
      <w:pBdr>
        <w:top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55">
    <w:name w:val="xl255"/>
    <w:basedOn w:val="Normal"/>
    <w:rsid w:val="00F26AE4"/>
    <w:pPr>
      <w:shd w:val="clear" w:color="000000" w:fill="8EA9DB"/>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56">
    <w:name w:val="xl256"/>
    <w:basedOn w:val="Normal"/>
    <w:rsid w:val="00F26AE4"/>
    <w:pPr>
      <w:shd w:val="clear" w:color="000000" w:fill="A9D08E"/>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57">
    <w:name w:val="xl257"/>
    <w:basedOn w:val="Normal"/>
    <w:rsid w:val="00F26AE4"/>
    <w:pPr>
      <w:pBdr>
        <w:bottom w:val="single" w:sz="12"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58">
    <w:name w:val="xl258"/>
    <w:basedOn w:val="Normal"/>
    <w:rsid w:val="00F26AE4"/>
    <w:pPr>
      <w:pBdr>
        <w:bottom w:val="single" w:sz="12"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59">
    <w:name w:val="xl259"/>
    <w:basedOn w:val="Normal"/>
    <w:rsid w:val="00F26AE4"/>
    <w:pPr>
      <w:pBdr>
        <w:bottom w:val="single" w:sz="12"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60">
    <w:name w:val="xl260"/>
    <w:basedOn w:val="Normal"/>
    <w:rsid w:val="00F26AE4"/>
    <w:pPr>
      <w:pBdr>
        <w:bottom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61">
    <w:name w:val="xl261"/>
    <w:basedOn w:val="Normal"/>
    <w:rsid w:val="00F26AE4"/>
    <w:pPr>
      <w:pBdr>
        <w:bottom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62">
    <w:name w:val="xl262"/>
    <w:basedOn w:val="Normal"/>
    <w:rsid w:val="00F26AE4"/>
    <w:pPr>
      <w:pBdr>
        <w:bottom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63">
    <w:name w:val="xl263"/>
    <w:basedOn w:val="Normal"/>
    <w:rsid w:val="00F26AE4"/>
    <w:pPr>
      <w:pBdr>
        <w:bottom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64">
    <w:name w:val="xl264"/>
    <w:basedOn w:val="Normal"/>
    <w:rsid w:val="00F26AE4"/>
    <w:pPr>
      <w:pBdr>
        <w:top w:val="single" w:sz="12"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65">
    <w:name w:val="xl265"/>
    <w:basedOn w:val="Normal"/>
    <w:rsid w:val="00F26AE4"/>
    <w:pPr>
      <w:shd w:val="clear" w:color="000000" w:fill="EDEDE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66">
    <w:name w:val="xl266"/>
    <w:basedOn w:val="Normal"/>
    <w:rsid w:val="00F26AE4"/>
    <w:pPr>
      <w:pBdr>
        <w:top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67">
    <w:name w:val="xl267"/>
    <w:basedOn w:val="Normal"/>
    <w:rsid w:val="00F26AE4"/>
    <w:pPr>
      <w:shd w:val="clear" w:color="000000" w:fill="FFE699"/>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68">
    <w:name w:val="xl268"/>
    <w:basedOn w:val="Normal"/>
    <w:rsid w:val="00F26AE4"/>
    <w:pPr>
      <w:pBdr>
        <w:top w:val="single" w:sz="4"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69">
    <w:name w:val="xl269"/>
    <w:basedOn w:val="Normal"/>
    <w:rsid w:val="00F26AE4"/>
    <w:pPr>
      <w:pBdr>
        <w:top w:val="single" w:sz="4"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70">
    <w:name w:val="xl270"/>
    <w:basedOn w:val="Normal"/>
    <w:rsid w:val="00F26AE4"/>
    <w:pPr>
      <w:pBdr>
        <w:top w:val="single" w:sz="4"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71">
    <w:name w:val="xl271"/>
    <w:basedOn w:val="Normal"/>
    <w:rsid w:val="00F26AE4"/>
    <w:pPr>
      <w:pBdr>
        <w:top w:val="single" w:sz="4"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72">
    <w:name w:val="xl272"/>
    <w:basedOn w:val="Normal"/>
    <w:rsid w:val="00F26AE4"/>
    <w:pPr>
      <w:pBdr>
        <w:top w:val="single" w:sz="4"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73">
    <w:name w:val="xl273"/>
    <w:basedOn w:val="Normal"/>
    <w:rsid w:val="00F26AE4"/>
    <w:pPr>
      <w:pBdr>
        <w:top w:val="single" w:sz="4"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74">
    <w:name w:val="xl274"/>
    <w:basedOn w:val="Normal"/>
    <w:rsid w:val="00F26AE4"/>
    <w:pPr>
      <w:pBdr>
        <w:top w:val="single" w:sz="4"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75">
    <w:name w:val="xl275"/>
    <w:basedOn w:val="Normal"/>
    <w:rsid w:val="00F26AE4"/>
    <w:pPr>
      <w:pBdr>
        <w:top w:val="single" w:sz="4"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76">
    <w:name w:val="xl276"/>
    <w:basedOn w:val="Normal"/>
    <w:rsid w:val="00F26AE4"/>
    <w:pPr>
      <w:pBdr>
        <w:top w:val="single" w:sz="12"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77">
    <w:name w:val="xl277"/>
    <w:basedOn w:val="Normal"/>
    <w:rsid w:val="00F26AE4"/>
    <w:pPr>
      <w:pBdr>
        <w:top w:val="single" w:sz="4" w:space="0" w:color="A5A5A5"/>
        <w:bottom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78">
    <w:name w:val="xl278"/>
    <w:basedOn w:val="Normal"/>
    <w:rsid w:val="00F26AE4"/>
    <w:pPr>
      <w:pBdr>
        <w:top w:val="single" w:sz="4" w:space="0" w:color="A5A5A5"/>
        <w:bottom w:val="single" w:sz="12"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79">
    <w:name w:val="xl279"/>
    <w:basedOn w:val="Normal"/>
    <w:rsid w:val="00F26AE4"/>
    <w:pPr>
      <w:pBdr>
        <w:top w:val="single" w:sz="4" w:space="0" w:color="A5A5A5"/>
        <w:bottom w:val="single" w:sz="12"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80">
    <w:name w:val="xl280"/>
    <w:basedOn w:val="Normal"/>
    <w:rsid w:val="00F26AE4"/>
    <w:pPr>
      <w:pBdr>
        <w:top w:val="single" w:sz="4" w:space="0" w:color="A5A5A5"/>
        <w:bottom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81">
    <w:name w:val="xl281"/>
    <w:basedOn w:val="Normal"/>
    <w:rsid w:val="00F26AE4"/>
    <w:pPr>
      <w:pBdr>
        <w:top w:val="single" w:sz="4" w:space="0" w:color="A5A5A5"/>
        <w:bottom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82">
    <w:name w:val="xl282"/>
    <w:basedOn w:val="Normal"/>
    <w:rsid w:val="00F26AE4"/>
    <w:pPr>
      <w:pBdr>
        <w:top w:val="single" w:sz="4" w:space="0" w:color="A5A5A5"/>
        <w:bottom w:val="single" w:sz="12"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83">
    <w:name w:val="xl283"/>
    <w:basedOn w:val="Normal"/>
    <w:rsid w:val="00F26AE4"/>
    <w:pPr>
      <w:pBdr>
        <w:top w:val="single" w:sz="12"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284">
    <w:name w:val="xl284"/>
    <w:basedOn w:val="Normal"/>
    <w:rsid w:val="00F26AE4"/>
    <w:pPr>
      <w:pBdr>
        <w:top w:val="single" w:sz="4"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285">
    <w:name w:val="xl285"/>
    <w:basedOn w:val="Normal"/>
    <w:rsid w:val="00F26AE4"/>
    <w:pPr>
      <w:pBdr>
        <w:top w:val="single" w:sz="4"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86">
    <w:name w:val="xl286"/>
    <w:basedOn w:val="Normal"/>
    <w:rsid w:val="00F26AE4"/>
    <w:pPr>
      <w:pBdr>
        <w:top w:val="single" w:sz="4"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287">
    <w:name w:val="xl287"/>
    <w:basedOn w:val="Normal"/>
    <w:rsid w:val="00F26AE4"/>
    <w:pPr>
      <w:pBdr>
        <w:top w:val="single" w:sz="4"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88">
    <w:name w:val="xl288"/>
    <w:basedOn w:val="Normal"/>
    <w:rsid w:val="00F26AE4"/>
    <w:pPr>
      <w:shd w:val="clear" w:color="000000" w:fill="A9D08E"/>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89">
    <w:name w:val="xl289"/>
    <w:basedOn w:val="Normal"/>
    <w:rsid w:val="00F26AE4"/>
    <w:pPr>
      <w:shd w:val="clear" w:color="000000" w:fill="8EA9DB"/>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90">
    <w:name w:val="xl290"/>
    <w:basedOn w:val="Normal"/>
    <w:rsid w:val="00F26AE4"/>
    <w:pPr>
      <w:pBdr>
        <w:top w:val="single" w:sz="4"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91">
    <w:name w:val="xl291"/>
    <w:basedOn w:val="Normal"/>
    <w:rsid w:val="00F26AE4"/>
    <w:pP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92">
    <w:name w:val="xl292"/>
    <w:basedOn w:val="Normal"/>
    <w:rsid w:val="00F26AE4"/>
    <w:pPr>
      <w:shd w:val="clear" w:color="000000" w:fill="A5A5A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293">
    <w:name w:val="xl293"/>
    <w:basedOn w:val="Normal"/>
    <w:rsid w:val="00F26AE4"/>
    <w:pPr>
      <w:pBdr>
        <w:bottom w:val="single" w:sz="4"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94">
    <w:name w:val="xl294"/>
    <w:basedOn w:val="Normal"/>
    <w:rsid w:val="00F26AE4"/>
    <w:pPr>
      <w:pBdr>
        <w:bottom w:val="single" w:sz="4"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95">
    <w:name w:val="xl295"/>
    <w:basedOn w:val="Normal"/>
    <w:rsid w:val="00F26AE4"/>
    <w:pPr>
      <w:pBdr>
        <w:bottom w:val="single" w:sz="4"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96">
    <w:name w:val="xl296"/>
    <w:basedOn w:val="Normal"/>
    <w:rsid w:val="00F26AE4"/>
    <w:pPr>
      <w:pBdr>
        <w:bottom w:val="single" w:sz="4"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97">
    <w:name w:val="xl297"/>
    <w:basedOn w:val="Normal"/>
    <w:rsid w:val="00F26AE4"/>
    <w:pPr>
      <w:pBdr>
        <w:bottom w:val="single" w:sz="4"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98">
    <w:name w:val="xl298"/>
    <w:basedOn w:val="Normal"/>
    <w:rsid w:val="00F26AE4"/>
    <w:pPr>
      <w:pBdr>
        <w:top w:val="single" w:sz="12"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299">
    <w:name w:val="xl299"/>
    <w:basedOn w:val="Normal"/>
    <w:rsid w:val="00F26AE4"/>
    <w:pPr>
      <w:pBdr>
        <w:bottom w:val="single" w:sz="12"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00">
    <w:name w:val="xl300"/>
    <w:basedOn w:val="Normal"/>
    <w:rsid w:val="00F26AE4"/>
    <w:pPr>
      <w:pBdr>
        <w:top w:val="single" w:sz="12" w:space="0" w:color="A5A5A5"/>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01">
    <w:name w:val="xl301"/>
    <w:basedOn w:val="Normal"/>
    <w:rsid w:val="00F26AE4"/>
    <w:pPr>
      <w:pBdr>
        <w:top w:val="single" w:sz="12" w:space="0" w:color="A5A5A5"/>
        <w:bottom w:val="single" w:sz="12"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302">
    <w:name w:val="xl302"/>
    <w:basedOn w:val="Normal"/>
    <w:rsid w:val="00F26AE4"/>
    <w:pPr>
      <w:pBdr>
        <w:top w:val="single" w:sz="12" w:space="0" w:color="A5A5A5"/>
        <w:bottom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03">
    <w:name w:val="xl303"/>
    <w:basedOn w:val="Normal"/>
    <w:rsid w:val="00F26AE4"/>
    <w:pPr>
      <w:pBdr>
        <w:top w:val="single" w:sz="4" w:space="0" w:color="A5A5A5"/>
        <w:bottom w:val="single" w:sz="12"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04">
    <w:name w:val="xl304"/>
    <w:basedOn w:val="Normal"/>
    <w:rsid w:val="00F26AE4"/>
    <w:pPr>
      <w:pBdr>
        <w:top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05">
    <w:name w:val="xl305"/>
    <w:basedOn w:val="Normal"/>
    <w:rsid w:val="00F26AE4"/>
    <w:pPr>
      <w:pBdr>
        <w:top w:val="single" w:sz="4"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06">
    <w:name w:val="xl306"/>
    <w:basedOn w:val="Normal"/>
    <w:rsid w:val="00F26AE4"/>
    <w:pPr>
      <w:pBdr>
        <w:top w:val="single" w:sz="4"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07">
    <w:name w:val="xl307"/>
    <w:basedOn w:val="Normal"/>
    <w:rsid w:val="00F26AE4"/>
    <w:pPr>
      <w:pBdr>
        <w:top w:val="single" w:sz="12"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08">
    <w:name w:val="xl308"/>
    <w:basedOn w:val="Normal"/>
    <w:rsid w:val="00F26AE4"/>
    <w:pP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09">
    <w:name w:val="xl309"/>
    <w:basedOn w:val="Normal"/>
    <w:rsid w:val="00F26AE4"/>
    <w:pPr>
      <w:pBdr>
        <w:top w:val="single" w:sz="12" w:space="0" w:color="A5A5A5"/>
        <w:bottom w:val="single" w:sz="4" w:space="0" w:color="A5A5A5"/>
      </w:pBdr>
      <w:shd w:val="clear" w:color="000000" w:fill="8EA9DB"/>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10">
    <w:name w:val="xl310"/>
    <w:basedOn w:val="Normal"/>
    <w:rsid w:val="00F26AE4"/>
    <w:pPr>
      <w:pBdr>
        <w:top w:val="single" w:sz="12" w:space="0" w:color="A5A5A5"/>
        <w:bottom w:val="single" w:sz="4"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11">
    <w:name w:val="xl311"/>
    <w:basedOn w:val="Normal"/>
    <w:rsid w:val="00F26AE4"/>
    <w:pPr>
      <w:pBdr>
        <w:top w:val="single" w:sz="12" w:space="0" w:color="A5A5A5"/>
        <w:bottom w:val="single" w:sz="4"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12">
    <w:name w:val="xl312"/>
    <w:basedOn w:val="Normal"/>
    <w:rsid w:val="00F26AE4"/>
    <w:pPr>
      <w:pBdr>
        <w:top w:val="single" w:sz="12" w:space="0" w:color="A5A5A5"/>
        <w:bottom w:val="single" w:sz="4"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13">
    <w:name w:val="xl313"/>
    <w:basedOn w:val="Normal"/>
    <w:rsid w:val="00F26AE4"/>
    <w:pPr>
      <w:pBdr>
        <w:top w:val="single" w:sz="12" w:space="0" w:color="A5A5A5"/>
        <w:bottom w:val="single" w:sz="4"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14">
    <w:name w:val="xl314"/>
    <w:basedOn w:val="Normal"/>
    <w:rsid w:val="00F26AE4"/>
    <w:pPr>
      <w:pBdr>
        <w:top w:val="single" w:sz="12" w:space="0" w:color="A5A5A5"/>
        <w:bottom w:val="single" w:sz="4"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15">
    <w:name w:val="xl315"/>
    <w:basedOn w:val="Normal"/>
    <w:rsid w:val="00F26AE4"/>
    <w:pPr>
      <w:pBdr>
        <w:top w:val="single" w:sz="12" w:space="0" w:color="A5A5A5"/>
        <w:bottom w:val="single" w:sz="4"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16">
    <w:name w:val="xl316"/>
    <w:basedOn w:val="Normal"/>
    <w:rsid w:val="00F26AE4"/>
    <w:pPr>
      <w:pBdr>
        <w:bottom w:val="single" w:sz="4" w:space="0" w:color="A5A5A5"/>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17">
    <w:name w:val="xl317"/>
    <w:basedOn w:val="Normal"/>
    <w:rsid w:val="00F26AE4"/>
    <w:pPr>
      <w:pBdr>
        <w:top w:val="single" w:sz="4"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318">
    <w:name w:val="xl318"/>
    <w:basedOn w:val="Normal"/>
    <w:rsid w:val="00F26AE4"/>
    <w:pPr>
      <w:pBdr>
        <w:top w:val="single" w:sz="4"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319">
    <w:name w:val="xl319"/>
    <w:basedOn w:val="Normal"/>
    <w:rsid w:val="00F26AE4"/>
    <w:pPr>
      <w:pBdr>
        <w:bottom w:val="single" w:sz="4" w:space="0" w:color="A5A5A5"/>
      </w:pBdr>
      <w:shd w:val="clear" w:color="000000" w:fill="C6E0B4"/>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320">
    <w:name w:val="xl320"/>
    <w:basedOn w:val="Normal"/>
    <w:rsid w:val="00F26AE4"/>
    <w:pPr>
      <w:pBdr>
        <w:bottom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21">
    <w:name w:val="xl321"/>
    <w:basedOn w:val="Normal"/>
    <w:rsid w:val="00F26AE4"/>
    <w:pPr>
      <w:pBdr>
        <w:top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22">
    <w:name w:val="xl322"/>
    <w:basedOn w:val="Normal"/>
    <w:rsid w:val="00F26AE4"/>
    <w:pPr>
      <w:pBdr>
        <w:top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23">
    <w:name w:val="xl323"/>
    <w:basedOn w:val="Normal"/>
    <w:rsid w:val="00F26AE4"/>
    <w:pPr>
      <w:shd w:val="clear" w:color="000000" w:fill="F8CBAD"/>
      <w:spacing w:before="100" w:beforeAutospacing="1" w:after="100" w:afterAutospacing="1" w:line="240" w:lineRule="auto"/>
      <w:ind w:firstLine="0"/>
    </w:pPr>
    <w:rPr>
      <w:rFonts w:ascii="Segoe UI" w:eastAsia="Times New Roman" w:hAnsi="Segoe UI" w:cs="Segoe UI"/>
      <w:kern w:val="0"/>
      <w:sz w:val="20"/>
      <w:szCs w:val="20"/>
      <w:lang w:eastAsia="en-GB"/>
    </w:rPr>
  </w:style>
  <w:style w:type="paragraph" w:customStyle="1" w:styleId="xl324">
    <w:name w:val="xl324"/>
    <w:basedOn w:val="Normal"/>
    <w:rsid w:val="00F26AE4"/>
    <w:pPr>
      <w:pBdr>
        <w:top w:val="single" w:sz="8" w:space="0" w:color="7F7F7F"/>
        <w:bottom w:val="single" w:sz="8" w:space="0" w:color="7F7F7F"/>
      </w:pBd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25">
    <w:name w:val="xl325"/>
    <w:basedOn w:val="Normal"/>
    <w:rsid w:val="00F26AE4"/>
    <w:pPr>
      <w:shd w:val="clear" w:color="000000" w:fill="A5A5A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26">
    <w:name w:val="xl326"/>
    <w:basedOn w:val="Normal"/>
    <w:rsid w:val="00F26AE4"/>
    <w:pPr>
      <w:shd w:val="clear" w:color="000000" w:fill="EDEDED"/>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27">
    <w:name w:val="xl327"/>
    <w:basedOn w:val="Normal"/>
    <w:rsid w:val="00F26AE4"/>
    <w:pP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28">
    <w:name w:val="xl328"/>
    <w:basedOn w:val="Normal"/>
    <w:rsid w:val="00F26AE4"/>
    <w:pP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29">
    <w:name w:val="xl329"/>
    <w:basedOn w:val="Normal"/>
    <w:rsid w:val="00F26AE4"/>
    <w:pPr>
      <w:shd w:val="clear" w:color="000000" w:fill="A5A5A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30">
    <w:name w:val="xl330"/>
    <w:basedOn w:val="Normal"/>
    <w:rsid w:val="00F26AE4"/>
    <w:pPr>
      <w:pBdr>
        <w:top w:val="single" w:sz="12" w:space="0" w:color="A5A5A5"/>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31">
    <w:name w:val="xl331"/>
    <w:basedOn w:val="Normal"/>
    <w:rsid w:val="00F26AE4"/>
    <w:pPr>
      <w:pBdr>
        <w:top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32">
    <w:name w:val="xl332"/>
    <w:basedOn w:val="Normal"/>
    <w:rsid w:val="00F26AE4"/>
    <w:pPr>
      <w:pBdr>
        <w:top w:val="single" w:sz="12" w:space="0" w:color="7B7B7B"/>
        <w:bottom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33">
    <w:name w:val="xl333"/>
    <w:basedOn w:val="Normal"/>
    <w:rsid w:val="00F26AE4"/>
    <w:pPr>
      <w:pBdr>
        <w:top w:val="single" w:sz="12" w:space="0" w:color="A5A5A5"/>
      </w:pBdr>
      <w:shd w:val="clear" w:color="000000" w:fill="F4B084"/>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334">
    <w:name w:val="xl334"/>
    <w:basedOn w:val="Normal"/>
    <w:rsid w:val="00F26AE4"/>
    <w:pPr>
      <w:shd w:val="clear" w:color="000000" w:fill="548235"/>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335">
    <w:name w:val="xl335"/>
    <w:basedOn w:val="Normal"/>
    <w:rsid w:val="00F26AE4"/>
    <w:pPr>
      <w:pBdr>
        <w:bottom w:val="single" w:sz="4"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36">
    <w:name w:val="xl336"/>
    <w:basedOn w:val="Normal"/>
    <w:rsid w:val="00F26AE4"/>
    <w:pPr>
      <w:pBdr>
        <w:bottom w:val="single" w:sz="4"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color w:val="70AD47"/>
      <w:kern w:val="0"/>
      <w:lang w:eastAsia="en-GB"/>
    </w:rPr>
  </w:style>
  <w:style w:type="paragraph" w:customStyle="1" w:styleId="xl337">
    <w:name w:val="xl337"/>
    <w:basedOn w:val="Normal"/>
    <w:rsid w:val="00F26AE4"/>
    <w:pPr>
      <w:pBdr>
        <w:bottom w:val="single" w:sz="4"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38">
    <w:name w:val="xl338"/>
    <w:basedOn w:val="Normal"/>
    <w:rsid w:val="00F26AE4"/>
    <w:pPr>
      <w:pBdr>
        <w:top w:val="single" w:sz="4"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39">
    <w:name w:val="xl339"/>
    <w:basedOn w:val="Normal"/>
    <w:rsid w:val="00F26AE4"/>
    <w:pPr>
      <w:pBdr>
        <w:top w:val="single" w:sz="4" w:space="0" w:color="7B7B7B"/>
      </w:pBdr>
      <w:shd w:val="clear" w:color="000000" w:fill="A9D08E"/>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40">
    <w:name w:val="xl340"/>
    <w:basedOn w:val="Normal"/>
    <w:rsid w:val="00F26AE4"/>
    <w:pPr>
      <w:pBdr>
        <w:top w:val="single" w:sz="4" w:space="0" w:color="7B7B7B"/>
      </w:pBdr>
      <w:shd w:val="clear" w:color="000000" w:fill="FFE699"/>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41">
    <w:name w:val="xl341"/>
    <w:basedOn w:val="Normal"/>
    <w:rsid w:val="00F26AE4"/>
    <w:pPr>
      <w:pBdr>
        <w:bottom w:val="single" w:sz="8" w:space="0" w:color="7F7F7F"/>
      </w:pBd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42">
    <w:name w:val="xl342"/>
    <w:basedOn w:val="Normal"/>
    <w:rsid w:val="00F26AE4"/>
    <w:pPr>
      <w:pBdr>
        <w:top w:val="single" w:sz="4" w:space="0" w:color="A5A5A5"/>
        <w:bottom w:val="single" w:sz="12" w:space="0" w:color="A5A5A5"/>
      </w:pBdr>
      <w:shd w:val="clear" w:color="000000" w:fill="54823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343">
    <w:name w:val="xl343"/>
    <w:basedOn w:val="Normal"/>
    <w:rsid w:val="00F26AE4"/>
    <w:pPr>
      <w:pBdr>
        <w:top w:val="single" w:sz="4" w:space="0" w:color="A5A5A5"/>
        <w:bottom w:val="single" w:sz="12"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44">
    <w:name w:val="xl344"/>
    <w:basedOn w:val="Normal"/>
    <w:rsid w:val="00F26AE4"/>
    <w:pPr>
      <w:shd w:val="clear" w:color="000000" w:fill="F4B084"/>
      <w:spacing w:before="100" w:beforeAutospacing="1" w:after="100" w:afterAutospacing="1" w:line="240" w:lineRule="auto"/>
      <w:ind w:firstLine="0"/>
      <w:textAlignment w:val="center"/>
    </w:pPr>
    <w:rPr>
      <w:rFonts w:ascii="Times New Roman" w:eastAsia="Times New Roman" w:hAnsi="Times New Roman" w:cs="Times New Roman"/>
      <w:i/>
      <w:iCs/>
      <w:color w:val="000000"/>
      <w:kern w:val="0"/>
      <w:lang w:eastAsia="en-GB"/>
    </w:rPr>
  </w:style>
  <w:style w:type="paragraph" w:customStyle="1" w:styleId="xl345">
    <w:name w:val="xl345"/>
    <w:basedOn w:val="Normal"/>
    <w:rsid w:val="00F26AE4"/>
    <w:pPr>
      <w:pBdr>
        <w:bottom w:val="single" w:sz="4" w:space="0" w:color="A5A5A5"/>
      </w:pBdr>
      <w:shd w:val="clear" w:color="000000" w:fill="A9D08E"/>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46">
    <w:name w:val="xl346"/>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47">
    <w:name w:val="xl347"/>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48">
    <w:name w:val="xl348"/>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49">
    <w:name w:val="xl349"/>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50">
    <w:name w:val="xl350"/>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51">
    <w:name w:val="xl351"/>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52">
    <w:name w:val="xl352"/>
    <w:basedOn w:val="Normal"/>
    <w:rsid w:val="00F26AE4"/>
    <w:pPr>
      <w:pBdr>
        <w:top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353">
    <w:name w:val="xl353"/>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354">
    <w:name w:val="xl354"/>
    <w:basedOn w:val="Normal"/>
    <w:rsid w:val="00F26AE4"/>
    <w:pPr>
      <w:pBdr>
        <w:bottom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355">
    <w:name w:val="xl355"/>
    <w:basedOn w:val="Normal"/>
    <w:rsid w:val="00F26AE4"/>
    <w:pPr>
      <w:pBdr>
        <w:top w:val="single" w:sz="8" w:space="0" w:color="7F7F7F"/>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356">
    <w:name w:val="xl356"/>
    <w:basedOn w:val="Normal"/>
    <w:rsid w:val="00F26AE4"/>
    <w:pPr>
      <w:pBdr>
        <w:top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57">
    <w:name w:val="xl357"/>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58">
    <w:name w:val="xl358"/>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59">
    <w:name w:val="xl359"/>
    <w:basedOn w:val="Normal"/>
    <w:rsid w:val="00F26AE4"/>
    <w:pPr>
      <w:pBdr>
        <w:top w:val="single" w:sz="12" w:space="0" w:color="7B7B7B"/>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60">
    <w:name w:val="xl360"/>
    <w:basedOn w:val="Normal"/>
    <w:rsid w:val="00F26AE4"/>
    <w:pPr>
      <w:pBdr>
        <w:left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61">
    <w:name w:val="xl361"/>
    <w:basedOn w:val="Normal"/>
    <w:rsid w:val="00F26AE4"/>
    <w:pPr>
      <w:pBdr>
        <w:top w:val="single" w:sz="12" w:space="0" w:color="7B7B7B"/>
        <w:left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362">
    <w:name w:val="xl362"/>
    <w:basedOn w:val="Normal"/>
    <w:rsid w:val="00F26AE4"/>
    <w:pPr>
      <w:pBdr>
        <w:left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363">
    <w:name w:val="xl363"/>
    <w:basedOn w:val="Normal"/>
    <w:rsid w:val="00F26AE4"/>
    <w:pPr>
      <w:pBdr>
        <w:left w:val="single" w:sz="12" w:space="0" w:color="7B7B7B"/>
        <w:bottom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364">
    <w:name w:val="xl364"/>
    <w:basedOn w:val="Normal"/>
    <w:rsid w:val="00F26AE4"/>
    <w:pPr>
      <w:pBdr>
        <w:bottom w:val="single" w:sz="4" w:space="0" w:color="auto"/>
      </w:pBdr>
      <w:shd w:val="clear" w:color="000000" w:fill="FFE699"/>
      <w:spacing w:before="100" w:beforeAutospacing="1" w:after="100" w:afterAutospacing="1" w:line="240" w:lineRule="auto"/>
      <w:ind w:firstLine="0"/>
      <w:jc w:val="center"/>
    </w:pPr>
    <w:rPr>
      <w:rFonts w:ascii="Times New Roman" w:eastAsia="Times New Roman" w:hAnsi="Times New Roman" w:cs="Times New Roman"/>
      <w:kern w:val="0"/>
      <w:lang w:eastAsia="en-GB"/>
    </w:rPr>
  </w:style>
  <w:style w:type="paragraph" w:customStyle="1" w:styleId="xl365">
    <w:name w:val="xl365"/>
    <w:basedOn w:val="Normal"/>
    <w:rsid w:val="00F26AE4"/>
    <w:pPr>
      <w:pBdr>
        <w:bottom w:val="single" w:sz="8" w:space="0" w:color="7F7F7F"/>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66">
    <w:name w:val="xl366"/>
    <w:basedOn w:val="Normal"/>
    <w:rsid w:val="00F26AE4"/>
    <w:pPr>
      <w:pBdr>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67">
    <w:name w:val="xl367"/>
    <w:basedOn w:val="Normal"/>
    <w:rsid w:val="00F26AE4"/>
    <w:pPr>
      <w:pBdr>
        <w:lef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68">
    <w:name w:val="xl368"/>
    <w:basedOn w:val="Normal"/>
    <w:rsid w:val="00F26AE4"/>
    <w:pPr>
      <w:pBdr>
        <w:top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369">
    <w:name w:val="xl369"/>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370">
    <w:name w:val="xl370"/>
    <w:basedOn w:val="Normal"/>
    <w:rsid w:val="00F26AE4"/>
    <w:pPr>
      <w:pBdr>
        <w:top w:val="single" w:sz="8" w:space="0" w:color="7F7F7F"/>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71">
    <w:name w:val="xl371"/>
    <w:basedOn w:val="Normal"/>
    <w:rsid w:val="00F26AE4"/>
    <w:pP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372">
    <w:name w:val="xl372"/>
    <w:basedOn w:val="Normal"/>
    <w:rsid w:val="00F26AE4"/>
    <w:pPr>
      <w:pBdr>
        <w:top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kern w:val="0"/>
      <w:lang w:eastAsia="en-GB"/>
    </w:rPr>
  </w:style>
  <w:style w:type="paragraph" w:customStyle="1" w:styleId="xl373">
    <w:name w:val="xl373"/>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374">
    <w:name w:val="xl374"/>
    <w:basedOn w:val="Normal"/>
    <w:rsid w:val="00F26AE4"/>
    <w:pPr>
      <w:pBdr>
        <w:bottom w:val="single" w:sz="12" w:space="0" w:color="7B7B7B"/>
      </w:pBdr>
      <w:spacing w:before="100" w:beforeAutospacing="1" w:after="100" w:afterAutospacing="1" w:line="240" w:lineRule="auto"/>
      <w:ind w:firstLine="0"/>
      <w:jc w:val="center"/>
      <w:textAlignment w:val="center"/>
    </w:pPr>
    <w:rPr>
      <w:rFonts w:ascii="Times New Roman" w:eastAsia="Times New Roman" w:hAnsi="Times New Roman" w:cs="Times New Roman"/>
      <w:b/>
      <w:bCs/>
      <w:kern w:val="0"/>
      <w:lang w:eastAsia="en-GB"/>
    </w:rPr>
  </w:style>
  <w:style w:type="paragraph" w:customStyle="1" w:styleId="xl375">
    <w:name w:val="xl375"/>
    <w:basedOn w:val="Normal"/>
    <w:rsid w:val="00F26AE4"/>
    <w:pPr>
      <w:pBdr>
        <w:top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376">
    <w:name w:val="xl376"/>
    <w:basedOn w:val="Normal"/>
    <w:rsid w:val="00F26AE4"/>
    <w:pPr>
      <w:pBdr>
        <w:top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377">
    <w:name w:val="xl377"/>
    <w:basedOn w:val="Normal"/>
    <w:rsid w:val="00F26AE4"/>
    <w:pPr>
      <w:pBdr>
        <w:top w:val="single" w:sz="4" w:space="0" w:color="7B7B7B"/>
        <w:bottom w:val="single" w:sz="12"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78">
    <w:name w:val="xl378"/>
    <w:basedOn w:val="Normal"/>
    <w:rsid w:val="00F26AE4"/>
    <w:pPr>
      <w:pBdr>
        <w:top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379">
    <w:name w:val="xl379"/>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380">
    <w:name w:val="xl380"/>
    <w:basedOn w:val="Normal"/>
    <w:rsid w:val="00F26AE4"/>
    <w:pPr>
      <w:pBdr>
        <w:top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381">
    <w:name w:val="xl381"/>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82">
    <w:name w:val="xl382"/>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83">
    <w:name w:val="xl383"/>
    <w:basedOn w:val="Normal"/>
    <w:rsid w:val="00F26AE4"/>
    <w:pPr>
      <w:pBdr>
        <w:top w:val="single" w:sz="12" w:space="0" w:color="7B7B7B"/>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84">
    <w:name w:val="xl384"/>
    <w:basedOn w:val="Normal"/>
    <w:rsid w:val="00F26AE4"/>
    <w:pPr>
      <w:pBdr>
        <w:left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85">
    <w:name w:val="xl385"/>
    <w:basedOn w:val="Normal"/>
    <w:rsid w:val="00F26AE4"/>
    <w:pPr>
      <w:pBdr>
        <w:left w:val="single" w:sz="12" w:space="0" w:color="7B7B7B"/>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b/>
      <w:bCs/>
      <w:kern w:val="0"/>
      <w:lang w:eastAsia="en-GB"/>
    </w:rPr>
  </w:style>
  <w:style w:type="paragraph" w:customStyle="1" w:styleId="xl386">
    <w:name w:val="xl386"/>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387">
    <w:name w:val="xl387"/>
    <w:basedOn w:val="Normal"/>
    <w:rsid w:val="00F26AE4"/>
    <w:pPr>
      <w:pBdr>
        <w:bottom w:val="single" w:sz="12" w:space="0" w:color="7B7B7B"/>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388">
    <w:name w:val="xl388"/>
    <w:basedOn w:val="Normal"/>
    <w:rsid w:val="00F26AE4"/>
    <w:pPr>
      <w:pBdr>
        <w:bottom w:val="single" w:sz="4" w:space="0" w:color="7B7B7B"/>
      </w:pBdr>
      <w:shd w:val="clear" w:color="000000" w:fill="B4C6E7"/>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389">
    <w:name w:val="xl389"/>
    <w:basedOn w:val="Normal"/>
    <w:rsid w:val="00F26AE4"/>
    <w:pPr>
      <w:pBdr>
        <w:bottom w:val="single" w:sz="4" w:space="0" w:color="7B7B7B"/>
      </w:pBdr>
      <w:shd w:val="clear" w:color="000000" w:fill="54823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390">
    <w:name w:val="xl390"/>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391">
    <w:name w:val="xl391"/>
    <w:basedOn w:val="Normal"/>
    <w:rsid w:val="00F26AE4"/>
    <w:pPr>
      <w:pBdr>
        <w:bottom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kern w:val="0"/>
      <w:lang w:eastAsia="en-GB"/>
    </w:rPr>
  </w:style>
  <w:style w:type="paragraph" w:customStyle="1" w:styleId="xl392">
    <w:name w:val="xl392"/>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393">
    <w:name w:val="xl393"/>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394">
    <w:name w:val="xl394"/>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395">
    <w:name w:val="xl395"/>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396">
    <w:name w:val="xl396"/>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397">
    <w:name w:val="xl397"/>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398">
    <w:name w:val="xl398"/>
    <w:basedOn w:val="Normal"/>
    <w:rsid w:val="00F26AE4"/>
    <w:pPr>
      <w:pBdr>
        <w:top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kern w:val="0"/>
      <w:lang w:eastAsia="en-GB"/>
    </w:rPr>
  </w:style>
  <w:style w:type="paragraph" w:customStyle="1" w:styleId="xl399">
    <w:name w:val="xl399"/>
    <w:basedOn w:val="Normal"/>
    <w:rsid w:val="00F26AE4"/>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kern w:val="0"/>
      <w:lang w:eastAsia="en-GB"/>
    </w:rPr>
  </w:style>
  <w:style w:type="paragraph" w:customStyle="1" w:styleId="xl400">
    <w:name w:val="xl400"/>
    <w:basedOn w:val="Normal"/>
    <w:rsid w:val="00F26AE4"/>
    <w:pPr>
      <w:pBdr>
        <w:bottom w:val="single" w:sz="12" w:space="0" w:color="A5A5A5"/>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kern w:val="0"/>
      <w:lang w:eastAsia="en-GB"/>
    </w:rPr>
  </w:style>
  <w:style w:type="paragraph" w:customStyle="1" w:styleId="xl401">
    <w:name w:val="xl401"/>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kern w:val="0"/>
      <w:lang w:eastAsia="en-GB"/>
    </w:rPr>
  </w:style>
  <w:style w:type="paragraph" w:customStyle="1" w:styleId="xl402">
    <w:name w:val="xl402"/>
    <w:basedOn w:val="Normal"/>
    <w:rsid w:val="00F26AE4"/>
    <w:pPr>
      <w:pBdr>
        <w:top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403">
    <w:name w:val="xl403"/>
    <w:basedOn w:val="Normal"/>
    <w:rsid w:val="00F26AE4"/>
    <w:pP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404">
    <w:name w:val="xl404"/>
    <w:basedOn w:val="Normal"/>
    <w:rsid w:val="00F26AE4"/>
    <w:pPr>
      <w:pBdr>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405">
    <w:name w:val="xl405"/>
    <w:basedOn w:val="Normal"/>
    <w:rsid w:val="00F26AE4"/>
    <w:pPr>
      <w:pBdr>
        <w:top w:val="single" w:sz="12" w:space="0" w:color="A5A5A5"/>
        <w:bottom w:val="single" w:sz="12" w:space="0" w:color="A5A5A5"/>
      </w:pBdr>
      <w:spacing w:before="100" w:beforeAutospacing="1" w:after="100" w:afterAutospacing="1" w:line="240" w:lineRule="auto"/>
      <w:ind w:firstLine="0"/>
      <w:textAlignment w:val="center"/>
    </w:pPr>
    <w:rPr>
      <w:rFonts w:ascii="Times New Roman" w:eastAsia="Times New Roman" w:hAnsi="Times New Roman" w:cs="Times New Roman"/>
      <w:color w:val="000000"/>
      <w:kern w:val="0"/>
      <w:lang w:eastAsia="en-GB"/>
    </w:rPr>
  </w:style>
  <w:style w:type="paragraph" w:customStyle="1" w:styleId="xl406">
    <w:name w:val="xl406"/>
    <w:basedOn w:val="Normal"/>
    <w:rsid w:val="00F26AE4"/>
    <w:pPr>
      <w:pBdr>
        <w:bottom w:val="single" w:sz="4" w:space="0" w:color="A5A5A5"/>
      </w:pBdr>
      <w:shd w:val="clear" w:color="000000" w:fill="FFE699"/>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407">
    <w:name w:val="xl407"/>
    <w:basedOn w:val="Normal"/>
    <w:rsid w:val="00F26AE4"/>
    <w:pPr>
      <w:pBdr>
        <w:bottom w:val="single" w:sz="4" w:space="0" w:color="A5A5A5"/>
      </w:pBdr>
      <w:shd w:val="clear" w:color="000000" w:fill="F8CBAD"/>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408">
    <w:name w:val="xl408"/>
    <w:basedOn w:val="Normal"/>
    <w:rsid w:val="00F26AE4"/>
    <w:pP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09">
    <w:name w:val="xl409"/>
    <w:basedOn w:val="Normal"/>
    <w:rsid w:val="00F26AE4"/>
    <w:pPr>
      <w:pBdr>
        <w:top w:val="single" w:sz="12" w:space="0" w:color="A5A5A5"/>
        <w:bottom w:val="single" w:sz="12" w:space="0" w:color="A5A5A5"/>
      </w:pBdr>
      <w:shd w:val="clear" w:color="000000" w:fill="A5A5A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10">
    <w:name w:val="xl410"/>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411">
    <w:name w:val="xl411"/>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12">
    <w:name w:val="xl412"/>
    <w:basedOn w:val="Normal"/>
    <w:rsid w:val="00F26AE4"/>
    <w:pPr>
      <w:pBdr>
        <w:top w:val="single" w:sz="12" w:space="0" w:color="A5A5A5"/>
        <w:bottom w:val="single" w:sz="12" w:space="0" w:color="A5A5A5"/>
      </w:pBdr>
      <w:spacing w:before="100" w:beforeAutospacing="1" w:after="100" w:afterAutospacing="1" w:line="240" w:lineRule="auto"/>
      <w:ind w:firstLine="0"/>
      <w:jc w:val="center"/>
    </w:pPr>
    <w:rPr>
      <w:rFonts w:ascii="Times New Roman" w:eastAsia="Times New Roman" w:hAnsi="Times New Roman" w:cs="Times New Roman"/>
      <w:kern w:val="0"/>
      <w:lang w:eastAsia="en-GB"/>
    </w:rPr>
  </w:style>
  <w:style w:type="paragraph" w:customStyle="1" w:styleId="xl413">
    <w:name w:val="xl413"/>
    <w:basedOn w:val="Normal"/>
    <w:rsid w:val="00F26AE4"/>
    <w:pPr>
      <w:pBdr>
        <w:top w:val="single" w:sz="12" w:space="0" w:color="A5A5A5"/>
        <w:bottom w:val="single" w:sz="12" w:space="0" w:color="A5A5A5"/>
      </w:pBdr>
      <w:spacing w:before="100" w:beforeAutospacing="1" w:after="100" w:afterAutospacing="1" w:line="240" w:lineRule="auto"/>
      <w:ind w:firstLine="0"/>
      <w:jc w:val="center"/>
    </w:pPr>
    <w:rPr>
      <w:rFonts w:ascii="Times New Roman" w:eastAsia="Times New Roman" w:hAnsi="Times New Roman" w:cs="Times New Roman"/>
      <w:i/>
      <w:iCs/>
      <w:kern w:val="0"/>
      <w:lang w:eastAsia="en-GB"/>
    </w:rPr>
  </w:style>
  <w:style w:type="paragraph" w:customStyle="1" w:styleId="xl414">
    <w:name w:val="xl414"/>
    <w:basedOn w:val="Normal"/>
    <w:rsid w:val="00F26AE4"/>
    <w:pPr>
      <w:pBdr>
        <w:top w:val="single" w:sz="12" w:space="0" w:color="A5A5A5"/>
        <w:bottom w:val="single" w:sz="12" w:space="0" w:color="A5A5A5"/>
      </w:pBdr>
      <w:spacing w:before="100" w:beforeAutospacing="1" w:after="100" w:afterAutospacing="1" w:line="240" w:lineRule="auto"/>
      <w:ind w:firstLine="0"/>
      <w:jc w:val="center"/>
    </w:pPr>
    <w:rPr>
      <w:rFonts w:ascii="Times New Roman" w:eastAsia="Times New Roman" w:hAnsi="Times New Roman" w:cs="Times New Roman"/>
      <w:kern w:val="0"/>
      <w:lang w:eastAsia="en-GB"/>
    </w:rPr>
  </w:style>
  <w:style w:type="paragraph" w:customStyle="1" w:styleId="xl415">
    <w:name w:val="xl415"/>
    <w:basedOn w:val="Normal"/>
    <w:rsid w:val="00F26AE4"/>
    <w:pPr>
      <w:pBdr>
        <w:top w:val="single" w:sz="12" w:space="0" w:color="A5A5A5"/>
        <w:bottom w:val="single" w:sz="12" w:space="0" w:color="A5A5A5"/>
      </w:pBd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16">
    <w:name w:val="xl416"/>
    <w:basedOn w:val="Normal"/>
    <w:rsid w:val="00F26AE4"/>
    <w:pPr>
      <w:pBdr>
        <w:top w:val="single" w:sz="12" w:space="0" w:color="A5A5A5"/>
        <w:bottom w:val="single" w:sz="12" w:space="0" w:color="A5A5A5"/>
      </w:pBdr>
      <w:spacing w:before="100" w:beforeAutospacing="1" w:after="100" w:afterAutospacing="1" w:line="240" w:lineRule="auto"/>
      <w:ind w:firstLine="0"/>
      <w:jc w:val="center"/>
    </w:pPr>
    <w:rPr>
      <w:rFonts w:ascii="Times New Roman" w:eastAsia="Times New Roman" w:hAnsi="Times New Roman" w:cs="Times New Roman"/>
      <w:i/>
      <w:iCs/>
      <w:kern w:val="0"/>
      <w:lang w:eastAsia="en-GB"/>
    </w:rPr>
  </w:style>
  <w:style w:type="paragraph" w:customStyle="1" w:styleId="xl417">
    <w:name w:val="xl417"/>
    <w:basedOn w:val="Normal"/>
    <w:rsid w:val="00F26AE4"/>
    <w:pPr>
      <w:pBdr>
        <w:top w:val="single" w:sz="12" w:space="0" w:color="A5A5A5"/>
        <w:bottom w:val="single" w:sz="12" w:space="0" w:color="A5A5A5"/>
      </w:pBdr>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418">
    <w:name w:val="xl418"/>
    <w:basedOn w:val="Normal"/>
    <w:rsid w:val="00F26AE4"/>
    <w:pPr>
      <w:pBdr>
        <w:top w:val="single" w:sz="12" w:space="0" w:color="A5A5A5"/>
        <w:bottom w:val="single" w:sz="12" w:space="0" w:color="A5A5A5"/>
      </w:pBd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19">
    <w:name w:val="xl419"/>
    <w:basedOn w:val="Normal"/>
    <w:rsid w:val="00F26AE4"/>
    <w:pPr>
      <w:pBdr>
        <w:top w:val="single" w:sz="12" w:space="0" w:color="A5A5A5"/>
        <w:bottom w:val="single" w:sz="12" w:space="0" w:color="A5A5A5"/>
      </w:pBdr>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420">
    <w:name w:val="xl420"/>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21">
    <w:name w:val="xl421"/>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b/>
      <w:bCs/>
      <w:kern w:val="0"/>
      <w:lang w:eastAsia="en-GB"/>
    </w:rPr>
  </w:style>
  <w:style w:type="paragraph" w:customStyle="1" w:styleId="xl422">
    <w:name w:val="xl422"/>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b/>
      <w:bCs/>
      <w:kern w:val="0"/>
      <w:lang w:eastAsia="en-GB"/>
    </w:rPr>
  </w:style>
  <w:style w:type="paragraph" w:customStyle="1" w:styleId="xl423">
    <w:name w:val="xl423"/>
    <w:basedOn w:val="Normal"/>
    <w:rsid w:val="00F26AE4"/>
    <w:pPr>
      <w:pBdr>
        <w:top w:val="single" w:sz="12" w:space="0" w:color="A5A5A5"/>
        <w:bottom w:val="single" w:sz="12" w:space="0" w:color="A5A5A5"/>
      </w:pBdr>
      <w:shd w:val="clear" w:color="000000" w:fill="A5A5A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24">
    <w:name w:val="xl424"/>
    <w:basedOn w:val="Normal"/>
    <w:rsid w:val="00F26AE4"/>
    <w:pPr>
      <w:pBdr>
        <w:top w:val="single" w:sz="12" w:space="0" w:color="A5A5A5"/>
        <w:bottom w:val="single" w:sz="12" w:space="0" w:color="A5A5A5"/>
      </w:pBd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25">
    <w:name w:val="xl425"/>
    <w:basedOn w:val="Normal"/>
    <w:rsid w:val="00F26AE4"/>
    <w:pPr>
      <w:pBdr>
        <w:top w:val="single" w:sz="12" w:space="0" w:color="A5A5A5"/>
        <w:bottom w:val="single" w:sz="12" w:space="0" w:color="A5A5A5"/>
      </w:pBdr>
      <w:shd w:val="clear" w:color="000000" w:fill="A5A5A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26">
    <w:name w:val="xl426"/>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27">
    <w:name w:val="xl427"/>
    <w:basedOn w:val="Normal"/>
    <w:rsid w:val="00F26AE4"/>
    <w:pPr>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28">
    <w:name w:val="xl428"/>
    <w:basedOn w:val="Normal"/>
    <w:rsid w:val="00F26AE4"/>
    <w:pPr>
      <w:pBdr>
        <w:top w:val="single" w:sz="8" w:space="0" w:color="7F7F7F"/>
        <w:bottom w:val="single" w:sz="8" w:space="0" w:color="7F7F7F"/>
      </w:pBdr>
      <w:shd w:val="clear" w:color="000000" w:fill="EDEDED"/>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429">
    <w:name w:val="xl429"/>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color w:val="70AD47"/>
      <w:kern w:val="0"/>
      <w:lang w:eastAsia="en-GB"/>
    </w:rPr>
  </w:style>
  <w:style w:type="paragraph" w:customStyle="1" w:styleId="xl430">
    <w:name w:val="xl430"/>
    <w:basedOn w:val="Normal"/>
    <w:rsid w:val="00F26AE4"/>
    <w:pPr>
      <w:pBdr>
        <w:top w:val="single" w:sz="12" w:space="0" w:color="A5A5A5"/>
      </w:pBdr>
      <w:shd w:val="clear" w:color="000000" w:fill="A5A5A5"/>
      <w:spacing w:before="100" w:beforeAutospacing="1" w:after="100" w:afterAutospacing="1" w:line="240" w:lineRule="auto"/>
      <w:ind w:firstLine="0"/>
      <w:textAlignment w:val="center"/>
    </w:pPr>
    <w:rPr>
      <w:rFonts w:ascii="Times New Roman" w:eastAsia="Times New Roman" w:hAnsi="Times New Roman" w:cs="Times New Roman"/>
      <w:b/>
      <w:bCs/>
      <w:color w:val="000000"/>
      <w:kern w:val="0"/>
      <w:lang w:eastAsia="en-GB"/>
    </w:rPr>
  </w:style>
  <w:style w:type="paragraph" w:customStyle="1" w:styleId="xl431">
    <w:name w:val="xl431"/>
    <w:basedOn w:val="Normal"/>
    <w:rsid w:val="00F26AE4"/>
    <w:pPr>
      <w:pBdr>
        <w:top w:val="single" w:sz="12" w:space="0" w:color="A5A5A5"/>
      </w:pBdr>
      <w:shd w:val="clear" w:color="000000" w:fill="A5A5A5"/>
      <w:spacing w:before="100" w:beforeAutospacing="1" w:after="100" w:afterAutospacing="1" w:line="240" w:lineRule="auto"/>
      <w:ind w:firstLine="0"/>
    </w:pPr>
    <w:rPr>
      <w:rFonts w:ascii="Times New Roman" w:eastAsia="Times New Roman" w:hAnsi="Times New Roman" w:cs="Times New Roman"/>
      <w:kern w:val="0"/>
      <w:lang w:eastAsia="en-GB"/>
    </w:rPr>
  </w:style>
  <w:style w:type="paragraph" w:customStyle="1" w:styleId="xl432">
    <w:name w:val="xl432"/>
    <w:basedOn w:val="Normal"/>
    <w:rsid w:val="00F26AE4"/>
    <w:pPr>
      <w:pBdr>
        <w:top w:val="single" w:sz="12" w:space="0" w:color="A5A5A5"/>
      </w:pBdr>
      <w:shd w:val="clear" w:color="000000" w:fill="A5A5A5"/>
      <w:spacing w:before="100" w:beforeAutospacing="1" w:after="100" w:afterAutospacing="1" w:line="240" w:lineRule="auto"/>
      <w:ind w:firstLine="0"/>
    </w:pPr>
    <w:rPr>
      <w:rFonts w:ascii="Times New Roman" w:eastAsia="Times New Roman" w:hAnsi="Times New Roman" w:cs="Times New Roman"/>
      <w:i/>
      <w:iCs/>
      <w:kern w:val="0"/>
      <w:lang w:eastAsia="en-GB"/>
    </w:rPr>
  </w:style>
  <w:style w:type="paragraph" w:customStyle="1" w:styleId="xl433">
    <w:name w:val="xl433"/>
    <w:basedOn w:val="Normal"/>
    <w:rsid w:val="00F26AE4"/>
    <w:pPr>
      <w:pBdr>
        <w:top w:val="single" w:sz="12" w:space="0" w:color="A5A5A5"/>
      </w:pBdr>
      <w:shd w:val="clear" w:color="000000" w:fill="A5A5A5"/>
      <w:spacing w:before="100" w:beforeAutospacing="1" w:after="100" w:afterAutospacing="1" w:line="240" w:lineRule="auto"/>
      <w:ind w:firstLine="0"/>
    </w:pPr>
    <w:rPr>
      <w:rFonts w:ascii="Times New Roman" w:eastAsia="Times New Roman" w:hAnsi="Times New Roman" w:cs="Times New Roman"/>
      <w:i/>
      <w:iCs/>
      <w:kern w:val="0"/>
      <w:u w:val="single"/>
      <w:lang w:eastAsia="en-GB"/>
    </w:rPr>
  </w:style>
  <w:style w:type="paragraph" w:customStyle="1" w:styleId="xl434">
    <w:name w:val="xl434"/>
    <w:basedOn w:val="Normal"/>
    <w:rsid w:val="00F26AE4"/>
    <w:pPr>
      <w:pBdr>
        <w:top w:val="single" w:sz="12" w:space="0" w:color="A5A5A5"/>
        <w:bottom w:val="single" w:sz="12" w:space="0" w:color="A5A5A5"/>
      </w:pBdr>
      <w:shd w:val="clear" w:color="000000" w:fill="EDEDED"/>
      <w:spacing w:before="100" w:beforeAutospacing="1" w:after="100" w:afterAutospacing="1" w:line="240" w:lineRule="auto"/>
      <w:ind w:firstLine="0"/>
    </w:pPr>
    <w:rPr>
      <w:rFonts w:ascii="Times New Roman" w:eastAsia="Times New Roman" w:hAnsi="Times New Roman" w:cs="Times New Roman"/>
      <w:b/>
      <w:bCs/>
      <w:kern w:val="0"/>
      <w:lang w:eastAsia="en-GB"/>
    </w:rPr>
  </w:style>
  <w:style w:type="paragraph" w:customStyle="1" w:styleId="xl435">
    <w:name w:val="xl435"/>
    <w:basedOn w:val="Normal"/>
    <w:rsid w:val="00F26AE4"/>
    <w:pPr>
      <w:pBdr>
        <w:top w:val="single" w:sz="12" w:space="0" w:color="A5A5A5"/>
        <w:bottom w:val="single" w:sz="12" w:space="0" w:color="A5A5A5"/>
      </w:pBdr>
      <w:spacing w:before="100" w:beforeAutospacing="1" w:after="100" w:afterAutospacing="1" w:line="240" w:lineRule="auto"/>
      <w:ind w:firstLine="0"/>
    </w:pPr>
    <w:rPr>
      <w:rFonts w:ascii="Times New Roman" w:eastAsia="Times New Roman" w:hAnsi="Times New Roman" w:cs="Times New Roman"/>
      <w:kern w:val="0"/>
      <w:lang w:eastAsia="en-GB"/>
    </w:rPr>
  </w:style>
  <w:style w:type="character" w:customStyle="1" w:styleId="jsgrdq">
    <w:name w:val="jsgrdq"/>
    <w:basedOn w:val="DefaultParagraphFont"/>
    <w:rsid w:val="00F26AE4"/>
  </w:style>
  <w:style w:type="paragraph" w:customStyle="1" w:styleId="04xlpa">
    <w:name w:val="_04xlpa"/>
    <w:basedOn w:val="Normal"/>
    <w:rsid w:val="00F26AE4"/>
    <w:pPr>
      <w:spacing w:before="100" w:beforeAutospacing="1" w:after="100" w:afterAutospacing="1" w:line="240" w:lineRule="auto"/>
      <w:ind w:firstLine="0"/>
    </w:pPr>
    <w:rPr>
      <w:rFonts w:ascii="Times New Roman" w:eastAsia="Times New Roman" w:hAnsi="Times New Roman" w:cs="Times New Roman"/>
      <w:kern w:val="0"/>
      <w:lang w:eastAsia="en-GB"/>
    </w:rPr>
  </w:style>
  <w:style w:type="character" w:styleId="UnresolvedMention">
    <w:name w:val="Unresolved Mention"/>
    <w:basedOn w:val="DefaultParagraphFont"/>
    <w:uiPriority w:val="99"/>
    <w:semiHidden/>
    <w:unhideWhenUsed/>
    <w:rsid w:val="00F26AE4"/>
    <w:rPr>
      <w:color w:val="605E5C"/>
      <w:shd w:val="clear" w:color="auto" w:fill="E1DFDD"/>
    </w:rPr>
  </w:style>
  <w:style w:type="paragraph" w:styleId="TOC3">
    <w:name w:val="toc 3"/>
    <w:basedOn w:val="Normal"/>
    <w:next w:val="Normal"/>
    <w:autoRedefine/>
    <w:uiPriority w:val="39"/>
    <w:unhideWhenUsed/>
    <w:rsid w:val="00F26AE4"/>
    <w:pPr>
      <w:tabs>
        <w:tab w:val="right" w:leader="dot" w:pos="9016"/>
      </w:tabs>
      <w:spacing w:after="100" w:line="259" w:lineRule="auto"/>
      <w:ind w:left="440" w:firstLine="0"/>
      <w:jc w:val="both"/>
    </w:pPr>
    <w:rPr>
      <w:rFonts w:ascii="Arial" w:eastAsiaTheme="minorHAnsi" w:hAnsi="Arial"/>
      <w:kern w:val="0"/>
      <w:sz w:val="22"/>
      <w:szCs w:val="22"/>
      <w:lang w:eastAsia="en-US"/>
    </w:rPr>
  </w:style>
  <w:style w:type="paragraph" w:styleId="Revision">
    <w:name w:val="Revision"/>
    <w:hidden/>
    <w:uiPriority w:val="99"/>
    <w:semiHidden/>
    <w:rsid w:val="00F26AE4"/>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F26AE4"/>
    <w:rPr>
      <w:color w:val="605E5C"/>
      <w:shd w:val="clear" w:color="auto" w:fill="E1DFDD"/>
    </w:rPr>
  </w:style>
  <w:style w:type="character" w:customStyle="1" w:styleId="complete">
    <w:name w:val="complete"/>
    <w:basedOn w:val="DefaultParagraphFont"/>
    <w:rsid w:val="00F26AE4"/>
  </w:style>
  <w:style w:type="table" w:customStyle="1" w:styleId="TableGridLight1">
    <w:name w:val="Table Grid Light1"/>
    <w:basedOn w:val="TableNormal"/>
    <w:next w:val="TableGridLight"/>
    <w:uiPriority w:val="40"/>
    <w:rsid w:val="00F26AE4"/>
    <w:pPr>
      <w:spacing w:after="0" w:line="240" w:lineRule="auto"/>
      <w:ind w:firstLine="720"/>
    </w:pPr>
    <w:rPr>
      <w:rFonts w:eastAsiaTheme="minorEastAsia"/>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PAReport1">
    <w:name w:val="APA Report1"/>
    <w:basedOn w:val="TableNormal"/>
    <w:uiPriority w:val="99"/>
    <w:rsid w:val="00F26AE4"/>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PlainTable11">
    <w:name w:val="Plain Table 11"/>
    <w:basedOn w:val="TableNormal"/>
    <w:next w:val="PlainTable1"/>
    <w:uiPriority w:val="41"/>
    <w:rsid w:val="00F26AE4"/>
    <w:pPr>
      <w:spacing w:after="0" w:line="240" w:lineRule="auto"/>
      <w:ind w:firstLine="720"/>
    </w:pPr>
    <w:rPr>
      <w:rFonts w:eastAsiaTheme="minorEastAsia"/>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F26AE4"/>
    <w:pPr>
      <w:spacing w:after="0" w:line="240" w:lineRule="auto"/>
      <w:ind w:firstLine="720"/>
    </w:pPr>
    <w:rPr>
      <w:rFonts w:eastAsiaTheme="minorEastAsia"/>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ED2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D2CE1"/>
  </w:style>
  <w:style w:type="table" w:customStyle="1" w:styleId="TableGrid11">
    <w:name w:val="Table Grid11"/>
    <w:basedOn w:val="TableNormal"/>
    <w:next w:val="TableGrid"/>
    <w:uiPriority w:val="39"/>
    <w:rsid w:val="00ED2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ED2C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1">
    <w:name w:val="Grid Table 41"/>
    <w:basedOn w:val="TableNormal"/>
    <w:next w:val="GridTable4"/>
    <w:uiPriority w:val="49"/>
    <w:rsid w:val="00ED2C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next w:val="TableGridLight"/>
    <w:uiPriority w:val="40"/>
    <w:rsid w:val="00ED2C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next w:val="GridTable1Light-Accent1"/>
    <w:uiPriority w:val="46"/>
    <w:rsid w:val="00ED2CE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next w:val="GridTable3-Accent1"/>
    <w:uiPriority w:val="48"/>
    <w:rsid w:val="00ED2CE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APAReport2">
    <w:name w:val="APA Report2"/>
    <w:basedOn w:val="TableNormal"/>
    <w:uiPriority w:val="99"/>
    <w:rsid w:val="00ED2CE1"/>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PlainTable12">
    <w:name w:val="Plain Table 12"/>
    <w:basedOn w:val="TableNormal"/>
    <w:next w:val="PlainTable1"/>
    <w:uiPriority w:val="41"/>
    <w:rsid w:val="00ED2CE1"/>
    <w:pPr>
      <w:spacing w:after="0" w:line="240" w:lineRule="auto"/>
      <w:ind w:firstLine="720"/>
    </w:pPr>
    <w:rPr>
      <w:rFonts w:eastAsiaTheme="minorEastAsia"/>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next w:val="PlainTable4"/>
    <w:uiPriority w:val="44"/>
    <w:rsid w:val="00ED2CE1"/>
    <w:pPr>
      <w:spacing w:after="0" w:line="240" w:lineRule="auto"/>
      <w:ind w:firstLine="720"/>
    </w:pPr>
    <w:rPr>
      <w:rFonts w:eastAsiaTheme="minorEastAsia"/>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next w:val="TableGridLight"/>
    <w:uiPriority w:val="40"/>
    <w:rsid w:val="00ED2CE1"/>
    <w:pPr>
      <w:spacing w:after="0" w:line="240" w:lineRule="auto"/>
      <w:ind w:firstLine="720"/>
    </w:pPr>
    <w:rPr>
      <w:rFonts w:eastAsiaTheme="minorEastAsia"/>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PAReport11">
    <w:name w:val="APA Report11"/>
    <w:basedOn w:val="TableNormal"/>
    <w:uiPriority w:val="99"/>
    <w:rsid w:val="00ED2CE1"/>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PlainTable111">
    <w:name w:val="Plain Table 111"/>
    <w:basedOn w:val="TableNormal"/>
    <w:next w:val="PlainTable1"/>
    <w:uiPriority w:val="41"/>
    <w:rsid w:val="00ED2CE1"/>
    <w:pPr>
      <w:spacing w:after="0" w:line="240" w:lineRule="auto"/>
      <w:ind w:firstLine="720"/>
    </w:pPr>
    <w:rPr>
      <w:rFonts w:eastAsiaTheme="minorEastAsia"/>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1">
    <w:name w:val="Plain Table 411"/>
    <w:basedOn w:val="TableNormal"/>
    <w:next w:val="PlainTable4"/>
    <w:uiPriority w:val="44"/>
    <w:rsid w:val="00ED2CE1"/>
    <w:pPr>
      <w:spacing w:after="0" w:line="240" w:lineRule="auto"/>
      <w:ind w:firstLine="720"/>
    </w:pPr>
    <w:rPr>
      <w:rFonts w:eastAsiaTheme="minorEastAsia"/>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39"/>
    <w:rsid w:val="00EC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ademicguides.waldenu.edu/library/healthevidence/evidencepyrami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7C833F65FD4198A837BFF8C2E1518A"/>
        <w:category>
          <w:name w:val="General"/>
          <w:gallery w:val="placeholder"/>
        </w:category>
        <w:types>
          <w:type w:val="bbPlcHdr"/>
        </w:types>
        <w:behaviors>
          <w:behavior w:val="content"/>
        </w:behaviors>
        <w:guid w:val="{D80D36E0-1A06-4B03-A9A5-43D6775AA42D}"/>
      </w:docPartPr>
      <w:docPartBody>
        <w:p w:rsidR="00000000" w:rsidRDefault="00A62247" w:rsidP="00A62247">
          <w:pPr>
            <w:pStyle w:val="367C833F65FD4198A837BFF8C2E1518A"/>
          </w:pPr>
          <w:r w:rsidRPr="00C038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LancetPr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247"/>
    <w:rsid w:val="00A62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2247"/>
    <w:rPr>
      <w:color w:val="404040" w:themeColor="text1" w:themeTint="BF"/>
    </w:rPr>
  </w:style>
  <w:style w:type="paragraph" w:customStyle="1" w:styleId="4976B0BA170F470887E89C352EC7D9A6">
    <w:name w:val="4976B0BA170F470887E89C352EC7D9A6"/>
    <w:rsid w:val="00A62247"/>
  </w:style>
  <w:style w:type="paragraph" w:customStyle="1" w:styleId="B7B4A04FF0134D9DA0152670620E56AA">
    <w:name w:val="B7B4A04FF0134D9DA0152670620E56AA"/>
    <w:rsid w:val="00A62247"/>
  </w:style>
  <w:style w:type="paragraph" w:customStyle="1" w:styleId="1CD82DAF84FE4FF7A1325871BFAF26DA">
    <w:name w:val="1CD82DAF84FE4FF7A1325871BFAF26DA"/>
    <w:rsid w:val="00A62247"/>
  </w:style>
  <w:style w:type="paragraph" w:customStyle="1" w:styleId="C99FBFE7CC01425F988FCEB0D8CC1D9C">
    <w:name w:val="C99FBFE7CC01425F988FCEB0D8CC1D9C"/>
    <w:rsid w:val="00A62247"/>
  </w:style>
  <w:style w:type="paragraph" w:customStyle="1" w:styleId="9AA1B07995B04B3BAA72C21C7DD6EC00">
    <w:name w:val="9AA1B07995B04B3BAA72C21C7DD6EC00"/>
    <w:rsid w:val="00A62247"/>
  </w:style>
  <w:style w:type="paragraph" w:customStyle="1" w:styleId="367C833F65FD4198A837BFF8C2E1518A">
    <w:name w:val="367C833F65FD4198A837BFF8C2E1518A"/>
    <w:rsid w:val="00A622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F2D9E5D3AE4D44B03C531DABF14E19" ma:contentTypeVersion="16" ma:contentTypeDescription="Create a new document." ma:contentTypeScope="" ma:versionID="7d2a91f6f934b825fe2fe8a3a3d68b6a">
  <xsd:schema xmlns:xsd="http://www.w3.org/2001/XMLSchema" xmlns:xs="http://www.w3.org/2001/XMLSchema" xmlns:p="http://schemas.microsoft.com/office/2006/metadata/properties" xmlns:ns2="a0235938-9fd8-4b6b-9a7d-16e872592599" xmlns:ns3="476308d0-34b5-4893-8312-a3e1025e0b96" targetNamespace="http://schemas.microsoft.com/office/2006/metadata/properties" ma:root="true" ma:fieldsID="8af2d9a0d7b4b8ce3f6b7c0993f87308" ns2:_="" ns3:_="">
    <xsd:import namespace="a0235938-9fd8-4b6b-9a7d-16e872592599"/>
    <xsd:import namespace="476308d0-34b5-4893-8312-a3e1025e0b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35938-9fd8-4b6b-9a7d-16e872592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0370ab-239c-4f69-b9f9-a829e5a5e9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6308d0-34b5-4893-8312-a3e1025e0b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aed265a-c159-4b84-b974-a153354d53d3}" ma:internalName="TaxCatchAll" ma:showField="CatchAllData" ma:web="476308d0-34b5-4893-8312-a3e1025e0b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76308d0-34b5-4893-8312-a3e1025e0b96" xsi:nil="true"/>
    <lcf76f155ced4ddcb4097134ff3c332f xmlns="a0235938-9fd8-4b6b-9a7d-16e87259259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669B6-5B74-4BED-B180-8DD8CA2397C5}">
  <ds:schemaRefs>
    <ds:schemaRef ds:uri="http://schemas.microsoft.com/sharepoint/v3/contenttype/forms"/>
  </ds:schemaRefs>
</ds:datastoreItem>
</file>

<file path=customXml/itemProps2.xml><?xml version="1.0" encoding="utf-8"?>
<ds:datastoreItem xmlns:ds="http://schemas.openxmlformats.org/officeDocument/2006/customXml" ds:itemID="{C670EAF8-E37D-4997-9943-DAB6BD085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35938-9fd8-4b6b-9a7d-16e872592599"/>
    <ds:schemaRef ds:uri="476308d0-34b5-4893-8312-a3e1025e0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02D07C-9A89-4AEE-AE4A-CE058AB7ED86}">
  <ds:schemaRefs>
    <ds:schemaRef ds:uri="http://schemas.microsoft.com/office/2006/metadata/properties"/>
    <ds:schemaRef ds:uri="http://schemas.microsoft.com/office/infopath/2007/PartnerControls"/>
    <ds:schemaRef ds:uri="476308d0-34b5-4893-8312-a3e1025e0b96"/>
    <ds:schemaRef ds:uri="a0235938-9fd8-4b6b-9a7d-16e872592599"/>
  </ds:schemaRefs>
</ds:datastoreItem>
</file>

<file path=customXml/itemProps4.xml><?xml version="1.0" encoding="utf-8"?>
<ds:datastoreItem xmlns:ds="http://schemas.openxmlformats.org/officeDocument/2006/customXml" ds:itemID="{0DE9A2F0-FB70-4350-8AAC-16BFBEAA1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114</Pages>
  <Words>42890</Words>
  <Characters>244477</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 Rebecca</dc:creator>
  <cp:keywords/>
  <dc:description/>
  <cp:lastModifiedBy>Webb, Rebecca</cp:lastModifiedBy>
  <cp:revision>44</cp:revision>
  <dcterms:created xsi:type="dcterms:W3CDTF">2022-05-12T15:19:00Z</dcterms:created>
  <dcterms:modified xsi:type="dcterms:W3CDTF">2022-07-15T11:51:00Z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2022-01-10T17:55:01Z</vt:lpwstr>
  </property>
  <property fmtid="{D5CDD505-2E9C-101B-9397-08002B2CF9AE}" pid="4" name="MSIP_Label_06c24981-b6df-48f8-949b-0896357b9b03_Method">
    <vt:lpwstr>Privileged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ec537fdf-5367-4928-b3d8-23f822289d11</vt:lpwstr>
  </property>
  <property fmtid="{D5CDD505-2E9C-101B-9397-08002B2CF9AE}" pid="8" name="MSIP_Label_06c24981-b6df-48f8-949b-0896357b9b03_ContentBits">
    <vt:lpwstr>0</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y fmtid="{D5CDD505-2E9C-101B-9397-08002B2CF9AE}" pid="29" name="ContentTypeId">
    <vt:lpwstr>0x0101005DF2D9E5D3AE4D44B03C531DABF14E19</vt:lpwstr>
  </property>
  <property fmtid="{D5CDD505-2E9C-101B-9397-08002B2CF9AE}" pid="30" name="MediaServiceImageTags">
    <vt:lpwstr/>
  </property>
  <property fmtid="{D5CDD505-2E9C-101B-9397-08002B2CF9AE}" pid="31" name="ZOTERO_PREF_1">
    <vt:lpwstr>&lt;data data-version="3" zotero-version="6.0.9"&gt;&lt;session id="zEp8D29B"/&gt;&lt;style id="http://www.zotero.org/styles/vancouver" locale="en-GB" hasBibliography="1" bibliographyStyleHasBeenSet="1"/&gt;&lt;prefs&gt;&lt;pref name="fieldType" value="Field"/&gt;&lt;pref name="automatic</vt:lpwstr>
  </property>
  <property fmtid="{D5CDD505-2E9C-101B-9397-08002B2CF9AE}" pid="32" name="ZOTERO_PREF_2">
    <vt:lpwstr>JournalAbbreviations" value="true"/&gt;&lt;/prefs&gt;&lt;/data&gt;</vt:lpwstr>
  </property>
</Properties>
</file>