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17D50" w14:textId="13A91ADD" w:rsidR="004039A1" w:rsidRPr="004039A1" w:rsidRDefault="00932B01" w:rsidP="004039A1">
      <w:pPr>
        <w:pStyle w:val="xmsonormal"/>
        <w:shd w:val="clear" w:color="auto" w:fill="FFFFFF"/>
        <w:spacing w:before="0" w:beforeAutospacing="0" w:after="0" w:afterAutospacing="0" w:line="480" w:lineRule="auto"/>
        <w:rPr>
          <w:color w:val="201F1E"/>
          <w:lang w:val="en-US"/>
        </w:rPr>
      </w:pPr>
      <w:bookmarkStart w:id="0" w:name="_GoBack"/>
      <w:bookmarkEnd w:id="0"/>
      <w:r>
        <w:rPr>
          <w:b/>
          <w:bCs/>
          <w:color w:val="201F1E"/>
          <w:bdr w:val="none" w:sz="0" w:space="0" w:color="auto" w:frame="1"/>
          <w:lang w:val="en-US"/>
        </w:rPr>
        <w:softHyphen/>
      </w:r>
      <w:r>
        <w:rPr>
          <w:b/>
          <w:bCs/>
          <w:color w:val="201F1E"/>
          <w:bdr w:val="none" w:sz="0" w:space="0" w:color="auto" w:frame="1"/>
          <w:lang w:val="en-US"/>
        </w:rPr>
        <w:softHyphen/>
      </w:r>
      <w:r>
        <w:rPr>
          <w:b/>
          <w:bCs/>
          <w:color w:val="201F1E"/>
          <w:bdr w:val="none" w:sz="0" w:space="0" w:color="auto" w:frame="1"/>
          <w:lang w:val="en-US"/>
        </w:rPr>
        <w:softHyphen/>
      </w:r>
      <w:r w:rsidR="004039A1" w:rsidRPr="004039A1">
        <w:rPr>
          <w:b/>
          <w:bCs/>
          <w:color w:val="201F1E"/>
          <w:bdr w:val="none" w:sz="0" w:space="0" w:color="auto" w:frame="1"/>
          <w:lang w:val="en-US"/>
        </w:rPr>
        <w:t>Appendix B</w:t>
      </w:r>
    </w:p>
    <w:p w14:paraId="07012FDF" w14:textId="0247E402" w:rsidR="004039A1" w:rsidRPr="008A536C" w:rsidRDefault="004039A1" w:rsidP="004039A1">
      <w:pPr>
        <w:pStyle w:val="xmsonormal"/>
        <w:shd w:val="clear" w:color="auto" w:fill="FFFFFF"/>
        <w:spacing w:before="0" w:beforeAutospacing="0" w:after="0" w:afterAutospacing="0" w:line="480" w:lineRule="auto"/>
        <w:rPr>
          <w:color w:val="000000"/>
          <w:bdr w:val="none" w:sz="0" w:space="0" w:color="auto" w:frame="1"/>
          <w:lang w:val="en-US"/>
        </w:rPr>
      </w:pPr>
      <w:r w:rsidRPr="004039A1">
        <w:rPr>
          <w:color w:val="000000"/>
          <w:bdr w:val="none" w:sz="0" w:space="0" w:color="auto" w:frame="1"/>
          <w:lang w:val="en-US"/>
        </w:rPr>
        <w:t xml:space="preserve">Three categories of problematic substance use are used in this study. Differentiation is based on the manual of the </w:t>
      </w:r>
      <w:r w:rsidR="008A536C" w:rsidRPr="00065CC0">
        <w:rPr>
          <w:color w:val="000000" w:themeColor="text1"/>
          <w:lang w:val="en-US"/>
        </w:rPr>
        <w:t>Historis</w:t>
      </w:r>
      <w:r w:rsidR="008A536C">
        <w:rPr>
          <w:color w:val="000000" w:themeColor="text1"/>
          <w:lang w:val="en-US"/>
        </w:rPr>
        <w:t xml:space="preserve">ch, Klinisch, Toekomst –Revisie </w:t>
      </w:r>
      <w:r w:rsidR="008A536C" w:rsidRPr="00065CC0">
        <w:rPr>
          <w:color w:val="000000" w:themeColor="text1"/>
          <w:lang w:val="en-US"/>
        </w:rPr>
        <w:t>(Historical, Cli</w:t>
      </w:r>
      <w:r w:rsidR="008A536C">
        <w:rPr>
          <w:color w:val="000000" w:themeColor="text1"/>
          <w:lang w:val="en-US"/>
        </w:rPr>
        <w:t>nical, Future – Revised; HKT‐ R),</w:t>
      </w:r>
      <w:r w:rsidR="008A536C" w:rsidRPr="00065CC0">
        <w:rPr>
          <w:color w:val="000000" w:themeColor="text1"/>
          <w:lang w:val="en-US"/>
        </w:rPr>
        <w:fldChar w:fldCharType="begin" w:fldLock="1"/>
      </w:r>
      <w:r w:rsidR="008A536C" w:rsidRPr="00065CC0">
        <w:rPr>
          <w:color w:val="000000" w:themeColor="text1"/>
          <w:lang w:val="en-US"/>
        </w:rPr>
        <w:instrText>ADDIN CSL_CITATION {"citationItems":[{"id":"ITEM-1","itemData":{"author":[{"dropping-particle":"","family":"Spreen","given":"M","non-dropping-particle":"","parse-names":false,"suffix":""},{"dropping-particle":"","family":"Brand","given":"E","non-dropping-particle":"","parse-names":false,"suffix":""},{"dropping-particle":"Ter","family":"Horst","given":"P","non-dropping-particle":"","parse-names":false,"suffix":""},{"dropping-particle":"","family":"Willems","given":"M","non-dropping-particle":"","parse-names":false,"suffix":""},{"dropping-particle":"","family":"Toekomst–Revisie","given":"S Bogaerts - Klinische","non-dropping-particle":"","parse-names":false,"suffix":""},{"dropping-particle":"","family":"2014","given":"undefined","non-dropping-particle":"","parse-names":false,"suffix":""}],"id":"ITEM-1","issued":{"date-parts":[["0"]]},"title":"Handleiding HKT-R","type":"article-journal"},"uris":["http://www.mendeley.com/documents/?uuid=b38e52f6-fab6-38f8-b77a-154bcb6093a8"]}],"mendeley":{"formattedCitation":"(32)","manualFormatting":" 26)","plainTextFormattedCitation":"(32)","previouslyFormattedCitation":"(32)"},"properties":{"noteIndex":0},"schema":"https://github.com/citation-style-language/schema/raw/master/csl-citation.json"}</w:instrText>
      </w:r>
      <w:r w:rsidR="008A536C" w:rsidRPr="00065CC0">
        <w:rPr>
          <w:color w:val="000000" w:themeColor="text1"/>
          <w:lang w:val="en-US"/>
        </w:rPr>
        <w:fldChar w:fldCharType="separate"/>
      </w:r>
      <w:r w:rsidR="008A536C">
        <w:rPr>
          <w:noProof/>
          <w:color w:val="000000" w:themeColor="text1"/>
          <w:lang w:val="en-US"/>
        </w:rPr>
        <w:t>(1</w:t>
      </w:r>
      <w:r w:rsidR="008A536C" w:rsidRPr="00065CC0">
        <w:rPr>
          <w:noProof/>
          <w:color w:val="000000" w:themeColor="text1"/>
          <w:lang w:val="en-US"/>
        </w:rPr>
        <w:t>)</w:t>
      </w:r>
      <w:r w:rsidR="008A536C" w:rsidRPr="00065CC0">
        <w:rPr>
          <w:color w:val="000000" w:themeColor="text1"/>
          <w:lang w:val="en-US"/>
        </w:rPr>
        <w:fldChar w:fldCharType="end"/>
      </w:r>
      <w:r w:rsidR="008A536C">
        <w:rPr>
          <w:color w:val="000000" w:themeColor="text1"/>
          <w:lang w:val="en-US"/>
        </w:rPr>
        <w:t xml:space="preserve"> </w:t>
      </w:r>
      <w:r w:rsidRPr="004039A1">
        <w:rPr>
          <w:color w:val="000000"/>
          <w:bdr w:val="none" w:sz="0" w:space="0" w:color="auto" w:frame="1"/>
          <w:lang w:val="en-US"/>
        </w:rPr>
        <w:t xml:space="preserve">and identification of hard </w:t>
      </w:r>
      <w:r w:rsidR="00A42DC8">
        <w:rPr>
          <w:color w:val="000000"/>
          <w:bdr w:val="none" w:sz="0" w:space="0" w:color="auto" w:frame="1"/>
          <w:lang w:val="en-US"/>
        </w:rPr>
        <w:t xml:space="preserve">drugs </w:t>
      </w:r>
      <w:r w:rsidRPr="004039A1">
        <w:rPr>
          <w:color w:val="000000"/>
          <w:bdr w:val="none" w:sz="0" w:space="0" w:color="auto" w:frame="1"/>
          <w:lang w:val="en-US"/>
        </w:rPr>
        <w:t>under the Dutch law.</w:t>
      </w:r>
      <w:r w:rsidRPr="004039A1">
        <w:rPr>
          <w:color w:val="000000"/>
          <w:bdr w:val="none" w:sz="0" w:space="0" w:color="auto" w:frame="1"/>
          <w:lang w:val="en-US"/>
        </w:rPr>
        <w:fldChar w:fldCharType="begin" w:fldLock="1"/>
      </w:r>
      <w:r w:rsidRPr="004039A1">
        <w:rPr>
          <w:color w:val="000000"/>
          <w:bdr w:val="none" w:sz="0" w:space="0" w:color="auto" w:frame="1"/>
          <w:lang w:val="en-US"/>
        </w:rPr>
        <w:instrText>ADDIN CSL_CITATION {"citationItems":[{"id":"ITEM-1","itemData":{"URL":"https://wetten.overheid.nl/BWBR0001941/2020-01-01#BijlageII","accessed":{"date-parts":[["2021","2","28"]]},"id":"ITEM-1","issued":{"date-parts":[["0"]]},"title":"wetten.nl - Regeling - Opiumwet - BWBR0001941","type":"webpage"},"uris":["http://www.mendeley.com/documents/?uuid=2252a0cb-3aff-37bd-9f35-85831db46e5c"]},{"id":"ITEM-2","itemData":{"URL":"https://wetten.overheid.nl/BWBR0001941/2020-01-01#BijlageI","accessed":{"date-parts":[["2021","2","28"]]},"id":"ITEM-2","issued":{"date-parts":[["0"]]},"title":"wetten.nl - Regeling - Opiumwet - BWBR0001941","type":"webpage"},"uris":["http://www.mendeley.com/documents/?uuid=02ae6339-fa8f-3bb7-9ddd-7ebc4250a43c"]}],"mendeley":{"formattedCitation":"(2,3)","plainTextFormattedCitation":"(2,3)","previouslyFormattedCitation":"(2,3)"},"properties":{"noteIndex":0},"schema":"https://github.com/citation-style-language/schema/raw/master/csl-citation.json"}</w:instrText>
      </w:r>
      <w:r w:rsidRPr="004039A1">
        <w:rPr>
          <w:color w:val="000000"/>
          <w:bdr w:val="none" w:sz="0" w:space="0" w:color="auto" w:frame="1"/>
          <w:lang w:val="en-US"/>
        </w:rPr>
        <w:fldChar w:fldCharType="separate"/>
      </w:r>
      <w:r w:rsidRPr="004039A1">
        <w:rPr>
          <w:noProof/>
          <w:color w:val="000000"/>
          <w:bdr w:val="none" w:sz="0" w:space="0" w:color="auto" w:frame="1"/>
          <w:lang w:val="en-US"/>
        </w:rPr>
        <w:t>(2,3)</w:t>
      </w:r>
      <w:r w:rsidRPr="004039A1">
        <w:rPr>
          <w:color w:val="000000"/>
          <w:bdr w:val="none" w:sz="0" w:space="0" w:color="auto" w:frame="1"/>
          <w:lang w:val="en-US"/>
        </w:rPr>
        <w:fldChar w:fldCharType="end"/>
      </w:r>
      <w:r w:rsidRPr="004039A1">
        <w:rPr>
          <w:color w:val="201F1E"/>
          <w:lang w:val="en-US"/>
        </w:rPr>
        <w:t xml:space="preserve"> </w:t>
      </w:r>
    </w:p>
    <w:p w14:paraId="31021C38" w14:textId="77777777" w:rsidR="005B3254" w:rsidRDefault="005B3254" w:rsidP="004039A1">
      <w:pPr>
        <w:pStyle w:val="xmsonormal"/>
        <w:shd w:val="clear" w:color="auto" w:fill="FFFFFF"/>
        <w:spacing w:before="0" w:beforeAutospacing="0" w:after="0" w:afterAutospacing="0" w:line="480" w:lineRule="auto"/>
        <w:rPr>
          <w:b/>
          <w:bCs/>
          <w:color w:val="201F1E"/>
          <w:bdr w:val="none" w:sz="0" w:space="0" w:color="auto" w:frame="1"/>
          <w:lang w:val="en-US"/>
        </w:rPr>
      </w:pPr>
    </w:p>
    <w:p w14:paraId="53962E44" w14:textId="40BC9A6E" w:rsidR="004039A1" w:rsidRPr="005B3254" w:rsidRDefault="005B3254" w:rsidP="004039A1">
      <w:pPr>
        <w:pStyle w:val="xmsonormal"/>
        <w:shd w:val="clear" w:color="auto" w:fill="FFFFFF"/>
        <w:spacing w:before="0" w:beforeAutospacing="0" w:after="0" w:afterAutospacing="0" w:line="480" w:lineRule="auto"/>
        <w:rPr>
          <w:i/>
          <w:color w:val="201F1E"/>
          <w:lang w:val="en-US"/>
        </w:rPr>
      </w:pPr>
      <w:r>
        <w:rPr>
          <w:b/>
          <w:bCs/>
          <w:color w:val="201F1E"/>
          <w:bdr w:val="none" w:sz="0" w:space="0" w:color="auto" w:frame="1"/>
          <w:lang w:val="en-US"/>
        </w:rPr>
        <w:t>Common substances of abuse</w:t>
      </w:r>
      <w:r w:rsidR="005734A0">
        <w:rPr>
          <w:b/>
          <w:bCs/>
          <w:color w:val="201F1E"/>
          <w:bdr w:val="none" w:sz="0" w:space="0" w:color="auto" w:frame="1"/>
          <w:lang w:val="en-US"/>
        </w:rPr>
        <w:t xml:space="preserve"> encountered in clinical practice</w:t>
      </w:r>
      <w:r>
        <w:rPr>
          <w:b/>
          <w:bCs/>
          <w:color w:val="201F1E"/>
          <w:bdr w:val="none" w:sz="0" w:space="0" w:color="auto" w:frame="1"/>
          <w:lang w:val="en-US"/>
        </w:rPr>
        <w:t xml:space="preserve">, classified as </w:t>
      </w:r>
      <w:r w:rsidRPr="005B3254">
        <w:rPr>
          <w:b/>
          <w:bCs/>
          <w:i/>
          <w:color w:val="201F1E"/>
          <w:bdr w:val="none" w:sz="0" w:space="0" w:color="auto" w:frame="1"/>
          <w:lang w:val="en-US"/>
        </w:rPr>
        <w:t>h</w:t>
      </w:r>
      <w:r w:rsidR="004039A1" w:rsidRPr="005B3254">
        <w:rPr>
          <w:b/>
          <w:bCs/>
          <w:i/>
          <w:color w:val="201F1E"/>
          <w:bdr w:val="none" w:sz="0" w:space="0" w:color="auto" w:frame="1"/>
          <w:lang w:val="en-US"/>
        </w:rPr>
        <w:t>ard drugs</w:t>
      </w:r>
    </w:p>
    <w:p w14:paraId="4379BFA5" w14:textId="1901564A" w:rsidR="004039A1" w:rsidRPr="004039A1" w:rsidRDefault="00932B01" w:rsidP="00A42DC8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 w:line="480" w:lineRule="auto"/>
        <w:rPr>
          <w:color w:val="201F1E"/>
          <w:lang w:val="en-US"/>
        </w:rPr>
      </w:pPr>
      <w:r>
        <w:rPr>
          <w:color w:val="201F1E"/>
          <w:bdr w:val="none" w:sz="0" w:space="0" w:color="auto" w:frame="1"/>
          <w:lang w:val="en-US"/>
        </w:rPr>
        <w:t>Opiates and derivatives</w:t>
      </w:r>
      <w:r w:rsidR="00A86772">
        <w:rPr>
          <w:color w:val="201F1E"/>
          <w:bdr w:val="none" w:sz="0" w:space="0" w:color="auto" w:frame="1"/>
          <w:lang w:val="en-US"/>
        </w:rPr>
        <w:t xml:space="preserve"> (heroin, </w:t>
      </w:r>
      <w:r w:rsidR="005B3254">
        <w:rPr>
          <w:color w:val="201F1E"/>
          <w:bdr w:val="none" w:sz="0" w:space="0" w:color="auto" w:frame="1"/>
          <w:lang w:val="en-US"/>
        </w:rPr>
        <w:t>fentanyl, morphine</w:t>
      </w:r>
      <w:r>
        <w:rPr>
          <w:color w:val="201F1E"/>
          <w:bdr w:val="none" w:sz="0" w:space="0" w:color="auto" w:frame="1"/>
          <w:lang w:val="en-US"/>
        </w:rPr>
        <w:t xml:space="preserve"> and oxycodone</w:t>
      </w:r>
      <w:r w:rsidR="00A86772">
        <w:rPr>
          <w:color w:val="201F1E"/>
          <w:bdr w:val="none" w:sz="0" w:space="0" w:color="auto" w:frame="1"/>
          <w:lang w:val="en-US"/>
        </w:rPr>
        <w:t>)</w:t>
      </w:r>
      <w:r w:rsidR="000071E7">
        <w:rPr>
          <w:color w:val="201F1E"/>
          <w:bdr w:val="none" w:sz="0" w:space="0" w:color="auto" w:frame="1"/>
          <w:lang w:val="en-US"/>
        </w:rPr>
        <w:t xml:space="preserve"> </w:t>
      </w:r>
    </w:p>
    <w:p w14:paraId="30B9E7B9" w14:textId="0B66120A" w:rsidR="004039A1" w:rsidRPr="004039A1" w:rsidRDefault="00A86772" w:rsidP="00A42DC8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 w:line="480" w:lineRule="auto"/>
        <w:rPr>
          <w:color w:val="201F1E"/>
          <w:lang w:val="en-US"/>
        </w:rPr>
      </w:pPr>
      <w:r>
        <w:rPr>
          <w:color w:val="201F1E"/>
          <w:bdr w:val="none" w:sz="0" w:space="0" w:color="auto" w:frame="1"/>
          <w:lang w:val="en-US"/>
        </w:rPr>
        <w:t>Psychostimulants</w:t>
      </w:r>
      <w:r w:rsidR="000071E7">
        <w:rPr>
          <w:color w:val="201F1E"/>
          <w:bdr w:val="none" w:sz="0" w:space="0" w:color="auto" w:frame="1"/>
          <w:lang w:val="en-US"/>
        </w:rPr>
        <w:t xml:space="preserve"> </w:t>
      </w:r>
      <w:r>
        <w:rPr>
          <w:color w:val="201F1E"/>
          <w:bdr w:val="none" w:sz="0" w:space="0" w:color="auto" w:frame="1"/>
          <w:lang w:val="en-US"/>
        </w:rPr>
        <w:t xml:space="preserve">(cocaine, amphetamine and derivatives, </w:t>
      </w:r>
      <w:r w:rsidR="005B3254">
        <w:rPr>
          <w:color w:val="201F1E"/>
          <w:bdr w:val="none" w:sz="0" w:space="0" w:color="auto" w:frame="1"/>
          <w:lang w:val="en-US"/>
        </w:rPr>
        <w:t>cathinone and derivatives</w:t>
      </w:r>
      <w:r>
        <w:rPr>
          <w:color w:val="201F1E"/>
          <w:bdr w:val="none" w:sz="0" w:space="0" w:color="auto" w:frame="1"/>
          <w:lang w:val="en-US"/>
        </w:rPr>
        <w:t>)</w:t>
      </w:r>
    </w:p>
    <w:p w14:paraId="64E62C35" w14:textId="1E0C6933" w:rsidR="005B3254" w:rsidRDefault="00A86772" w:rsidP="00A42DC8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 w:line="480" w:lineRule="auto"/>
        <w:rPr>
          <w:color w:val="201F1E"/>
          <w:bdr w:val="none" w:sz="0" w:space="0" w:color="auto" w:frame="1"/>
          <w:lang w:val="en-US"/>
        </w:rPr>
      </w:pPr>
      <w:r w:rsidRPr="005B3254">
        <w:rPr>
          <w:color w:val="201F1E"/>
          <w:bdr w:val="none" w:sz="0" w:space="0" w:color="auto" w:frame="1"/>
          <w:lang w:val="en-US"/>
        </w:rPr>
        <w:t xml:space="preserve">Hallucinogens </w:t>
      </w:r>
      <w:r w:rsidR="005B3254">
        <w:rPr>
          <w:color w:val="201F1E"/>
          <w:bdr w:val="none" w:sz="0" w:space="0" w:color="auto" w:frame="1"/>
          <w:lang w:val="en-US"/>
        </w:rPr>
        <w:t xml:space="preserve">and </w:t>
      </w:r>
      <w:r w:rsidR="00DB1774">
        <w:rPr>
          <w:color w:val="201F1E"/>
          <w:bdr w:val="none" w:sz="0" w:space="0" w:color="auto" w:frame="1"/>
          <w:lang w:val="en-US"/>
        </w:rPr>
        <w:t>dissociatives</w:t>
      </w:r>
      <w:r w:rsidR="005B3254">
        <w:rPr>
          <w:color w:val="201F1E"/>
          <w:bdr w:val="none" w:sz="0" w:space="0" w:color="auto" w:frame="1"/>
          <w:lang w:val="en-US"/>
        </w:rPr>
        <w:t xml:space="preserve"> </w:t>
      </w:r>
      <w:r w:rsidRPr="005B3254">
        <w:rPr>
          <w:color w:val="201F1E"/>
          <w:bdr w:val="none" w:sz="0" w:space="0" w:color="auto" w:frame="1"/>
          <w:lang w:val="en-US"/>
        </w:rPr>
        <w:t>(</w:t>
      </w:r>
      <w:r w:rsidR="005B3254">
        <w:rPr>
          <w:color w:val="201F1E"/>
          <w:bdr w:val="none" w:sz="0" w:space="0" w:color="auto" w:frame="1"/>
          <w:lang w:val="en-US"/>
        </w:rPr>
        <w:t xml:space="preserve">ketamine, </w:t>
      </w:r>
      <w:r w:rsidR="00DB1774" w:rsidRPr="005B3254">
        <w:rPr>
          <w:color w:val="201F1E"/>
          <w:bdr w:val="none" w:sz="0" w:space="0" w:color="auto" w:frame="1"/>
          <w:lang w:val="en-US"/>
        </w:rPr>
        <w:t>psilocybin</w:t>
      </w:r>
      <w:r w:rsidR="00932B01">
        <w:rPr>
          <w:color w:val="201F1E"/>
          <w:bdr w:val="none" w:sz="0" w:space="0" w:color="auto" w:frame="1"/>
          <w:lang w:val="en-US"/>
        </w:rPr>
        <w:t xml:space="preserve"> and </w:t>
      </w:r>
      <w:r w:rsidRPr="005B3254">
        <w:rPr>
          <w:color w:val="201F1E"/>
          <w:bdr w:val="none" w:sz="0" w:space="0" w:color="auto" w:frame="1"/>
          <w:lang w:val="en-US"/>
        </w:rPr>
        <w:t xml:space="preserve">lysergic acid </w:t>
      </w:r>
      <w:r w:rsidR="005B3254">
        <w:rPr>
          <w:color w:val="201F1E"/>
          <w:bdr w:val="none" w:sz="0" w:space="0" w:color="auto" w:frame="1"/>
          <w:lang w:val="en-US"/>
        </w:rPr>
        <w:t>diethylamine</w:t>
      </w:r>
      <w:r w:rsidRPr="005B3254">
        <w:rPr>
          <w:color w:val="201F1E"/>
          <w:bdr w:val="none" w:sz="0" w:space="0" w:color="auto" w:frame="1"/>
          <w:lang w:val="en-US"/>
        </w:rPr>
        <w:t>)</w:t>
      </w:r>
    </w:p>
    <w:p w14:paraId="12803524" w14:textId="2C33A7E9" w:rsidR="00A86772" w:rsidRPr="005B3254" w:rsidRDefault="00A86772" w:rsidP="00A42DC8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 w:line="480" w:lineRule="auto"/>
        <w:rPr>
          <w:color w:val="201F1E"/>
          <w:bdr w:val="none" w:sz="0" w:space="0" w:color="auto" w:frame="1"/>
          <w:lang w:val="en-US"/>
        </w:rPr>
      </w:pPr>
      <w:r w:rsidRPr="00A86772">
        <w:rPr>
          <w:color w:val="201F1E"/>
          <w:bdr w:val="none" w:sz="0" w:space="0" w:color="auto" w:frame="1"/>
          <w:lang w:val="en-US"/>
        </w:rPr>
        <w:t>Sedatives</w:t>
      </w:r>
      <w:r w:rsidR="005B3254">
        <w:rPr>
          <w:color w:val="201F1E"/>
          <w:bdr w:val="none" w:sz="0" w:space="0" w:color="auto" w:frame="1"/>
          <w:lang w:val="en-US"/>
        </w:rPr>
        <w:t xml:space="preserve"> (</w:t>
      </w:r>
      <w:r w:rsidR="00932B01">
        <w:rPr>
          <w:color w:val="201F1E"/>
          <w:bdr w:val="none" w:sz="0" w:space="0" w:color="auto" w:frame="1"/>
          <w:lang w:val="en-US"/>
        </w:rPr>
        <w:t>benzodiazepines and</w:t>
      </w:r>
      <w:r w:rsidRPr="00A86772">
        <w:rPr>
          <w:color w:val="201F1E"/>
          <w:bdr w:val="none" w:sz="0" w:space="0" w:color="auto" w:frame="1"/>
          <w:lang w:val="en-US"/>
        </w:rPr>
        <w:t xml:space="preserve"> </w:t>
      </w:r>
      <w:r w:rsidR="005B3254">
        <w:rPr>
          <w:color w:val="201F1E"/>
          <w:bdr w:val="none" w:sz="0" w:space="0" w:color="auto" w:frame="1"/>
          <w:lang w:val="en-US"/>
        </w:rPr>
        <w:t>gamma hydroxy buty</w:t>
      </w:r>
      <w:r>
        <w:rPr>
          <w:color w:val="201F1E"/>
          <w:bdr w:val="none" w:sz="0" w:space="0" w:color="auto" w:frame="1"/>
          <w:lang w:val="en-US"/>
        </w:rPr>
        <w:t>rate</w:t>
      </w:r>
      <w:r w:rsidR="005B3254">
        <w:rPr>
          <w:color w:val="201F1E"/>
          <w:bdr w:val="none" w:sz="0" w:space="0" w:color="auto" w:frame="1"/>
          <w:lang w:val="en-US"/>
        </w:rPr>
        <w:t>)</w:t>
      </w:r>
    </w:p>
    <w:p w14:paraId="3665C3F8" w14:textId="06857EE8" w:rsidR="004039A1" w:rsidRPr="008A536C" w:rsidRDefault="004039A1" w:rsidP="004039A1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4A6238D0" w14:textId="5F27B7AB" w:rsidR="004039A1" w:rsidRPr="008A536C" w:rsidRDefault="004039A1" w:rsidP="004039A1">
      <w:pP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8A536C">
        <w:rPr>
          <w:rFonts w:ascii="Times New Roman" w:hAnsi="Times New Roman" w:cs="Times New Roman"/>
          <w:b/>
          <w:bCs/>
          <w:lang w:val="en-US"/>
        </w:rPr>
        <w:t>References</w:t>
      </w:r>
    </w:p>
    <w:p w14:paraId="50ED713F" w14:textId="317AE20F" w:rsidR="004039A1" w:rsidRPr="000071E7" w:rsidRDefault="004039A1" w:rsidP="004039A1">
      <w:pPr>
        <w:widowControl w:val="0"/>
        <w:autoSpaceDE w:val="0"/>
        <w:autoSpaceDN w:val="0"/>
        <w:adjustRightInd w:val="0"/>
        <w:spacing w:line="480" w:lineRule="auto"/>
        <w:ind w:left="640" w:hanging="640"/>
        <w:rPr>
          <w:rFonts w:ascii="Times New Roman" w:eastAsia="Times New Roman" w:hAnsi="Times New Roman" w:cs="Times New Roman"/>
          <w:lang w:eastAsia="nl-NL"/>
        </w:rPr>
      </w:pPr>
      <w:r w:rsidRPr="004039A1">
        <w:rPr>
          <w:rFonts w:ascii="Times New Roman" w:hAnsi="Times New Roman" w:cs="Times New Roman"/>
          <w:b/>
          <w:bCs/>
        </w:rPr>
        <w:fldChar w:fldCharType="begin" w:fldLock="1"/>
      </w:r>
      <w:r w:rsidRPr="008A536C">
        <w:rPr>
          <w:rFonts w:ascii="Times New Roman" w:hAnsi="Times New Roman" w:cs="Times New Roman"/>
          <w:b/>
          <w:bCs/>
          <w:lang w:val="en-US"/>
        </w:rPr>
        <w:instrText xml:space="preserve">ADDIN Mendeley Bibliography CSL_BIBLIOGRAPHY </w:instrText>
      </w:r>
      <w:r w:rsidRPr="004039A1">
        <w:rPr>
          <w:rFonts w:ascii="Times New Roman" w:hAnsi="Times New Roman" w:cs="Times New Roman"/>
          <w:b/>
          <w:bCs/>
        </w:rPr>
        <w:fldChar w:fldCharType="separate"/>
      </w:r>
      <w:r w:rsidRPr="008A536C">
        <w:rPr>
          <w:rFonts w:ascii="Times New Roman" w:hAnsi="Times New Roman" w:cs="Times New Roman"/>
          <w:noProof/>
          <w:lang w:val="en-US"/>
        </w:rPr>
        <w:t xml:space="preserve">1. </w:t>
      </w:r>
      <w:r w:rsidRPr="008A536C">
        <w:rPr>
          <w:rFonts w:ascii="Times New Roman" w:hAnsi="Times New Roman" w:cs="Times New Roman"/>
          <w:noProof/>
          <w:lang w:val="en-US"/>
        </w:rPr>
        <w:tab/>
        <w:t xml:space="preserve">Spreen M, </w:t>
      </w:r>
      <w:r w:rsidR="008A536C">
        <w:rPr>
          <w:rFonts w:ascii="Times New Roman" w:hAnsi="Times New Roman" w:cs="Times New Roman"/>
          <w:noProof/>
          <w:lang w:val="en-US"/>
        </w:rPr>
        <w:t>Brand E, Horst P Ter,</w:t>
      </w:r>
      <w:r w:rsidRPr="008A536C">
        <w:rPr>
          <w:rFonts w:ascii="Times New Roman" w:hAnsi="Times New Roman" w:cs="Times New Roman"/>
          <w:noProof/>
          <w:lang w:val="en-US"/>
        </w:rPr>
        <w:t xml:space="preserve"> Bogaerts S. </w:t>
      </w:r>
      <w:r w:rsidRPr="008A536C">
        <w:rPr>
          <w:rFonts w:ascii="Times New Roman" w:eastAsia="Times New Roman" w:hAnsi="Times New Roman" w:cs="Times New Roman"/>
          <w:lang w:val="en-US" w:eastAsia="nl-NL"/>
        </w:rPr>
        <w:t xml:space="preserve">Handleiding en Methodologische Verantwoording HKT-R, Historisch, Klinische en Toekomstige – Revisie [Guidlines and Methodological Research of the HKT-R, Historical, Clinical and Future – Revision]. </w:t>
      </w:r>
      <w:r w:rsidRPr="000071E7">
        <w:rPr>
          <w:rFonts w:ascii="Times New Roman" w:eastAsia="Times New Roman" w:hAnsi="Times New Roman" w:cs="Times New Roman"/>
          <w:lang w:eastAsia="nl-NL"/>
        </w:rPr>
        <w:t>Groningen, The Netherlands: Dr. van Mesdag kliniek</w:t>
      </w:r>
      <w:r w:rsidR="008A536C" w:rsidRPr="000071E7">
        <w:rPr>
          <w:rFonts w:ascii="Times New Roman" w:eastAsia="Times New Roman" w:hAnsi="Times New Roman" w:cs="Times New Roman"/>
          <w:lang w:eastAsia="nl-NL"/>
        </w:rPr>
        <w:t>; 2014</w:t>
      </w:r>
    </w:p>
    <w:p w14:paraId="2EFEDF9B" w14:textId="118C63D3" w:rsidR="004039A1" w:rsidRPr="008A536C" w:rsidRDefault="004039A1" w:rsidP="008A536C">
      <w:pPr>
        <w:widowControl w:val="0"/>
        <w:autoSpaceDE w:val="0"/>
        <w:autoSpaceDN w:val="0"/>
        <w:adjustRightInd w:val="0"/>
        <w:spacing w:line="480" w:lineRule="auto"/>
        <w:ind w:left="640" w:hanging="640"/>
        <w:rPr>
          <w:rFonts w:ascii="Times New Roman" w:hAnsi="Times New Roman" w:cs="Times New Roman"/>
          <w:noProof/>
          <w:lang w:val="en-US"/>
        </w:rPr>
      </w:pPr>
      <w:r w:rsidRPr="004039A1">
        <w:rPr>
          <w:rFonts w:ascii="Times New Roman" w:hAnsi="Times New Roman" w:cs="Times New Roman"/>
          <w:noProof/>
        </w:rPr>
        <w:t xml:space="preserve">2. </w:t>
      </w:r>
      <w:r w:rsidRPr="004039A1">
        <w:rPr>
          <w:rFonts w:ascii="Times New Roman" w:hAnsi="Times New Roman" w:cs="Times New Roman"/>
          <w:noProof/>
        </w:rPr>
        <w:tab/>
        <w:t xml:space="preserve">wetten.nl - Regeling - Opiumwet - BWBR0001941 [Internet]. </w:t>
      </w:r>
      <w:r w:rsidRPr="008A536C">
        <w:rPr>
          <w:rFonts w:ascii="Times New Roman" w:hAnsi="Times New Roman" w:cs="Times New Roman"/>
          <w:noProof/>
          <w:lang w:val="en-US"/>
        </w:rPr>
        <w:t>Available from: https://wetten.overheid.nl/BWBR0001941/2020-01-01#BijlageI</w:t>
      </w:r>
      <w:r w:rsidR="008A536C">
        <w:rPr>
          <w:rFonts w:ascii="Times New Roman" w:hAnsi="Times New Roman" w:cs="Times New Roman"/>
          <w:noProof/>
          <w:lang w:val="en-US"/>
        </w:rPr>
        <w:t>. [C</w:t>
      </w:r>
      <w:r w:rsidR="008A536C" w:rsidRPr="008A536C">
        <w:rPr>
          <w:rFonts w:ascii="Times New Roman" w:hAnsi="Times New Roman" w:cs="Times New Roman"/>
          <w:noProof/>
          <w:lang w:val="en-US"/>
        </w:rPr>
        <w:t>ited 2021 Feb 28].</w:t>
      </w:r>
    </w:p>
    <w:p w14:paraId="02D509D0" w14:textId="27BBE48D" w:rsidR="004039A1" w:rsidRPr="008A536C" w:rsidRDefault="004039A1" w:rsidP="004039A1">
      <w:pPr>
        <w:widowControl w:val="0"/>
        <w:autoSpaceDE w:val="0"/>
        <w:autoSpaceDN w:val="0"/>
        <w:adjustRightInd w:val="0"/>
        <w:spacing w:line="480" w:lineRule="auto"/>
        <w:ind w:left="640" w:hanging="640"/>
        <w:rPr>
          <w:rFonts w:ascii="Times New Roman" w:hAnsi="Times New Roman" w:cs="Times New Roman"/>
          <w:noProof/>
          <w:lang w:val="en-US"/>
        </w:rPr>
      </w:pPr>
      <w:r w:rsidRPr="000071E7">
        <w:rPr>
          <w:rFonts w:ascii="Times New Roman" w:hAnsi="Times New Roman" w:cs="Times New Roman"/>
          <w:noProof/>
          <w:lang w:val="en-US"/>
        </w:rPr>
        <w:t xml:space="preserve">3. </w:t>
      </w:r>
      <w:r w:rsidRPr="000071E7">
        <w:rPr>
          <w:rFonts w:ascii="Times New Roman" w:hAnsi="Times New Roman" w:cs="Times New Roman"/>
          <w:noProof/>
          <w:lang w:val="en-US"/>
        </w:rPr>
        <w:tab/>
        <w:t xml:space="preserve">wetten.nl - Regeling - Opiumwet - BWBR0001941 [Internet]. </w:t>
      </w:r>
      <w:r w:rsidRPr="008A536C">
        <w:rPr>
          <w:rFonts w:ascii="Times New Roman" w:hAnsi="Times New Roman" w:cs="Times New Roman"/>
          <w:noProof/>
          <w:lang w:val="en-US"/>
        </w:rPr>
        <w:t>Available from: https://wetten.overheid.nl/BWBR0001941/2020-01-01#BijlageII</w:t>
      </w:r>
      <w:r w:rsidR="008A536C">
        <w:rPr>
          <w:rFonts w:ascii="Times New Roman" w:hAnsi="Times New Roman" w:cs="Times New Roman"/>
          <w:noProof/>
          <w:lang w:val="en-US"/>
        </w:rPr>
        <w:t xml:space="preserve">. </w:t>
      </w:r>
      <w:r w:rsidR="008A536C" w:rsidRPr="008A536C">
        <w:rPr>
          <w:rFonts w:ascii="Times New Roman" w:hAnsi="Times New Roman" w:cs="Times New Roman"/>
          <w:noProof/>
          <w:lang w:val="en-US"/>
        </w:rPr>
        <w:t>[</w:t>
      </w:r>
      <w:r w:rsidR="008A536C">
        <w:rPr>
          <w:rFonts w:ascii="Times New Roman" w:hAnsi="Times New Roman" w:cs="Times New Roman"/>
          <w:noProof/>
          <w:lang w:val="en-US"/>
        </w:rPr>
        <w:t>C</w:t>
      </w:r>
      <w:r w:rsidR="008A536C" w:rsidRPr="008A536C">
        <w:rPr>
          <w:rFonts w:ascii="Times New Roman" w:hAnsi="Times New Roman" w:cs="Times New Roman"/>
          <w:noProof/>
          <w:lang w:val="en-US"/>
        </w:rPr>
        <w:t>ited 2021 Feb 28].</w:t>
      </w:r>
    </w:p>
    <w:p w14:paraId="38CC66D2" w14:textId="4188CFF3" w:rsidR="004039A1" w:rsidRPr="004039A1" w:rsidRDefault="004039A1" w:rsidP="004039A1">
      <w:pPr>
        <w:spacing w:line="480" w:lineRule="auto"/>
        <w:rPr>
          <w:rFonts w:ascii="Times New Roman" w:hAnsi="Times New Roman" w:cs="Times New Roman"/>
          <w:b/>
          <w:bCs/>
        </w:rPr>
      </w:pPr>
      <w:r w:rsidRPr="004039A1">
        <w:rPr>
          <w:rFonts w:ascii="Times New Roman" w:hAnsi="Times New Roman" w:cs="Times New Roman"/>
          <w:b/>
          <w:bCs/>
        </w:rPr>
        <w:fldChar w:fldCharType="end"/>
      </w:r>
    </w:p>
    <w:sectPr w:rsidR="004039A1" w:rsidRPr="00403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2557F"/>
    <w:multiLevelType w:val="hybridMultilevel"/>
    <w:tmpl w:val="3C36616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5315A2"/>
    <w:multiLevelType w:val="hybridMultilevel"/>
    <w:tmpl w:val="94646316"/>
    <w:lvl w:ilvl="0" w:tplc="EE329E7E">
      <w:numFmt w:val="bullet"/>
      <w:lvlText w:val="·"/>
      <w:lvlJc w:val="left"/>
      <w:pPr>
        <w:ind w:left="975" w:hanging="615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34EAA"/>
    <w:multiLevelType w:val="hybridMultilevel"/>
    <w:tmpl w:val="08BA46F2"/>
    <w:lvl w:ilvl="0" w:tplc="EE329E7E">
      <w:numFmt w:val="bullet"/>
      <w:lvlText w:val="·"/>
      <w:lvlJc w:val="left"/>
      <w:pPr>
        <w:ind w:left="975" w:hanging="615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53F4E"/>
    <w:multiLevelType w:val="hybridMultilevel"/>
    <w:tmpl w:val="FB58EC96"/>
    <w:lvl w:ilvl="0" w:tplc="688679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A1"/>
    <w:rsid w:val="000071E7"/>
    <w:rsid w:val="004039A1"/>
    <w:rsid w:val="005734A0"/>
    <w:rsid w:val="005B3254"/>
    <w:rsid w:val="006050EF"/>
    <w:rsid w:val="008A536C"/>
    <w:rsid w:val="00932B01"/>
    <w:rsid w:val="0098016C"/>
    <w:rsid w:val="00A42DC8"/>
    <w:rsid w:val="00A86772"/>
    <w:rsid w:val="00DB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4140"/>
  <w15:chartTrackingRefBased/>
  <w15:docId w15:val="{775CF010-1EF9-6A4E-8713-9AF94035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4039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customStyle="1" w:styleId="xmsolistparagraph">
    <w:name w:val="x_msolistparagraph"/>
    <w:basedOn w:val="Standaard"/>
    <w:rsid w:val="004039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C6E36A-CC88-4151-ACE0-656B6574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van Buitenen</dc:creator>
  <cp:keywords/>
  <dc:description/>
  <cp:lastModifiedBy>Buitenen, van, Nora</cp:lastModifiedBy>
  <cp:revision>2</cp:revision>
  <dcterms:created xsi:type="dcterms:W3CDTF">2022-08-10T15:01:00Z</dcterms:created>
  <dcterms:modified xsi:type="dcterms:W3CDTF">2022-08-10T15:01:00Z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748af80c-2f1d-3b76-8f67-6cfb5b347a24</vt:lpwstr>
  </property>
  <property fmtid="{D5CDD505-2E9C-101B-9397-08002B2CF9AE}" pid="4" name="Mendeley Citation Style_1">
    <vt:lpwstr>http://www.zotero.org/styles/vancouver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http://www.zotero.org/styles/jama</vt:lpwstr>
  </property>
  <property fmtid="{D5CDD505-2E9C-101B-9397-08002B2CF9AE}" pid="18" name="Mendeley Recent Style Name 6_1">
    <vt:lpwstr>JAMA (The Journal of the American Medical Association)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