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Y="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2268"/>
      </w:tblGrid>
      <w:tr w:rsidR="006F0DCD" w:rsidRPr="006F0DCD" w:rsidTr="000C200B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DCD" w:rsidRPr="006F0DCD" w:rsidRDefault="006F0DCD" w:rsidP="000C200B">
            <w:pPr>
              <w:rPr>
                <w:rFonts w:asciiTheme="majorBidi" w:hAnsiTheme="majorBidi" w:cstheme="majorBidi"/>
              </w:rPr>
            </w:pPr>
            <w:r w:rsidRPr="006F0DCD">
              <w:rPr>
                <w:rFonts w:asciiTheme="majorBidi" w:hAnsiTheme="majorBidi" w:cstheme="majorBidi"/>
                <w:b/>
                <w:bCs/>
                <w:szCs w:val="20"/>
                <w:lang w:eastAsia="nl-NL"/>
              </w:rPr>
              <w:t>7.  Administrative data for the Ministry of Education, Inspection of Basic Instruction</w:t>
            </w:r>
          </w:p>
        </w:tc>
      </w:tr>
      <w:tr w:rsidR="006F0DCD" w:rsidRPr="006F0DCD" w:rsidTr="000C200B">
        <w:tc>
          <w:tcPr>
            <w:tcW w:w="7308" w:type="dxa"/>
            <w:tcBorders>
              <w:top w:val="single" w:sz="4" w:space="0" w:color="auto"/>
            </w:tcBorders>
          </w:tcPr>
          <w:p w:rsidR="00914DC7" w:rsidRDefault="00914DC7" w:rsidP="000C200B">
            <w:pPr>
              <w:keepLines/>
              <w:widowControl w:val="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</w:p>
          <w:p w:rsidR="006F0DCD" w:rsidRPr="006F0DCD" w:rsidRDefault="006F0DCD" w:rsidP="000C200B">
            <w:pPr>
              <w:keepLines/>
              <w:widowControl w:val="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  <w:r w:rsidRPr="006F0DCD"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  <w:t>Is or was one or both of the child’s parents</w:t>
            </w:r>
          </w:p>
          <w:p w:rsidR="006F0DCD" w:rsidRPr="006F0DCD" w:rsidRDefault="006F0DCD" w:rsidP="000C200B">
            <w:pPr>
              <w:keepLines/>
              <w:widowControl w:val="0"/>
              <w:ind w:left="36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</w:p>
          <w:p w:rsidR="006F0DCD" w:rsidRPr="006F0DCD" w:rsidRDefault="006F0DCD" w:rsidP="000C200B">
            <w:pPr>
              <w:keepLines/>
              <w:widowControl w:val="0"/>
              <w:numPr>
                <w:ilvl w:val="1"/>
                <w:numId w:val="1"/>
              </w:numPr>
              <w:tabs>
                <w:tab w:val="num" w:pos="741"/>
                <w:tab w:val="num" w:pos="1080"/>
              </w:tabs>
              <w:suppressAutoHyphens/>
              <w:ind w:left="360"/>
              <w:rPr>
                <w:rFonts w:asciiTheme="majorBidi" w:hAnsiTheme="majorBidi" w:cstheme="majorBidi"/>
              </w:rPr>
            </w:pPr>
            <w:proofErr w:type="gramStart"/>
            <w:r w:rsidRPr="006F0DCD"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  <w:t>a</w:t>
            </w:r>
            <w:proofErr w:type="gramEnd"/>
            <w:r w:rsidRPr="006F0DCD"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  <w:t xml:space="preserve"> skipper of a barge or other form of shipping business [i.e., that plies the rivers delivering goods], with the child staying in a foster home or boarding school?</w:t>
            </w:r>
          </w:p>
          <w:p w:rsidR="006F0DCD" w:rsidRPr="006F0DCD" w:rsidRDefault="006F0DCD" w:rsidP="000C200B">
            <w:pPr>
              <w:keepLines/>
              <w:widowControl w:val="0"/>
              <w:tabs>
                <w:tab w:val="num" w:pos="1080"/>
                <w:tab w:val="num" w:pos="1440"/>
              </w:tabs>
              <w:suppressAutoHyphens/>
              <w:ind w:left="360"/>
              <w:rPr>
                <w:rFonts w:asciiTheme="majorBidi" w:hAnsiTheme="majorBidi" w:cstheme="majorBidi"/>
              </w:rPr>
            </w:pPr>
          </w:p>
          <w:p w:rsidR="006F0DCD" w:rsidRPr="000C200B" w:rsidRDefault="006F0DCD" w:rsidP="000C200B">
            <w:pPr>
              <w:keepLines/>
              <w:widowControl w:val="0"/>
              <w:numPr>
                <w:ilvl w:val="1"/>
                <w:numId w:val="1"/>
              </w:numPr>
              <w:tabs>
                <w:tab w:val="num" w:pos="741"/>
                <w:tab w:val="num" w:pos="1080"/>
              </w:tabs>
              <w:suppressAutoHyphens/>
              <w:ind w:left="360"/>
              <w:rPr>
                <w:rFonts w:asciiTheme="majorBidi" w:hAnsiTheme="majorBidi" w:cstheme="majorBidi"/>
              </w:rPr>
            </w:pPr>
            <w:proofErr w:type="gramStart"/>
            <w:r w:rsidRPr="006F0DCD"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  <w:t>involved</w:t>
            </w:r>
            <w:proofErr w:type="gramEnd"/>
            <w:r w:rsidRPr="006F0DCD"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  <w:t xml:space="preserve"> in some form of business other than skippering that requires them to move around?</w:t>
            </w:r>
          </w:p>
          <w:p w:rsidR="000C200B" w:rsidRPr="006F0DCD" w:rsidRDefault="000C200B" w:rsidP="000C200B">
            <w:pPr>
              <w:keepLines/>
              <w:widowControl w:val="0"/>
              <w:tabs>
                <w:tab w:val="num" w:pos="1080"/>
                <w:tab w:val="num" w:pos="1440"/>
              </w:tabs>
              <w:suppressAutoHyphens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4DC7" w:rsidRDefault="00914DC7" w:rsidP="000C200B">
            <w:pPr>
              <w:ind w:left="720"/>
              <w:rPr>
                <w:rFonts w:asciiTheme="majorBidi" w:hAnsiTheme="majorBidi" w:cstheme="majorBidi"/>
                <w:bCs/>
                <w:szCs w:val="20"/>
                <w:lang w:eastAsia="nl-NL"/>
              </w:rPr>
            </w:pPr>
          </w:p>
          <w:p w:rsidR="006F0DCD" w:rsidRPr="006F0DCD" w:rsidRDefault="006F0DCD" w:rsidP="000C200B">
            <w:pPr>
              <w:ind w:left="720"/>
              <w:rPr>
                <w:rFonts w:asciiTheme="majorBidi" w:hAnsiTheme="majorBidi" w:cstheme="majorBidi"/>
              </w:rPr>
            </w:pPr>
            <w:r w:rsidRPr="006F0DCD">
              <w:rPr>
                <w:rFonts w:asciiTheme="majorBidi" w:hAnsiTheme="majorBidi" w:cstheme="majorBidi"/>
                <w:bCs/>
                <w:szCs w:val="20"/>
                <w:lang w:eastAsia="nl-NL"/>
              </w:rPr>
              <w:t>Yes/No</w:t>
            </w:r>
          </w:p>
        </w:tc>
      </w:tr>
      <w:tr w:rsidR="006F0DCD" w:rsidRPr="006F0DCD" w:rsidTr="000C200B">
        <w:tc>
          <w:tcPr>
            <w:tcW w:w="7308" w:type="dxa"/>
            <w:tcBorders>
              <w:bottom w:val="single" w:sz="4" w:space="0" w:color="auto"/>
            </w:tcBorders>
          </w:tcPr>
          <w:p w:rsidR="006F0DCD" w:rsidRPr="006F0DCD" w:rsidRDefault="006F0DCD" w:rsidP="000C200B">
            <w:pPr>
              <w:keepLines/>
              <w:widowControl w:val="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  <w:r w:rsidRPr="006F0DCD"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  <w:t>Was one of the parents born in:</w:t>
            </w:r>
          </w:p>
          <w:p w:rsidR="006F0DCD" w:rsidRPr="006F0DCD" w:rsidRDefault="006F0DCD" w:rsidP="000C200B">
            <w:pPr>
              <w:keepLines/>
              <w:widowControl w:val="0"/>
              <w:ind w:left="36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</w:p>
          <w:p w:rsidR="006F0DCD" w:rsidRPr="006F0DCD" w:rsidRDefault="006F0DCD" w:rsidP="000C200B">
            <w:pPr>
              <w:keepLines/>
              <w:widowControl w:val="0"/>
              <w:numPr>
                <w:ilvl w:val="0"/>
                <w:numId w:val="1"/>
              </w:numPr>
              <w:suppressAutoHyphens/>
              <w:ind w:left="36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  <w:r w:rsidRPr="006F0DCD"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  <w:t>Greece, Italy, Yugoslavia, Spain, Portugal, Cape Verde, Morocco, Turkey, Tunisia</w:t>
            </w:r>
            <w:r w:rsidRPr="006F0DCD">
              <w:rPr>
                <w:rFonts w:asciiTheme="majorBidi" w:eastAsia="Times New Roman" w:hAnsiTheme="majorBidi" w:cstheme="majorBidi"/>
                <w:szCs w:val="20"/>
                <w:vertAlign w:val="superscript"/>
                <w:lang w:eastAsia="nl-NL" w:bidi="ar-SA"/>
              </w:rPr>
              <w:footnoteReference w:id="1"/>
            </w:r>
          </w:p>
          <w:p w:rsidR="006F0DCD" w:rsidRPr="006F0DCD" w:rsidRDefault="006F0DCD" w:rsidP="000C200B">
            <w:pPr>
              <w:keepLines/>
              <w:widowControl w:val="0"/>
              <w:ind w:left="36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</w:p>
          <w:p w:rsidR="006F0DCD" w:rsidRPr="006F0DCD" w:rsidRDefault="006F0DCD" w:rsidP="000C200B">
            <w:pPr>
              <w:keepLines/>
              <w:widowControl w:val="0"/>
              <w:numPr>
                <w:ilvl w:val="0"/>
                <w:numId w:val="1"/>
              </w:numPr>
              <w:suppressAutoHyphens/>
              <w:ind w:left="36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  <w:r w:rsidRPr="006F0DCD"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  <w:t>Suriname, Netherlands Antilles, Aruba</w:t>
            </w:r>
            <w:r w:rsidRPr="006F0DCD">
              <w:rPr>
                <w:rFonts w:asciiTheme="majorBidi" w:eastAsia="Times New Roman" w:hAnsiTheme="majorBidi" w:cstheme="majorBidi"/>
                <w:szCs w:val="20"/>
                <w:vertAlign w:val="superscript"/>
                <w:lang w:eastAsia="nl-NL" w:bidi="ar-SA"/>
              </w:rPr>
              <w:footnoteReference w:id="2"/>
            </w:r>
          </w:p>
          <w:p w:rsidR="006F0DCD" w:rsidRPr="006F0DCD" w:rsidRDefault="006F0DCD" w:rsidP="000C200B">
            <w:pPr>
              <w:keepLines/>
              <w:widowControl w:val="0"/>
              <w:ind w:left="36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</w:p>
          <w:p w:rsidR="006F0DCD" w:rsidRPr="006F0DCD" w:rsidRDefault="006F0DCD" w:rsidP="000C200B">
            <w:pPr>
              <w:keepLines/>
              <w:widowControl w:val="0"/>
              <w:numPr>
                <w:ilvl w:val="0"/>
                <w:numId w:val="1"/>
              </w:numPr>
              <w:suppressAutoHyphens/>
              <w:ind w:left="36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  <w:r w:rsidRPr="006F0DCD"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  <w:t>a non-English speaking country outside Europe, with the exception of Indonesia</w:t>
            </w:r>
            <w:r w:rsidRPr="006F0DCD">
              <w:rPr>
                <w:rFonts w:asciiTheme="majorBidi" w:eastAsia="Times New Roman" w:hAnsiTheme="majorBidi" w:cstheme="majorBidi"/>
                <w:szCs w:val="20"/>
                <w:vertAlign w:val="superscript"/>
                <w:lang w:eastAsia="nl-NL" w:bidi="ar-SA"/>
              </w:rPr>
              <w:footnoteReference w:id="3"/>
            </w:r>
          </w:p>
          <w:p w:rsidR="006F0DCD" w:rsidRPr="006F0DCD" w:rsidRDefault="006F0DCD" w:rsidP="000C200B">
            <w:pPr>
              <w:keepLines/>
              <w:widowControl w:val="0"/>
              <w:ind w:left="36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</w:p>
          <w:p w:rsidR="006F0DCD" w:rsidRDefault="006F0DCD" w:rsidP="000C200B">
            <w:pPr>
              <w:keepLines/>
              <w:widowControl w:val="0"/>
              <w:numPr>
                <w:ilvl w:val="0"/>
                <w:numId w:val="1"/>
              </w:numPr>
              <w:suppressAutoHyphens/>
              <w:ind w:left="36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  <w:r w:rsidRPr="006F0DCD"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  <w:t>does the child belong to the Moluccan heritage-group</w:t>
            </w:r>
            <w:r w:rsidRPr="006F0DCD">
              <w:rPr>
                <w:rFonts w:asciiTheme="majorBidi" w:eastAsia="Times New Roman" w:hAnsiTheme="majorBidi" w:cstheme="majorBidi"/>
                <w:szCs w:val="20"/>
                <w:vertAlign w:val="superscript"/>
                <w:lang w:eastAsia="nl-NL" w:bidi="ar-SA"/>
              </w:rPr>
              <w:footnoteReference w:id="4"/>
            </w:r>
          </w:p>
          <w:p w:rsidR="006F0DCD" w:rsidRDefault="006F0DCD" w:rsidP="000C200B">
            <w:pPr>
              <w:keepLines/>
              <w:widowControl w:val="0"/>
              <w:suppressAutoHyphens/>
              <w:ind w:left="36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</w:p>
          <w:p w:rsidR="006F0DCD" w:rsidRPr="006F0DCD" w:rsidRDefault="006F0DCD" w:rsidP="000C200B">
            <w:pPr>
              <w:keepLines/>
              <w:widowControl w:val="0"/>
              <w:numPr>
                <w:ilvl w:val="0"/>
                <w:numId w:val="1"/>
              </w:numPr>
              <w:suppressAutoHyphens/>
              <w:ind w:left="360"/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</w:pPr>
            <w:r w:rsidRPr="006F0DCD">
              <w:rPr>
                <w:rFonts w:asciiTheme="majorBidi" w:eastAsia="Times New Roman" w:hAnsiTheme="majorBidi" w:cstheme="majorBidi"/>
                <w:szCs w:val="20"/>
                <w:lang w:eastAsia="nl-NL" w:bidi="ar-SA"/>
              </w:rPr>
              <w:t>is one of the parents allowed in The Netherlands on the basis of Article 15 of the Aliens Act</w:t>
            </w:r>
            <w:r w:rsidRPr="006F0DCD">
              <w:rPr>
                <w:rFonts w:asciiTheme="majorBidi" w:eastAsia="Times New Roman" w:hAnsiTheme="majorBidi" w:cstheme="majorBidi"/>
                <w:szCs w:val="20"/>
                <w:vertAlign w:val="superscript"/>
                <w:lang w:eastAsia="nl-NL" w:bidi="ar-SA"/>
              </w:rPr>
              <w:footnoteReference w:id="5"/>
            </w:r>
          </w:p>
        </w:tc>
        <w:tc>
          <w:tcPr>
            <w:tcW w:w="2268" w:type="dxa"/>
          </w:tcPr>
          <w:p w:rsidR="006F0DCD" w:rsidRPr="006F0DCD" w:rsidRDefault="006F0DCD" w:rsidP="000C200B">
            <w:pPr>
              <w:ind w:left="720"/>
              <w:rPr>
                <w:rFonts w:asciiTheme="majorBidi" w:hAnsiTheme="majorBidi" w:cstheme="majorBidi"/>
              </w:rPr>
            </w:pPr>
            <w:r w:rsidRPr="006F0DCD">
              <w:rPr>
                <w:rFonts w:asciiTheme="majorBidi" w:hAnsiTheme="majorBidi" w:cstheme="majorBidi"/>
                <w:bCs/>
                <w:szCs w:val="20"/>
                <w:lang w:eastAsia="nl-NL"/>
              </w:rPr>
              <w:t>Yes/No</w:t>
            </w:r>
          </w:p>
        </w:tc>
      </w:tr>
    </w:tbl>
    <w:p w:rsidR="000C200B" w:rsidRPr="000C200B" w:rsidRDefault="000C200B" w:rsidP="000C200B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nl-NL" w:bidi="ar-SA"/>
        </w:rPr>
      </w:pPr>
      <w:proofErr w:type="gramStart"/>
      <w:r w:rsidRPr="00885055">
        <w:rPr>
          <w:rFonts w:ascii="Times New Roman" w:eastAsia="Times New Roman" w:hAnsi="Times New Roman" w:cs="Times New Roman"/>
          <w:b/>
          <w:sz w:val="24"/>
          <w:szCs w:val="24"/>
          <w:lang w:eastAsia="nl-NL" w:bidi="ar-SA"/>
        </w:rPr>
        <w:t>Form 1.</w:t>
      </w:r>
      <w:proofErr w:type="gramEnd"/>
      <w:r w:rsidRPr="00885055">
        <w:rPr>
          <w:rFonts w:ascii="Times New Roman" w:eastAsia="Times New Roman" w:hAnsi="Times New Roman" w:cs="Times New Roman"/>
          <w:b/>
          <w:sz w:val="24"/>
          <w:szCs w:val="24"/>
          <w:lang w:eastAsia="nl-NL" w:bidi="ar-SA"/>
        </w:rPr>
        <w:t xml:space="preserve">  </w:t>
      </w:r>
      <w:r w:rsidRPr="000C200B">
        <w:rPr>
          <w:rFonts w:ascii="Times New Roman" w:eastAsia="Times New Roman" w:hAnsi="Times New Roman" w:cs="Times New Roman"/>
          <w:sz w:val="24"/>
          <w:szCs w:val="24"/>
          <w:lang w:eastAsia="nl-NL" w:bidi="ar-SA"/>
        </w:rPr>
        <w:t xml:space="preserve">Parental background I:  Registration of child, primary school (School 2) </w:t>
      </w:r>
    </w:p>
    <w:p w:rsidR="003124EE" w:rsidRDefault="003124EE" w:rsidP="006F0DCD"/>
    <w:p w:rsidR="000C200B" w:rsidRDefault="000C200B" w:rsidP="00885055">
      <w:pPr>
        <w:rPr>
          <w:rFonts w:ascii="Times New Roman" w:eastAsia="Times New Roman" w:hAnsi="Times New Roman" w:cs="Times New Roman"/>
          <w:sz w:val="24"/>
          <w:szCs w:val="24"/>
          <w:lang w:eastAsia="nl-NL" w:bidi="ar-SA"/>
        </w:rPr>
      </w:pPr>
    </w:p>
    <w:p w:rsidR="00885055" w:rsidRDefault="000C200B" w:rsidP="00885055">
      <w:pPr>
        <w:rPr>
          <w:rFonts w:ascii="Times New Roman" w:eastAsia="Times New Roman" w:hAnsi="Times New Roman" w:cs="Times New Roman"/>
          <w:sz w:val="24"/>
          <w:szCs w:val="24"/>
          <w:lang w:eastAsia="nl-NL" w:bidi="ar-SA"/>
        </w:rPr>
      </w:pPr>
      <w:r w:rsidRPr="000C200B">
        <w:rPr>
          <w:rFonts w:ascii="Times New Roman" w:eastAsia="Times New Roman" w:hAnsi="Times New Roman" w:cs="Times New Roman"/>
          <w:i/>
          <w:sz w:val="24"/>
          <w:szCs w:val="24"/>
          <w:lang w:eastAsia="nl-NL" w:bidi="ar-SA"/>
        </w:rPr>
        <w:t>Source</w:t>
      </w:r>
      <w:r>
        <w:rPr>
          <w:rFonts w:ascii="Times New Roman" w:eastAsia="Times New Roman" w:hAnsi="Times New Roman" w:cs="Times New Roman"/>
          <w:sz w:val="24"/>
          <w:szCs w:val="24"/>
          <w:lang w:eastAsia="nl-NL" w:bidi="ar-SA"/>
        </w:rPr>
        <w:t xml:space="preserve">: </w:t>
      </w:r>
      <w:r w:rsidR="00885055" w:rsidRPr="000C200B">
        <w:rPr>
          <w:rFonts w:ascii="Times New Roman" w:eastAsia="Times New Roman" w:hAnsi="Times New Roman" w:cs="Times New Roman"/>
          <w:sz w:val="24"/>
          <w:szCs w:val="24"/>
          <w:lang w:eastAsia="nl-NL" w:bidi="ar-SA"/>
        </w:rPr>
        <w:t>Anonymized</w:t>
      </w:r>
      <w:r w:rsidR="00885055" w:rsidRPr="00885055">
        <w:rPr>
          <w:rFonts w:ascii="Times New Roman" w:eastAsia="Times New Roman" w:hAnsi="Times New Roman" w:cs="Times New Roman"/>
          <w:sz w:val="24"/>
          <w:szCs w:val="24"/>
          <w:lang w:eastAsia="nl-NL" w:bidi="ar-SA"/>
        </w:rPr>
        <w:t xml:space="preserve"> (accessed May 13, 2009).</w:t>
      </w:r>
    </w:p>
    <w:sectPr w:rsidR="00885055" w:rsidSect="000C200B">
      <w:footnotePr>
        <w:pos w:val="beneathText"/>
        <w:numFmt w:val="lowerLetter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56" w:rsidRDefault="005B6A56" w:rsidP="006F0DCD">
      <w:r>
        <w:separator/>
      </w:r>
    </w:p>
  </w:endnote>
  <w:endnote w:type="continuationSeparator" w:id="0">
    <w:p w:rsidR="005B6A56" w:rsidRDefault="005B6A56" w:rsidP="006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56" w:rsidRDefault="005B6A56" w:rsidP="006F0DCD">
      <w:r>
        <w:separator/>
      </w:r>
    </w:p>
  </w:footnote>
  <w:footnote w:type="continuationSeparator" w:id="0">
    <w:p w:rsidR="005B6A56" w:rsidRDefault="005B6A56" w:rsidP="006F0DCD">
      <w:r>
        <w:continuationSeparator/>
      </w:r>
    </w:p>
  </w:footnote>
  <w:footnote w:id="1">
    <w:p w:rsidR="006F0DCD" w:rsidRPr="006F0DCD" w:rsidRDefault="006F0DCD" w:rsidP="006F0DCD">
      <w:pPr>
        <w:pStyle w:val="FootnoteText"/>
        <w:rPr>
          <w:rFonts w:asciiTheme="majorBidi" w:hAnsiTheme="majorBidi" w:cstheme="majorBidi"/>
          <w:sz w:val="24"/>
        </w:rPr>
      </w:pPr>
      <w:bookmarkStart w:id="0" w:name="_GoBack"/>
      <w:bookmarkEnd w:id="0"/>
      <w:r w:rsidRPr="006F0DCD">
        <w:rPr>
          <w:rStyle w:val="FootnoteReference"/>
          <w:rFonts w:asciiTheme="majorBidi" w:hAnsiTheme="majorBidi" w:cstheme="majorBidi"/>
          <w:sz w:val="24"/>
        </w:rPr>
        <w:footnoteRef/>
      </w:r>
      <w:r w:rsidRPr="006F0DCD">
        <w:rPr>
          <w:rFonts w:asciiTheme="majorBidi" w:hAnsiTheme="majorBidi" w:cstheme="majorBidi"/>
          <w:sz w:val="24"/>
        </w:rPr>
        <w:t xml:space="preserve">  Countries from which labor migrants were recruited (1960s-1970s).</w:t>
      </w:r>
    </w:p>
  </w:footnote>
  <w:footnote w:id="2">
    <w:p w:rsidR="006F0DCD" w:rsidRPr="006F0DCD" w:rsidRDefault="006F0DCD" w:rsidP="006F0DCD">
      <w:pPr>
        <w:widowControl w:val="0"/>
        <w:rPr>
          <w:rFonts w:asciiTheme="majorBidi" w:hAnsiTheme="majorBidi" w:cstheme="majorBidi"/>
        </w:rPr>
      </w:pPr>
      <w:r w:rsidRPr="006F0DCD">
        <w:rPr>
          <w:rStyle w:val="FootnoteReference"/>
          <w:rFonts w:asciiTheme="majorBidi" w:hAnsiTheme="majorBidi" w:cstheme="majorBidi"/>
        </w:rPr>
        <w:footnoteRef/>
      </w:r>
      <w:r w:rsidRPr="006F0DCD">
        <w:rPr>
          <w:rFonts w:asciiTheme="majorBidi" w:hAnsiTheme="majorBidi" w:cstheme="majorBidi"/>
        </w:rPr>
        <w:t xml:space="preserve">  </w:t>
      </w:r>
      <w:proofErr w:type="gramStart"/>
      <w:r w:rsidRPr="006F0DCD">
        <w:rPr>
          <w:rFonts w:asciiTheme="majorBidi" w:hAnsiTheme="majorBidi" w:cstheme="majorBidi"/>
        </w:rPr>
        <w:t>Former colonies, considered “non-Western allochthon.”</w:t>
      </w:r>
      <w:proofErr w:type="gramEnd"/>
    </w:p>
  </w:footnote>
  <w:footnote w:id="3">
    <w:p w:rsidR="006F0DCD" w:rsidRPr="006F0DCD" w:rsidRDefault="006F0DCD" w:rsidP="006F0DCD">
      <w:pPr>
        <w:pStyle w:val="FootnoteText"/>
        <w:rPr>
          <w:rFonts w:asciiTheme="majorBidi" w:hAnsiTheme="majorBidi" w:cstheme="majorBidi"/>
          <w:sz w:val="24"/>
        </w:rPr>
      </w:pPr>
      <w:r w:rsidRPr="006F0DCD">
        <w:rPr>
          <w:rStyle w:val="FootnoteReference"/>
          <w:rFonts w:asciiTheme="majorBidi" w:hAnsiTheme="majorBidi" w:cstheme="majorBidi"/>
          <w:sz w:val="24"/>
        </w:rPr>
        <w:footnoteRef/>
      </w:r>
      <w:r w:rsidRPr="006F0DCD">
        <w:rPr>
          <w:rFonts w:asciiTheme="majorBidi" w:hAnsiTheme="majorBidi" w:cstheme="majorBidi"/>
          <w:sz w:val="24"/>
        </w:rPr>
        <w:t xml:space="preserve">  </w:t>
      </w:r>
      <w:proofErr w:type="gramStart"/>
      <w:r w:rsidRPr="006F0DCD">
        <w:rPr>
          <w:rFonts w:asciiTheme="majorBidi" w:hAnsiTheme="majorBidi" w:cstheme="majorBidi"/>
          <w:sz w:val="24"/>
        </w:rPr>
        <w:t>Former colony, considered “Western allochthon.”</w:t>
      </w:r>
      <w:proofErr w:type="gramEnd"/>
    </w:p>
  </w:footnote>
  <w:footnote w:id="4">
    <w:p w:rsidR="006F0DCD" w:rsidRPr="006F0DCD" w:rsidRDefault="006F0DCD" w:rsidP="006F0DCD">
      <w:pPr>
        <w:pStyle w:val="FootnoteText"/>
        <w:tabs>
          <w:tab w:val="left" w:pos="-142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</w:rPr>
      </w:pPr>
      <w:r w:rsidRPr="006F0DCD">
        <w:rPr>
          <w:rStyle w:val="FootnoteReference"/>
          <w:rFonts w:asciiTheme="majorBidi" w:hAnsiTheme="majorBidi" w:cstheme="majorBidi"/>
          <w:sz w:val="24"/>
        </w:rPr>
        <w:footnoteRef/>
      </w:r>
      <w:r w:rsidRPr="006F0DCD">
        <w:rPr>
          <w:rFonts w:asciiTheme="majorBidi" w:hAnsiTheme="majorBidi" w:cstheme="majorBidi"/>
          <w:sz w:val="24"/>
        </w:rPr>
        <w:t xml:space="preserve">  A group of 12,500 soldiers serving in the Royal Dutch Indies Army during </w:t>
      </w:r>
      <w:r w:rsidRPr="006F0DCD">
        <w:rPr>
          <w:rFonts w:asciiTheme="majorBidi" w:hAnsiTheme="majorBidi" w:cstheme="majorBidi"/>
          <w:sz w:val="24"/>
          <w:lang w:val="en-GB"/>
        </w:rPr>
        <w:t>the 1949 Indonesian war of independence from Dutch rule, and their families and descendants</w:t>
      </w:r>
      <w:r w:rsidRPr="006F0DCD">
        <w:rPr>
          <w:rFonts w:asciiTheme="majorBidi" w:hAnsiTheme="majorBidi" w:cstheme="majorBidi"/>
          <w:sz w:val="24"/>
        </w:rPr>
        <w:t xml:space="preserve">. Under </w:t>
      </w:r>
      <w:r w:rsidRPr="006F0DCD">
        <w:rPr>
          <w:rFonts w:asciiTheme="majorBidi" w:hAnsiTheme="majorBidi" w:cstheme="majorBidi"/>
          <w:sz w:val="24"/>
          <w:lang w:val="en-GB"/>
        </w:rPr>
        <w:t xml:space="preserve">the colonial regime they had been categorised as </w:t>
      </w:r>
      <w:r w:rsidRPr="006F0DCD">
        <w:rPr>
          <w:rFonts w:asciiTheme="majorBidi" w:hAnsiTheme="majorBidi" w:cstheme="majorBidi"/>
          <w:sz w:val="24"/>
        </w:rPr>
        <w:t xml:space="preserve">“indigenous non-Dutch Netherlands subjects,” </w:t>
      </w:r>
      <w:r w:rsidRPr="006F0DCD">
        <w:rPr>
          <w:rFonts w:asciiTheme="majorBidi" w:hAnsiTheme="majorBidi" w:cstheme="majorBidi"/>
          <w:sz w:val="24"/>
          <w:lang w:val="en-GB"/>
        </w:rPr>
        <w:t>afterwards becoming Indonesian nationals</w:t>
      </w:r>
      <w:r w:rsidRPr="006F0DCD">
        <w:rPr>
          <w:rFonts w:asciiTheme="majorBidi" w:hAnsiTheme="majorBidi" w:cstheme="majorBidi"/>
          <w:sz w:val="24"/>
        </w:rPr>
        <w:t xml:space="preserve"> (Jones 2007: 83, 100). Their military service, loyalty to The Netherlands, and rejection of the newly formed Indonesian state, however, put them in a difficult position, and in 1951 they were brought to The Netherlands,</w:t>
      </w:r>
      <w:r w:rsidRPr="006F0DCD">
        <w:rPr>
          <w:rFonts w:asciiTheme="majorBidi" w:hAnsiTheme="majorBidi" w:cstheme="majorBidi"/>
          <w:sz w:val="24"/>
          <w:lang w:val="en-GB"/>
        </w:rPr>
        <w:t xml:space="preserve"> where they have remained. This background sets them apart from other ex-colonials.</w:t>
      </w:r>
    </w:p>
  </w:footnote>
  <w:footnote w:id="5">
    <w:p w:rsidR="006F0DCD" w:rsidRPr="006F0DCD" w:rsidRDefault="006F0DCD" w:rsidP="006F0DCD">
      <w:pPr>
        <w:pStyle w:val="FootnoteText"/>
        <w:rPr>
          <w:rFonts w:asciiTheme="majorBidi" w:hAnsiTheme="majorBidi" w:cstheme="majorBidi"/>
        </w:rPr>
      </w:pPr>
      <w:r w:rsidRPr="006F0DCD">
        <w:rPr>
          <w:rStyle w:val="FootnoteReference"/>
          <w:rFonts w:asciiTheme="majorBidi" w:hAnsiTheme="majorBidi" w:cstheme="majorBidi"/>
          <w:sz w:val="24"/>
        </w:rPr>
        <w:footnoteRef/>
      </w:r>
      <w:r w:rsidRPr="006F0DCD">
        <w:rPr>
          <w:rFonts w:asciiTheme="majorBidi" w:hAnsiTheme="majorBidi" w:cstheme="majorBidi"/>
          <w:sz w:val="24"/>
        </w:rPr>
        <w:t xml:space="preserve">  </w:t>
      </w:r>
      <w:proofErr w:type="gramStart"/>
      <w:r w:rsidRPr="006F0DCD">
        <w:rPr>
          <w:rFonts w:asciiTheme="majorBidi" w:hAnsiTheme="majorBidi" w:cstheme="majorBidi"/>
          <w:sz w:val="24"/>
        </w:rPr>
        <w:t>Directed toward refugees.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4676A"/>
    <w:multiLevelType w:val="hybridMultilevel"/>
    <w:tmpl w:val="A9D624E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CD"/>
    <w:rsid w:val="000C200B"/>
    <w:rsid w:val="003124EE"/>
    <w:rsid w:val="00594211"/>
    <w:rsid w:val="005B6A56"/>
    <w:rsid w:val="006F0DCD"/>
    <w:rsid w:val="00885055"/>
    <w:rsid w:val="00914DC7"/>
    <w:rsid w:val="00E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F0D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0DCD"/>
    <w:rPr>
      <w:sz w:val="20"/>
      <w:szCs w:val="20"/>
    </w:rPr>
  </w:style>
  <w:style w:type="character" w:styleId="EndnoteReference">
    <w:name w:val="endnote reference"/>
    <w:rsid w:val="006F0D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D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D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D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2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F0D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0DCD"/>
    <w:rPr>
      <w:sz w:val="20"/>
      <w:szCs w:val="20"/>
    </w:rPr>
  </w:style>
  <w:style w:type="character" w:styleId="EndnoteReference">
    <w:name w:val="endnote reference"/>
    <w:rsid w:val="006F0D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D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D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D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7029-2EDA-47B9-B2A4-EEC09E95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883A5B3E</Template>
  <TotalTime>0</TotalTime>
  <Pages>1</Pages>
  <Words>126</Words>
  <Characters>799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Yanow, Dvora, Prof.</cp:lastModifiedBy>
  <cp:revision>6</cp:revision>
  <dcterms:created xsi:type="dcterms:W3CDTF">2016-01-28T19:19:00Z</dcterms:created>
  <dcterms:modified xsi:type="dcterms:W3CDTF">2016-04-15T08:57:00Z</dcterms:modified>
</cp:coreProperties>
</file>