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FD42A" w14:textId="19A75B78" w:rsidR="006F4AA1" w:rsidRPr="00356DC4" w:rsidRDefault="00953D16" w:rsidP="00356DC4">
      <w:pPr>
        <w:pStyle w:val="Titel"/>
        <w:rPr>
          <w:b/>
          <w:sz w:val="40"/>
        </w:rPr>
      </w:pPr>
      <w:r w:rsidRPr="00356DC4">
        <w:rPr>
          <w:b/>
          <w:sz w:val="32"/>
        </w:rPr>
        <w:t>Supplementary Material</w:t>
      </w:r>
      <w:r w:rsidR="00587495" w:rsidRPr="00356DC4">
        <w:rPr>
          <w:b/>
          <w:sz w:val="32"/>
        </w:rPr>
        <w:t>s</w:t>
      </w:r>
      <w:r w:rsidRPr="00356DC4">
        <w:rPr>
          <w:b/>
          <w:sz w:val="32"/>
        </w:rPr>
        <w:t xml:space="preserve">: </w:t>
      </w:r>
      <w:r w:rsidR="00356DC4" w:rsidRPr="00356DC4">
        <w:rPr>
          <w:b/>
          <w:sz w:val="32"/>
        </w:rPr>
        <w:t>supply of reduced deforestation and</w:t>
      </w:r>
      <w:r w:rsidR="006F4AA1" w:rsidRPr="00356DC4">
        <w:rPr>
          <w:b/>
          <w:sz w:val="32"/>
        </w:rPr>
        <w:t xml:space="preserve"> reforestation</w:t>
      </w:r>
    </w:p>
    <w:p w14:paraId="501B7CB4" w14:textId="48629A69" w:rsidR="00CB5264" w:rsidRPr="00B232D6" w:rsidRDefault="00CB5264" w:rsidP="00CB5264">
      <w:pPr>
        <w:pStyle w:val="berschrift1"/>
      </w:pPr>
      <w:r w:rsidRPr="00B232D6">
        <w:rPr>
          <w:sz w:val="28"/>
        </w:rPr>
        <w:t xml:space="preserve">Endogenous </w:t>
      </w:r>
      <w:r>
        <w:rPr>
          <w:sz w:val="28"/>
        </w:rPr>
        <w:t>deforestation and reforestation emissions</w:t>
      </w:r>
    </w:p>
    <w:p w14:paraId="498BD7BD" w14:textId="15433402" w:rsidR="00CB5264" w:rsidRPr="00AC27B5" w:rsidRDefault="00CB5264" w:rsidP="00CB5264">
      <w:pPr>
        <w:rPr>
          <w:rFonts w:cstheme="minorHAnsi"/>
        </w:rPr>
      </w:pPr>
      <w:r w:rsidRPr="00CB5264">
        <w:rPr>
          <w:rFonts w:cstheme="minorHAnsi"/>
        </w:rPr>
        <w:t xml:space="preserve">We use deforestation and reforestation </w:t>
      </w:r>
      <w:r>
        <w:rPr>
          <w:rFonts w:cstheme="minorHAnsi"/>
        </w:rPr>
        <w:t>mitigation supply</w:t>
      </w:r>
      <w:r w:rsidRPr="00CB5264">
        <w:rPr>
          <w:rFonts w:cstheme="minorHAnsi"/>
        </w:rPr>
        <w:t xml:space="preserve"> curve</w:t>
      </w:r>
      <w:r>
        <w:rPr>
          <w:rFonts w:cstheme="minorHAnsi"/>
        </w:rPr>
        <w:t>s</w:t>
      </w:r>
      <w:r w:rsidRPr="00CB5264">
        <w:rPr>
          <w:rFonts w:cstheme="minorHAnsi"/>
        </w:rPr>
        <w:t xml:space="preserve"> to make emissions reductions from tropical forests endogenous. Our modified version of the</w:t>
      </w:r>
      <w:r w:rsidRPr="00AC27B5">
        <w:rPr>
          <w:rFonts w:cstheme="minorHAnsi"/>
        </w:rPr>
        <w:t xml:space="preserve"> DICE model includes three abatement cost curves: </w:t>
      </w:r>
    </w:p>
    <w:p w14:paraId="14E0390A" w14:textId="77777777" w:rsidR="00CB5264" w:rsidRPr="00AC27B5" w:rsidRDefault="00CB5264" w:rsidP="00CB5264">
      <w:pPr>
        <w:pStyle w:val="Listenabsatz"/>
        <w:numPr>
          <w:ilvl w:val="0"/>
          <w:numId w:val="2"/>
        </w:numPr>
        <w:rPr>
          <w:rFonts w:cstheme="minorHAnsi"/>
        </w:rPr>
      </w:pPr>
      <w:r w:rsidRPr="00AC27B5">
        <w:rPr>
          <w:rFonts w:cstheme="minorHAnsi"/>
        </w:rPr>
        <w:t>Fossil fuel abatement as in the original version of DICE;</w:t>
      </w:r>
    </w:p>
    <w:p w14:paraId="78F90421" w14:textId="77777777" w:rsidR="00CB5264" w:rsidRPr="00AC27B5" w:rsidRDefault="00CB5264" w:rsidP="00CB5264">
      <w:pPr>
        <w:pStyle w:val="Listenabsatz"/>
        <w:numPr>
          <w:ilvl w:val="0"/>
          <w:numId w:val="2"/>
        </w:numPr>
        <w:rPr>
          <w:rFonts w:cstheme="minorHAnsi"/>
        </w:rPr>
      </w:pPr>
      <w:r w:rsidRPr="00AC27B5">
        <w:rPr>
          <w:rFonts w:cstheme="minorHAnsi"/>
        </w:rPr>
        <w:t>Reduced tropical deforestation;</w:t>
      </w:r>
    </w:p>
    <w:p w14:paraId="04205B7B" w14:textId="77777777" w:rsidR="00CB5264" w:rsidRPr="00AC27B5" w:rsidRDefault="00CB5264" w:rsidP="00CB5264">
      <w:pPr>
        <w:pStyle w:val="Listenabsatz"/>
        <w:numPr>
          <w:ilvl w:val="0"/>
          <w:numId w:val="2"/>
        </w:numPr>
        <w:rPr>
          <w:rFonts w:cstheme="minorHAnsi"/>
        </w:rPr>
      </w:pPr>
      <w:r w:rsidRPr="00AC27B5">
        <w:rPr>
          <w:rFonts w:cstheme="minorHAnsi"/>
        </w:rPr>
        <w:t>Tropical reforestation;</w:t>
      </w:r>
    </w:p>
    <w:p w14:paraId="6967B58F" w14:textId="77777777" w:rsidR="00CB5264" w:rsidRPr="00AC27B5" w:rsidRDefault="00CB5264" w:rsidP="00AC27B5">
      <w:r w:rsidRPr="00AC27B5">
        <w:t xml:space="preserve">All three are increasing functions in carbon price. The model looks for an optimal solution minimizing the discounted abatement cost over the period 2020-2100.  The cost of reforestation and the cost of reducing deforestation are included in the cost of climate policy. Due to the low convexity of the MAC curves in </w:t>
      </w:r>
      <w:r w:rsidRPr="00AC27B5">
        <w:rPr>
          <w:noProof/>
        </w:rPr>
        <w:t>Busch et al. (2019)</w:t>
      </w:r>
      <w:r w:rsidRPr="00AC27B5">
        <w:t xml:space="preserve">, plus our added assumption of no REDD+ supply beyond $100/ton, the total cost of avoided deforestation and reforestation is relatively high, such that the estimates we use for our analysis are on the conservative side of the REDD+ potential, compared to previous studies </w:t>
      </w:r>
      <w:r w:rsidRPr="00AC27B5">
        <w:rPr>
          <w:noProof/>
        </w:rPr>
        <w:t>(</w:t>
      </w:r>
      <w:r w:rsidRPr="00AC27B5">
        <w:t xml:space="preserve">e.g. </w:t>
      </w:r>
      <w:r w:rsidRPr="00AC27B5">
        <w:fldChar w:fldCharType="begin" w:fldLock="1"/>
      </w:r>
      <w:r w:rsidRPr="00AC27B5">
        <w:instrText>ADDIN CSL_CITATION {"citationItems":[{"id":"ITEM-1","itemData":{"DOI":"https://doi.org/10.1016/j.ecolecon.2017.03.013","ISSN":"0921-8009","abstract":"Progressively adjusting climate policies will entail adjustment costs for society. This paper develops a conceptual model and numerical example that illustrate the risk associated with exposure to the high costs of complying with future emissions controls and how this risks trades off against that from potentially premature investment into abatement. We then highlight the potentially unique role of tropical forest protection in helping to manage these risks by providing a cost-effective “buffer” of near term emissions reductions at a globally significant scale. This buffer would provide insurance against the risk of suddenly tightening targets, as well as providing other critical environmental benefits. We further examine how a version of a private finance instrument in the form of long-dated ‘call’ options on verified reductions in emissions from deforestation and forest degradation (i.e. REDD+) can help to operationalize this risk-hedging buffer creation. Options on REDD+ could aid both regulated businesses and tropical nations to manage their respective risks. REDD+ options could deliver sufficient abatement to significantly hedge exposure of regulated entities to potential corrections in climate policy while channeling financial resources to defer deforestation even as climate policies continue to evolve.","author":[{"dropping-particle":"","family":"Golub","given":"Alexander","non-dropping-particle":"","parse-names":false,"suffix":""},{"dropping-particle":"","family":"Lubowski","given":"Ruben","non-dropping-particle":"","parse-names":false,"suffix":""},{"dropping-particle":"","family":"Piris-Cabezas","given":"Pedro","non-dropping-particle":"","parse-names":false,"suffix":""}],"container-title":"Ecological Economics","id":"ITEM-1","issued":{"date-parts":[["2017"]]},"page":"90-98","title":"Balancing Risks from Climate Policy Uncertainties: The Role of Options and Reduced Emissions from Deforestation and Forest Degradation","type":"article-journal","volume":"138"},"uris":["http://www.mendeley.com/documents/?uuid=fdff5869-5f8c-4fae-a89a-d3e923300ba4"]}],"mendeley":{"formattedCitation":"(Golub et al., 2017)","manualFormatting":"Golub et al. 2017)","plainTextFormattedCitation":"(Golub et al., 2017)","previouslyFormattedCitation":"(Golub et al., 2017)"},"properties":{"noteIndex":0},"schema":"https://github.com/citation-style-language/schema/raw/master/csl-citation.json"}</w:instrText>
      </w:r>
      <w:r w:rsidRPr="00AC27B5">
        <w:fldChar w:fldCharType="separate"/>
      </w:r>
      <w:r w:rsidRPr="00AC27B5">
        <w:rPr>
          <w:noProof/>
        </w:rPr>
        <w:t>Golub et al. 2017)</w:t>
      </w:r>
      <w:r w:rsidRPr="00AC27B5">
        <w:fldChar w:fldCharType="end"/>
      </w:r>
      <w:r w:rsidRPr="00AC27B5">
        <w:t>.  Net emissions from tropical deforestation and reforestation over 2020-2050 are shown in Table 1 above</w:t>
      </w:r>
    </w:p>
    <w:p w14:paraId="04F6C21A" w14:textId="2CD890E1" w:rsidR="00566459" w:rsidRPr="00B232D6" w:rsidRDefault="00953D16" w:rsidP="00CB5264">
      <w:pPr>
        <w:pStyle w:val="berschrift1"/>
        <w:rPr>
          <w:sz w:val="28"/>
        </w:rPr>
      </w:pPr>
      <w:r w:rsidRPr="00B232D6">
        <w:rPr>
          <w:sz w:val="28"/>
        </w:rPr>
        <w:t>Marginal abatement cost curves</w:t>
      </w:r>
      <w:r w:rsidR="00CB5264">
        <w:rPr>
          <w:sz w:val="28"/>
        </w:rPr>
        <w:t xml:space="preserve"> for REDD+</w:t>
      </w:r>
    </w:p>
    <w:p w14:paraId="3B2DE0B4" w14:textId="2B696FF9" w:rsidR="00760EDE" w:rsidRDefault="00760EDE">
      <w:r>
        <w:t>Using</w:t>
      </w:r>
      <w:r w:rsidR="00611421">
        <w:t xml:space="preserve"> </w:t>
      </w:r>
      <w:r>
        <w:t xml:space="preserve">recent </w:t>
      </w:r>
      <w:r w:rsidR="00F801AF">
        <w:t xml:space="preserve">econometric </w:t>
      </w:r>
      <w:r>
        <w:t xml:space="preserve">estimates of </w:t>
      </w:r>
      <w:r w:rsidR="00F801AF">
        <w:t>costs</w:t>
      </w:r>
      <w:r>
        <w:t xml:space="preserve"> </w:t>
      </w:r>
      <w:r w:rsidR="00F801AF">
        <w:t xml:space="preserve">of avoided deforestation </w:t>
      </w:r>
      <w:r>
        <w:t xml:space="preserve">and carbon sequestration from reforestation </w:t>
      </w:r>
      <w:r w:rsidR="00F801AF">
        <w:t xml:space="preserve">in tropical countries from Busch et al. (2019), </w:t>
      </w:r>
      <w:r>
        <w:t xml:space="preserve">we calculated </w:t>
      </w:r>
      <w:r w:rsidR="00611421">
        <w:t>Business as Usual (</w:t>
      </w:r>
      <w:r>
        <w:t>BAU</w:t>
      </w:r>
      <w:r w:rsidR="00611421">
        <w:t>)</w:t>
      </w:r>
      <w:r>
        <w:t xml:space="preserve"> emissions and </w:t>
      </w:r>
      <w:r w:rsidR="00611421">
        <w:t xml:space="preserve">the corresponding potential </w:t>
      </w:r>
      <w:r>
        <w:t>abatement supply for the period 20</w:t>
      </w:r>
      <w:r w:rsidR="002F10E2">
        <w:t>2</w:t>
      </w:r>
      <w:r>
        <w:t>0-2050</w:t>
      </w:r>
      <w:r w:rsidR="004F6A60">
        <w:t xml:space="preserve"> a</w:t>
      </w:r>
      <w:r w:rsidR="009D2E75">
        <w:t>s shown in Table 1</w:t>
      </w:r>
      <w:r w:rsidR="004F6A60">
        <w:t>.</w:t>
      </w:r>
      <w:r w:rsidR="009D2E75">
        <w:t xml:space="preserve"> </w:t>
      </w:r>
    </w:p>
    <w:p w14:paraId="4049971B" w14:textId="417C977E" w:rsidR="004F6A60" w:rsidRPr="00612EA2" w:rsidRDefault="004F6A60" w:rsidP="004F6A60">
      <w:pPr>
        <w:rPr>
          <w:b/>
          <w:bCs/>
        </w:rPr>
      </w:pPr>
      <w:bookmarkStart w:id="0" w:name="_Hlk55994922"/>
      <w:r w:rsidRPr="00612EA2">
        <w:rPr>
          <w:b/>
          <w:bCs/>
        </w:rPr>
        <w:t xml:space="preserve">Table 1: </w:t>
      </w:r>
      <w:r w:rsidR="00187AC8">
        <w:rPr>
          <w:b/>
          <w:bCs/>
        </w:rPr>
        <w:t xml:space="preserve">Tropical </w:t>
      </w:r>
      <w:r w:rsidRPr="00612EA2">
        <w:rPr>
          <w:b/>
          <w:bCs/>
        </w:rPr>
        <w:t>Deforestation</w:t>
      </w:r>
      <w:r>
        <w:rPr>
          <w:b/>
          <w:bCs/>
        </w:rPr>
        <w:t xml:space="preserve">, Reforestation and Net Emissions </w:t>
      </w:r>
      <w:r w:rsidRPr="00612EA2">
        <w:rPr>
          <w:b/>
          <w:bCs/>
        </w:rPr>
        <w:t>(Gt CO</w:t>
      </w:r>
      <w:r w:rsidRPr="00612EA2">
        <w:rPr>
          <w:b/>
          <w:bCs/>
          <w:vertAlign w:val="subscript"/>
        </w:rPr>
        <w:t>2</w:t>
      </w:r>
      <w:r w:rsidRPr="00612EA2">
        <w:rPr>
          <w:b/>
          <w:bCs/>
        </w:rPr>
        <w:t>), 2020-2050</w:t>
      </w:r>
    </w:p>
    <w:tbl>
      <w:tblPr>
        <w:tblStyle w:val="Tabellenraster"/>
        <w:tblW w:w="0" w:type="auto"/>
        <w:tblLook w:val="04A0" w:firstRow="1" w:lastRow="0" w:firstColumn="1" w:lastColumn="0" w:noHBand="0" w:noVBand="1"/>
      </w:tblPr>
      <w:tblGrid>
        <w:gridCol w:w="2309"/>
        <w:gridCol w:w="2419"/>
        <w:gridCol w:w="2412"/>
        <w:gridCol w:w="1922"/>
      </w:tblGrid>
      <w:tr w:rsidR="004F6A60" w14:paraId="460A5044" w14:textId="77777777" w:rsidTr="00F96046">
        <w:tc>
          <w:tcPr>
            <w:tcW w:w="2309" w:type="dxa"/>
          </w:tcPr>
          <w:p w14:paraId="6236C657" w14:textId="77777777" w:rsidR="004F6A60" w:rsidRDefault="004F6A60" w:rsidP="00F96046">
            <w:pPr>
              <w:spacing w:before="80" w:after="80"/>
            </w:pPr>
          </w:p>
        </w:tc>
        <w:tc>
          <w:tcPr>
            <w:tcW w:w="2419" w:type="dxa"/>
          </w:tcPr>
          <w:p w14:paraId="6A63E825" w14:textId="63CC939D" w:rsidR="004F6A60" w:rsidRPr="00D912F5" w:rsidRDefault="004F6A60" w:rsidP="00F96046">
            <w:pPr>
              <w:spacing w:before="80" w:after="80"/>
              <w:rPr>
                <w:b/>
              </w:rPr>
            </w:pPr>
            <w:r w:rsidRPr="00612EA2">
              <w:rPr>
                <w:b/>
                <w:bCs/>
              </w:rPr>
              <w:t>Deforestation</w:t>
            </w:r>
          </w:p>
        </w:tc>
        <w:tc>
          <w:tcPr>
            <w:tcW w:w="2412" w:type="dxa"/>
          </w:tcPr>
          <w:p w14:paraId="15CDCCE7" w14:textId="3A47DBE1" w:rsidR="004F6A60" w:rsidRPr="00D912F5" w:rsidRDefault="004F6A60" w:rsidP="00F96046">
            <w:pPr>
              <w:spacing w:before="80" w:after="80"/>
              <w:rPr>
                <w:b/>
              </w:rPr>
            </w:pPr>
            <w:r w:rsidRPr="009602CF">
              <w:rPr>
                <w:b/>
                <w:bCs/>
              </w:rPr>
              <w:t>Reforestation</w:t>
            </w:r>
          </w:p>
        </w:tc>
        <w:tc>
          <w:tcPr>
            <w:tcW w:w="1922" w:type="dxa"/>
          </w:tcPr>
          <w:p w14:paraId="133A7E41" w14:textId="67BE85D2" w:rsidR="004F6A60" w:rsidRPr="009602CF" w:rsidRDefault="004F6A60" w:rsidP="00F96046">
            <w:pPr>
              <w:spacing w:before="80" w:after="80"/>
              <w:rPr>
                <w:b/>
                <w:bCs/>
              </w:rPr>
            </w:pPr>
            <w:r>
              <w:rPr>
                <w:b/>
                <w:bCs/>
              </w:rPr>
              <w:t>Net emissions</w:t>
            </w:r>
            <w:r w:rsidR="00187AC8">
              <w:rPr>
                <w:b/>
                <w:bCs/>
              </w:rPr>
              <w:t xml:space="preserve"> from deforestation and reforestation</w:t>
            </w:r>
          </w:p>
        </w:tc>
      </w:tr>
      <w:tr w:rsidR="004F6A60" w14:paraId="041FA9F1" w14:textId="77777777" w:rsidTr="00F96046">
        <w:tc>
          <w:tcPr>
            <w:tcW w:w="2309" w:type="dxa"/>
          </w:tcPr>
          <w:p w14:paraId="14B61394" w14:textId="77777777" w:rsidR="004F6A60" w:rsidRDefault="004F6A60" w:rsidP="00F96046">
            <w:pPr>
              <w:spacing w:before="80" w:after="80"/>
            </w:pPr>
            <w:r>
              <w:t>BAU (emissions)</w:t>
            </w:r>
          </w:p>
        </w:tc>
        <w:tc>
          <w:tcPr>
            <w:tcW w:w="2419" w:type="dxa"/>
          </w:tcPr>
          <w:p w14:paraId="2819C432" w14:textId="77777777" w:rsidR="004F6A60" w:rsidRDefault="004F6A60" w:rsidP="00F96046">
            <w:pPr>
              <w:spacing w:before="80" w:after="80"/>
            </w:pPr>
            <w:r>
              <w:t>257</w:t>
            </w:r>
          </w:p>
        </w:tc>
        <w:tc>
          <w:tcPr>
            <w:tcW w:w="2412" w:type="dxa"/>
          </w:tcPr>
          <w:p w14:paraId="7F888B2D" w14:textId="77777777" w:rsidR="004F6A60" w:rsidRDefault="004F6A60" w:rsidP="00F96046">
            <w:pPr>
              <w:spacing w:before="80" w:after="80"/>
            </w:pPr>
            <w:r>
              <w:t>-102</w:t>
            </w:r>
          </w:p>
        </w:tc>
        <w:tc>
          <w:tcPr>
            <w:tcW w:w="1922" w:type="dxa"/>
          </w:tcPr>
          <w:p w14:paraId="34503575" w14:textId="77777777" w:rsidR="004F6A60" w:rsidRDefault="004F6A60" w:rsidP="00F96046">
            <w:pPr>
              <w:spacing w:before="80" w:after="80"/>
            </w:pPr>
            <w:r w:rsidRPr="00965CD4">
              <w:t>155</w:t>
            </w:r>
          </w:p>
        </w:tc>
      </w:tr>
      <w:tr w:rsidR="004F6A60" w14:paraId="2B91CD3E" w14:textId="77777777" w:rsidTr="00F96046">
        <w:tc>
          <w:tcPr>
            <w:tcW w:w="2309" w:type="dxa"/>
          </w:tcPr>
          <w:p w14:paraId="4DC72D42" w14:textId="77777777" w:rsidR="004F6A60" w:rsidRPr="00B232D6" w:rsidRDefault="004F6A60" w:rsidP="00F96046">
            <w:pPr>
              <w:spacing w:before="80" w:after="80"/>
            </w:pPr>
            <w:r w:rsidRPr="00B232D6">
              <w:t>$50/tCO</w:t>
            </w:r>
            <w:r w:rsidRPr="004F1C30">
              <w:rPr>
                <w:vertAlign w:val="subscript"/>
              </w:rPr>
              <w:t>2</w:t>
            </w:r>
            <w:r w:rsidRPr="00B232D6">
              <w:t xml:space="preserve"> (</w:t>
            </w:r>
            <w:r>
              <w:t>reduced</w:t>
            </w:r>
            <w:r w:rsidRPr="00B232D6">
              <w:t xml:space="preserve"> emissions)</w:t>
            </w:r>
          </w:p>
        </w:tc>
        <w:tc>
          <w:tcPr>
            <w:tcW w:w="2419" w:type="dxa"/>
          </w:tcPr>
          <w:p w14:paraId="6D202B58" w14:textId="77777777" w:rsidR="004F6A60" w:rsidRDefault="004F6A60" w:rsidP="00F96046">
            <w:pPr>
              <w:spacing w:before="80" w:after="80"/>
            </w:pPr>
            <w:r>
              <w:t>-108</w:t>
            </w:r>
          </w:p>
        </w:tc>
        <w:tc>
          <w:tcPr>
            <w:tcW w:w="2412" w:type="dxa"/>
          </w:tcPr>
          <w:p w14:paraId="062BBE2B" w14:textId="77777777" w:rsidR="004F6A60" w:rsidRDefault="004F6A60" w:rsidP="00F96046">
            <w:pPr>
              <w:spacing w:before="80" w:after="80"/>
            </w:pPr>
            <w:r>
              <w:t>-15</w:t>
            </w:r>
          </w:p>
        </w:tc>
        <w:tc>
          <w:tcPr>
            <w:tcW w:w="1922" w:type="dxa"/>
          </w:tcPr>
          <w:p w14:paraId="572B1A03" w14:textId="77777777" w:rsidR="004F6A60" w:rsidRDefault="004F6A60" w:rsidP="00F96046">
            <w:pPr>
              <w:spacing w:before="80" w:after="80"/>
            </w:pPr>
            <w:r w:rsidRPr="00965CD4">
              <w:t>32</w:t>
            </w:r>
          </w:p>
        </w:tc>
      </w:tr>
      <w:tr w:rsidR="004F6A60" w14:paraId="73906A78" w14:textId="77777777" w:rsidTr="00F96046">
        <w:tc>
          <w:tcPr>
            <w:tcW w:w="2309" w:type="dxa"/>
          </w:tcPr>
          <w:p w14:paraId="137B896F" w14:textId="7990DFE1" w:rsidR="004F6A60" w:rsidRDefault="004F6A60" w:rsidP="00F96046">
            <w:pPr>
              <w:spacing w:before="80" w:after="80"/>
            </w:pPr>
            <w:r>
              <w:t>$100/tCO</w:t>
            </w:r>
            <w:r w:rsidRPr="004F1C30">
              <w:rPr>
                <w:vertAlign w:val="subscript"/>
              </w:rPr>
              <w:t>2</w:t>
            </w:r>
            <w:r>
              <w:t xml:space="preserve"> (reduced emissions)</w:t>
            </w:r>
          </w:p>
        </w:tc>
        <w:tc>
          <w:tcPr>
            <w:tcW w:w="2419" w:type="dxa"/>
          </w:tcPr>
          <w:p w14:paraId="05542CDD" w14:textId="77777777" w:rsidR="004F6A60" w:rsidRDefault="004F6A60" w:rsidP="00F96046">
            <w:pPr>
              <w:spacing w:before="80" w:after="80"/>
            </w:pPr>
            <w:r>
              <w:t>-160</w:t>
            </w:r>
          </w:p>
        </w:tc>
        <w:tc>
          <w:tcPr>
            <w:tcW w:w="2412" w:type="dxa"/>
          </w:tcPr>
          <w:p w14:paraId="0949BCFB" w14:textId="77777777" w:rsidR="004F6A60" w:rsidRDefault="004F6A60" w:rsidP="00F96046">
            <w:pPr>
              <w:spacing w:before="80" w:after="80"/>
            </w:pPr>
            <w:r>
              <w:t>-36</w:t>
            </w:r>
          </w:p>
        </w:tc>
        <w:tc>
          <w:tcPr>
            <w:tcW w:w="1922" w:type="dxa"/>
          </w:tcPr>
          <w:p w14:paraId="6CE3A07A" w14:textId="77777777" w:rsidR="004F6A60" w:rsidRDefault="004F6A60" w:rsidP="00F96046">
            <w:pPr>
              <w:spacing w:before="80" w:after="80"/>
            </w:pPr>
            <w:r w:rsidRPr="00965CD4">
              <w:t>-41</w:t>
            </w:r>
          </w:p>
        </w:tc>
      </w:tr>
    </w:tbl>
    <w:p w14:paraId="06516B11" w14:textId="77777777" w:rsidR="004F6A60" w:rsidRPr="00612EA2" w:rsidRDefault="004F6A60" w:rsidP="004F6A60">
      <w:r w:rsidRPr="00612EA2">
        <w:rPr>
          <w:bCs/>
          <w:iCs/>
          <w:sz w:val="20"/>
          <w:szCs w:val="20"/>
        </w:rPr>
        <w:t xml:space="preserve">Note: Emissions reductions (abatement) denoted by a negative sign. Net emissions are the sum of BAU emissions and emissions reductions. </w:t>
      </w:r>
    </w:p>
    <w:bookmarkEnd w:id="0"/>
    <w:p w14:paraId="3B80D777" w14:textId="45804766" w:rsidR="00D03689" w:rsidRDefault="001C27D1" w:rsidP="00D03689">
      <w:r>
        <w:fldChar w:fldCharType="begin" w:fldLock="1"/>
      </w:r>
      <w:r w:rsidR="00030E61">
        <w:instrText>ADDIN CSL_CITATION {"citationItems":[{"id":"ITEM-1","itemData":{"DOI":"10.1038/s41558-019-0485-x","ISSN":"1758-6798","abstract":"Achieving the 1.5–2.0 °C temperature targets of the Paris climate agreement requires not only reducing emissions of greenhouse gases (GHGs) but also increasing removals of GHGs from the atmosphere1,2. Reforestation is a potentially large-scale method for removing CO2 and storing it in the biomass and soils of ecosystems3–8, yet its cost per tonne remains uncertain6,9. Here, we produce spatially disaggregated marginal abatement cost curves for tropical reforestation by simulating the effects of payments for increased CO2 removals on land-cover change in 90 countries. We estimate that removals from tropical reforestation between 2020–2050 could be increased by 5.7 GtCO2 (5.6%) at a carbon price of US $20 CO2–1, or by 15.1 GtCO2 (14.8%) at US$50 tCO2–1. Ten countries comprise 55% of potential low-cost abatement from tropical reforestation. Avoided deforestation offers 7.2–9.6 times as much potential low-cost abatement as reforestation overall (55.1 GtCO2 at US$20 tCO2–1 or 108.3 GtCO2 at US$50 tCO2–1), but reforestation offers more potential low-cost abatement than avoided deforestation at US$20 tCO2–1 in 21 countries, 17 of which are in Africa.","author":[{"dropping-particle":"","family":"Busch","given":"Jonah","non-dropping-particle":"","parse-names":false,"suffix":""},{"dropping-particle":"","family":"Engelmann","given":"Jens","non-dropping-particle":"","parse-names":false,"suffix":""},{"dropping-particle":"","family":"Cook-Patton","given":"Susan C","non-dropping-particle":"","parse-names":false,"suffix":""},{"dropping-particle":"","family":"Griscom","given":"Bronson W","non-dropping-particle":"","parse-names":false,"suffix":""},{"dropping-particle":"","family":"Kroeger","given":"Timm","non-dropping-particle":"","parse-names":false,"suffix":""},{"dropping-particle":"","family":"Possingham","given":"Hugh","non-dropping-particle":"","parse-names":false,"suffix":""},{"dropping-particle":"","family":"Shyamsundar","given":"Priya","non-dropping-particle":"","parse-names":false,"suffix":""}],"container-title":"Nature Climate Change","id":"ITEM-1","issue":"6","issued":{"date-parts":[["2019"]]},"page":"463-466","title":"Potential for low-cost carbon dioxide removal through tropical reforestation","type":"article-journal","volume":"9"},"uris":["http://www.mendeley.com/documents/?uuid=c22d82f4-38ac-4f01-9686-22506e4a6797"]}],"mendeley":{"formattedCitation":"(Busch et al., 2019)","manualFormatting":"Busch et al. (2019)","plainTextFormattedCitation":"(Busch et al., 2019)","previouslyFormattedCitation":"(Busch et al., 2019)"},"properties":{"noteIndex":0},"schema":"https://github.com/citation-style-language/schema/raw/master/csl-citation.json"}</w:instrText>
      </w:r>
      <w:r>
        <w:fldChar w:fldCharType="separate"/>
      </w:r>
      <w:r w:rsidRPr="001C27D1">
        <w:rPr>
          <w:noProof/>
        </w:rPr>
        <w:t>Busch et al. (2019)</w:t>
      </w:r>
      <w:r>
        <w:fldChar w:fldCharType="end"/>
      </w:r>
      <w:r w:rsidR="00760EDE" w:rsidRPr="00760EDE">
        <w:t xml:space="preserve"> projected 387.8 </w:t>
      </w:r>
      <w:r w:rsidR="00611421">
        <w:t>million hectares (</w:t>
      </w:r>
      <w:proofErr w:type="spellStart"/>
      <w:r w:rsidR="00760EDE" w:rsidRPr="00760EDE">
        <w:t>Mha</w:t>
      </w:r>
      <w:proofErr w:type="spellEnd"/>
      <w:r w:rsidR="00611421">
        <w:t>)</w:t>
      </w:r>
      <w:r w:rsidR="00760EDE" w:rsidRPr="00760EDE">
        <w:t xml:space="preserve"> of reforestation and 541.5 </w:t>
      </w:r>
      <w:proofErr w:type="spellStart"/>
      <w:r w:rsidR="00760EDE" w:rsidRPr="00760EDE">
        <w:t>Mha</w:t>
      </w:r>
      <w:proofErr w:type="spellEnd"/>
      <w:r w:rsidR="00760EDE" w:rsidRPr="00760EDE">
        <w:t xml:space="preserve"> of deforestation from 2020 to 2050 under a business-as-usual </w:t>
      </w:r>
      <w:r w:rsidR="00F801AF">
        <w:t xml:space="preserve">(BAU) </w:t>
      </w:r>
      <w:r w:rsidR="00760EDE" w:rsidRPr="00760EDE">
        <w:t xml:space="preserve">scenario. These projected land-cover changes correspond to 102.5 GtCO2 </w:t>
      </w:r>
      <w:r w:rsidR="00611421">
        <w:t xml:space="preserve">of </w:t>
      </w:r>
      <w:r w:rsidR="00760EDE" w:rsidRPr="00760EDE">
        <w:t>removals from reforestation, and 256.9 GtCO2 emissions from deforestation from 2020 to 2050 under a BAU scenario.</w:t>
      </w:r>
      <w:r w:rsidR="00113E74">
        <w:t xml:space="preserve">  </w:t>
      </w:r>
      <w:r w:rsidR="00760EDE">
        <w:t xml:space="preserve">Using </w:t>
      </w:r>
      <w:r w:rsidR="00611421">
        <w:t xml:space="preserve">the </w:t>
      </w:r>
      <w:r w:rsidR="00760EDE">
        <w:t xml:space="preserve">supplementary materials </w:t>
      </w:r>
      <w:r w:rsidR="00611421">
        <w:t xml:space="preserve">published </w:t>
      </w:r>
      <w:r w:rsidR="00611421">
        <w:lastRenderedPageBreak/>
        <w:t>by</w:t>
      </w:r>
      <w:r w:rsidR="00760EDE">
        <w:t xml:space="preserve"> </w:t>
      </w:r>
      <w:r w:rsidRPr="001C27D1">
        <w:rPr>
          <w:noProof/>
        </w:rPr>
        <w:t>Busch et al. (2019)</w:t>
      </w:r>
      <w:r w:rsidR="00611421">
        <w:t xml:space="preserve">, </w:t>
      </w:r>
      <w:r w:rsidR="00760EDE">
        <w:t>we reconstructed supply curves for the year</w:t>
      </w:r>
      <w:r w:rsidR="00611421">
        <w:t>s</w:t>
      </w:r>
      <w:r w:rsidR="00760EDE">
        <w:t xml:space="preserve"> 2025, 2035 and 2045 (th</w:t>
      </w:r>
      <w:r w:rsidR="00611421">
        <w:t>ese</w:t>
      </w:r>
      <w:r w:rsidR="00760EDE">
        <w:t xml:space="preserve"> represent a </w:t>
      </w:r>
      <w:r w:rsidR="00611421">
        <w:t xml:space="preserve">median </w:t>
      </w:r>
      <w:r w:rsidR="00B22D81">
        <w:t>estimate of an annual REDD</w:t>
      </w:r>
      <w:r w:rsidR="00760EDE">
        <w:t xml:space="preserve">+ supply at given price during corresponding decade (see </w:t>
      </w:r>
      <w:r w:rsidR="00611421">
        <w:t>F</w:t>
      </w:r>
      <w:r w:rsidR="00760EDE">
        <w:t>igure 1)</w:t>
      </w:r>
      <w:r w:rsidR="00113E74">
        <w:t>.</w:t>
      </w:r>
      <w:r w:rsidR="00D03689" w:rsidRPr="00D03689">
        <w:t xml:space="preserve"> </w:t>
      </w:r>
      <w:r w:rsidR="00D03689">
        <w:t>For a conservative estimate, we selected $100/tCO</w:t>
      </w:r>
      <w:r w:rsidR="00D03689" w:rsidRPr="00D912F5">
        <w:rPr>
          <w:vertAlign w:val="subscript"/>
        </w:rPr>
        <w:t>2</w:t>
      </w:r>
      <w:r w:rsidR="00D03689">
        <w:t xml:space="preserve"> as a cutoff for REDD+ supply.</w:t>
      </w:r>
    </w:p>
    <w:p w14:paraId="57C41304" w14:textId="220C36DF" w:rsidR="0010094E" w:rsidRDefault="0010094E" w:rsidP="0010094E">
      <w:pPr>
        <w:rPr>
          <w:b/>
          <w:bCs/>
        </w:rPr>
      </w:pPr>
      <w:r w:rsidRPr="00C7226A">
        <w:rPr>
          <w:b/>
          <w:bCs/>
        </w:rPr>
        <w:t>Figure 1: Marginal Abatement Cost Curves</w:t>
      </w:r>
      <w:r>
        <w:rPr>
          <w:b/>
          <w:bCs/>
        </w:rPr>
        <w:t xml:space="preserve"> (MACCs)</w:t>
      </w:r>
      <w:r w:rsidRPr="00C7226A">
        <w:rPr>
          <w:b/>
          <w:bCs/>
        </w:rPr>
        <w:t xml:space="preserve"> </w:t>
      </w:r>
      <w:r>
        <w:rPr>
          <w:b/>
          <w:bCs/>
        </w:rPr>
        <w:t>for Reduced Tropical Deforestation</w:t>
      </w:r>
    </w:p>
    <w:p w14:paraId="14762451" w14:textId="3D55535A" w:rsidR="006954A5" w:rsidRPr="00C7226A" w:rsidRDefault="006954A5" w:rsidP="0010094E">
      <w:pPr>
        <w:rPr>
          <w:b/>
          <w:bCs/>
        </w:rPr>
      </w:pPr>
      <w:r>
        <w:rPr>
          <w:noProof/>
        </w:rPr>
        <w:drawing>
          <wp:inline distT="0" distB="0" distL="0" distR="0" wp14:anchorId="0D6B7525" wp14:editId="4CA25814">
            <wp:extent cx="3810000" cy="2343150"/>
            <wp:effectExtent l="0" t="0" r="0" b="0"/>
            <wp:docPr id="1" name="Chart 1">
              <a:extLst xmlns:a="http://schemas.openxmlformats.org/drawingml/2006/main">
                <a:ext uri="{FF2B5EF4-FFF2-40B4-BE49-F238E27FC236}">
                  <a16:creationId xmlns:a16="http://schemas.microsoft.com/office/drawing/2014/main" id="{768A7165-9979-4BE9-9E97-BF1E8EDE26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939A95" w14:textId="1E1F40C8" w:rsidR="0010094E" w:rsidRPr="000508FC" w:rsidRDefault="0010094E" w:rsidP="0010094E">
      <w:pPr>
        <w:rPr>
          <w:sz w:val="20"/>
        </w:rPr>
      </w:pPr>
      <w:r w:rsidRPr="00944116">
        <w:rPr>
          <w:noProof/>
        </w:rPr>
        <w:t xml:space="preserve"> </w:t>
      </w:r>
      <w:r w:rsidRPr="000508FC">
        <w:rPr>
          <w:sz w:val="20"/>
        </w:rPr>
        <w:t xml:space="preserve">Source: Derived from </w:t>
      </w:r>
      <w:r w:rsidR="00D912F5" w:rsidRPr="000508FC">
        <w:rPr>
          <w:sz w:val="20"/>
        </w:rPr>
        <w:fldChar w:fldCharType="begin" w:fldLock="1"/>
      </w:r>
      <w:r w:rsidR="00030E61">
        <w:rPr>
          <w:sz w:val="20"/>
        </w:rPr>
        <w:instrText>ADDIN CSL_CITATION {"citationItems":[{"id":"ITEM-1","itemData":{"DOI":"10.1038/s41558-019-0485-x","ISSN":"1758-6798","abstract":"Achieving the 1.5–2.0 °C temperature targets of the Paris climate agreement requires not only reducing emissions of greenhouse gases (GHGs) but also increasing removals of GHGs from the atmosphere1,2. Reforestation is a potentially large-scale method for removing CO2 and storing it in the biomass and soils of ecosystems3–8, yet its cost per tonne remains uncertain6,9. Here, we produce spatially disaggregated marginal abatement cost curves for tropical reforestation by simulating the effects of payments for increased CO2 removals on land-cover change in 90 countries. We estimate that removals from tropical reforestation between 2020–2050 could be increased by 5.7 GtCO2 (5.6%) at a carbon price of US $20 CO2–1, or by 15.1 GtCO2 (14.8%) at US$50 tCO2–1. Ten countries comprise 55% of potential low-cost abatement from tropical reforestation. Avoided deforestation offers 7.2–9.6 times as much potential low-cost abatement as reforestation overall (55.1 GtCO2 at US$20 tCO2–1 or 108.3 GtCO2 at US$50 tCO2–1), but reforestation offers more potential low-cost abatement than avoided deforestation at US$20 tCO2–1 in 21 countries, 17 of which are in Africa.","author":[{"dropping-particle":"","family":"Busch","given":"Jonah","non-dropping-particle":"","parse-names":false,"suffix":""},{"dropping-particle":"","family":"Engelmann","given":"Jens","non-dropping-particle":"","parse-names":false,"suffix":""},{"dropping-particle":"","family":"Cook-Patton","given":"Susan C","non-dropping-particle":"","parse-names":false,"suffix":""},{"dropping-particle":"","family":"Griscom","given":"Bronson W","non-dropping-particle":"","parse-names":false,"suffix":""},{"dropping-particle":"","family":"Kroeger","given":"Timm","non-dropping-particle":"","parse-names":false,"suffix":""},{"dropping-particle":"","family":"Possingham","given":"Hugh","non-dropping-particle":"","parse-names":false,"suffix":""},{"dropping-particle":"","family":"Shyamsundar","given":"Priya","non-dropping-particle":"","parse-names":false,"suffix":""}],"container-title":"Nature Climate Change","id":"ITEM-1","issue":"6","issued":{"date-parts":[["2019"]]},"page":"463-466","title":"Potential for low-cost carbon dioxide removal through tropical reforestation","type":"article-journal","volume":"9"},"uris":["http://www.mendeley.com/documents/?uuid=c22d82f4-38ac-4f01-9686-22506e4a6797"]}],"mendeley":{"formattedCitation":"(Busch et al., 2019)","manualFormatting":"Busch et al. (2019)","plainTextFormattedCitation":"(Busch et al., 2019)","previouslyFormattedCitation":"(Busch et al., 2019)"},"properties":{"noteIndex":0},"schema":"https://github.com/citation-style-language/schema/raw/master/csl-citation.json"}</w:instrText>
      </w:r>
      <w:r w:rsidR="00D912F5" w:rsidRPr="000508FC">
        <w:rPr>
          <w:sz w:val="20"/>
        </w:rPr>
        <w:fldChar w:fldCharType="separate"/>
      </w:r>
      <w:r w:rsidR="00D912F5" w:rsidRPr="000508FC">
        <w:rPr>
          <w:noProof/>
          <w:sz w:val="20"/>
        </w:rPr>
        <w:t>Busch et al. (2019)</w:t>
      </w:r>
      <w:r w:rsidR="00D912F5" w:rsidRPr="000508FC">
        <w:rPr>
          <w:sz w:val="20"/>
        </w:rPr>
        <w:fldChar w:fldCharType="end"/>
      </w:r>
      <w:r w:rsidR="00113E74" w:rsidRPr="000508FC">
        <w:rPr>
          <w:sz w:val="20"/>
        </w:rPr>
        <w:t>.</w:t>
      </w:r>
    </w:p>
    <w:p w14:paraId="4AC2169B" w14:textId="213A1156" w:rsidR="00D03689" w:rsidRPr="00B22D81" w:rsidRDefault="00C33DA2" w:rsidP="00D03689">
      <w:r>
        <w:t xml:space="preserve">According to </w:t>
      </w:r>
      <w:r w:rsidR="001C27D1" w:rsidRPr="001C27D1">
        <w:rPr>
          <w:noProof/>
        </w:rPr>
        <w:t>Busch et al. (2019)</w:t>
      </w:r>
      <w:r>
        <w:t>, r</w:t>
      </w:r>
      <w:r w:rsidR="00B22D81" w:rsidRPr="00B22D81">
        <w:t>emovals from tropical reforestation between 2020</w:t>
      </w:r>
      <w:r w:rsidR="00113E74">
        <w:t xml:space="preserve"> and </w:t>
      </w:r>
      <w:r w:rsidR="00B22D81" w:rsidRPr="00B22D81">
        <w:t>2050 could be increased by 5.7 GtCO</w:t>
      </w:r>
      <w:r w:rsidR="00B22D81" w:rsidRPr="00D912F5">
        <w:rPr>
          <w:vertAlign w:val="subscript"/>
        </w:rPr>
        <w:t>2</w:t>
      </w:r>
      <w:r w:rsidR="00B22D81" w:rsidRPr="00B22D81">
        <w:t xml:space="preserve"> (5.6%) at a carbon price of US$20</w:t>
      </w:r>
      <w:r w:rsidR="004F6A60">
        <w:t>/t</w:t>
      </w:r>
      <w:r w:rsidR="00B22D81" w:rsidRPr="00B22D81">
        <w:t>CO</w:t>
      </w:r>
      <w:r w:rsidR="00B22D81" w:rsidRPr="00D912F5">
        <w:rPr>
          <w:vertAlign w:val="subscript"/>
        </w:rPr>
        <w:t>2</w:t>
      </w:r>
      <w:r w:rsidR="00B22D81" w:rsidRPr="00B22D81">
        <w:t xml:space="preserve"> </w:t>
      </w:r>
      <w:r w:rsidR="00030E61">
        <w:t>and progressively more for increasing prices</w:t>
      </w:r>
      <w:r w:rsidR="00F04CEA">
        <w:t>.</w:t>
      </w:r>
      <w:r w:rsidR="007B1596">
        <w:t xml:space="preserve">  </w:t>
      </w:r>
      <w:r w:rsidR="00113E74">
        <w:t>B</w:t>
      </w:r>
      <w:r w:rsidR="00F04CEA">
        <w:t xml:space="preserve">ased on the </w:t>
      </w:r>
      <w:r w:rsidR="00030E61">
        <w:t xml:space="preserve">Supplementary Materials of </w:t>
      </w:r>
      <w:r w:rsidR="00030E61">
        <w:fldChar w:fldCharType="begin" w:fldLock="1"/>
      </w:r>
      <w:r w:rsidR="00C97D81">
        <w:instrText>ADDIN CSL_CITATION {"citationItems":[{"id":"ITEM-1","itemData":{"DOI":"10.1038/s41558-019-0485-x","ISSN":"1758-6798","abstract":"Achieving the 1.5–2.0 °C temperature targets of the Paris climate agreement requires not only reducing emissions of greenhouse gases (GHGs) but also increasing removals of GHGs from the atmosphere1,2. Reforestation is a potentially large-scale method for removing CO2 and storing it in the biomass and soils of ecosystems3–8, yet its cost per tonne remains uncertain6,9. Here, we produce spatially disaggregated marginal abatement cost curves for tropical reforestation by simulating the effects of payments for increased CO2 removals on land-cover change in 90 countries. We estimate that removals from tropical reforestation between 2020–2050 could be increased by 5.7 GtCO2 (5.6%) at a carbon price of US $20 CO2–1, or by 15.1 GtCO2 (14.8%) at US$50 tCO2–1. Ten countries comprise 55% of potential low-cost abatement from tropical reforestation. Avoided deforestation offers 7.2–9.6 times as much potential low-cost abatement as reforestation overall (55.1 GtCO2 at US$20 tCO2–1 or 108.3 GtCO2 at US$50 tCO2–1), but reforestation offers more potential low-cost abatement than avoided deforestation at US$20 tCO2–1 in 21 countries, 17 of which are in Africa.","author":[{"dropping-particle":"","family":"Busch","given":"Jonah","non-dropping-particle":"","parse-names":false,"suffix":""},{"dropping-particle":"","family":"Engelmann","given":"Jens","non-dropping-particle":"","parse-names":false,"suffix":""},{"dropping-particle":"","family":"Cook-Patton","given":"Susan C","non-dropping-particle":"","parse-names":false,"suffix":""},{"dropping-particle":"","family":"Griscom","given":"Bronson W","non-dropping-particle":"","parse-names":false,"suffix":""},{"dropping-particle":"","family":"Kroeger","given":"Timm","non-dropping-particle":"","parse-names":false,"suffix":""},{"dropping-particle":"","family":"Possingham","given":"Hugh","non-dropping-particle":"","parse-names":false,"suffix":""},{"dropping-particle":"","family":"Shyamsundar","given":"Priya","non-dropping-particle":"","parse-names":false,"suffix":""}],"container-title":"Nature Climate Change","id":"ITEM-1","issue":"6","issued":{"date-parts":[["2019"]]},"page":"463-466","title":"Potential for low-cost carbon dioxide removal through tropical reforestation","type":"article-journal","volume":"9"},"uris":["http://www.mendeley.com/documents/?uuid=c22d82f4-38ac-4f01-9686-22506e4a6797"]}],"mendeley":{"formattedCitation":"(Busch et al., 2019)","manualFormatting":"Busch et al. (2019)","plainTextFormattedCitation":"(Busch et al., 2019)","previouslyFormattedCitation":"(Busch et al., 2019)"},"properties":{"noteIndex":0},"schema":"https://github.com/citation-style-language/schema/raw/master/csl-citation.json"}</w:instrText>
      </w:r>
      <w:r w:rsidR="00030E61">
        <w:fldChar w:fldCharType="separate"/>
      </w:r>
      <w:r w:rsidR="00030E61" w:rsidRPr="00030E61">
        <w:rPr>
          <w:noProof/>
        </w:rPr>
        <w:t>Busch et al. (2019)</w:t>
      </w:r>
      <w:r w:rsidR="00030E61">
        <w:fldChar w:fldCharType="end"/>
      </w:r>
      <w:r w:rsidR="007B1596">
        <w:t>,</w:t>
      </w:r>
      <w:r w:rsidR="00611421">
        <w:t xml:space="preserve"> </w:t>
      </w:r>
      <w:r w:rsidR="00113E74">
        <w:t xml:space="preserve">Figure 3 </w:t>
      </w:r>
      <w:r w:rsidR="007B1596">
        <w:t>below shows t</w:t>
      </w:r>
      <w:r w:rsidR="00113E74">
        <w:t>he corresponding</w:t>
      </w:r>
      <w:r w:rsidR="00ED3099">
        <w:t xml:space="preserve"> supply curves for </w:t>
      </w:r>
      <w:r w:rsidR="00113E74">
        <w:t xml:space="preserve">carbon sequestration from tropical </w:t>
      </w:r>
      <w:r w:rsidR="00611421">
        <w:t>reforestatio</w:t>
      </w:r>
      <w:r w:rsidR="00113E74">
        <w:t xml:space="preserve">n up to </w:t>
      </w:r>
      <w:r w:rsidR="00030E61">
        <w:t>US</w:t>
      </w:r>
      <w:r w:rsidR="00113E74">
        <w:t>$100/tCO</w:t>
      </w:r>
      <w:r w:rsidR="00113E74" w:rsidRPr="006F72DC">
        <w:rPr>
          <w:vertAlign w:val="subscript"/>
        </w:rPr>
        <w:t>2</w:t>
      </w:r>
      <w:r w:rsidR="00ED3099">
        <w:t>.</w:t>
      </w:r>
      <w:r w:rsidR="007B1596">
        <w:t xml:space="preserve">  </w:t>
      </w:r>
    </w:p>
    <w:p w14:paraId="73496804" w14:textId="5F71D112" w:rsidR="0010094E" w:rsidRDefault="0010094E" w:rsidP="0010094E">
      <w:pPr>
        <w:rPr>
          <w:b/>
          <w:bCs/>
        </w:rPr>
      </w:pPr>
      <w:r w:rsidRPr="00DD083A">
        <w:rPr>
          <w:b/>
          <w:bCs/>
        </w:rPr>
        <w:t xml:space="preserve">Figure </w:t>
      </w:r>
      <w:r w:rsidR="00113E74">
        <w:rPr>
          <w:b/>
          <w:bCs/>
        </w:rPr>
        <w:t>3</w:t>
      </w:r>
      <w:r w:rsidRPr="00DD083A">
        <w:rPr>
          <w:b/>
          <w:bCs/>
        </w:rPr>
        <w:t xml:space="preserve">: </w:t>
      </w:r>
      <w:r w:rsidRPr="00C7226A">
        <w:rPr>
          <w:b/>
          <w:bCs/>
        </w:rPr>
        <w:t>Marginal Abatement Cost Curves</w:t>
      </w:r>
      <w:r>
        <w:rPr>
          <w:b/>
          <w:bCs/>
        </w:rPr>
        <w:t xml:space="preserve"> (MACCs)</w:t>
      </w:r>
      <w:r w:rsidRPr="00C7226A">
        <w:rPr>
          <w:b/>
          <w:bCs/>
        </w:rPr>
        <w:t xml:space="preserve"> </w:t>
      </w:r>
      <w:r>
        <w:rPr>
          <w:b/>
          <w:bCs/>
        </w:rPr>
        <w:t>for Tropical R</w:t>
      </w:r>
      <w:r w:rsidRPr="00DD083A">
        <w:rPr>
          <w:b/>
          <w:bCs/>
        </w:rPr>
        <w:t xml:space="preserve">eforestation </w:t>
      </w:r>
    </w:p>
    <w:p w14:paraId="2C6E8405" w14:textId="10FB7A48" w:rsidR="00C60408" w:rsidRDefault="00C60408" w:rsidP="0010094E">
      <w:pPr>
        <w:rPr>
          <w:b/>
          <w:bCs/>
        </w:rPr>
      </w:pPr>
      <w:r>
        <w:rPr>
          <w:noProof/>
        </w:rPr>
        <w:drawing>
          <wp:inline distT="0" distB="0" distL="0" distR="0" wp14:anchorId="1A8ED734" wp14:editId="7B2B6F29">
            <wp:extent cx="3949700" cy="2432050"/>
            <wp:effectExtent l="0" t="0" r="12700" b="6350"/>
            <wp:docPr id="3" name="Chart 3">
              <a:extLst xmlns:a="http://schemas.openxmlformats.org/drawingml/2006/main">
                <a:ext uri="{FF2B5EF4-FFF2-40B4-BE49-F238E27FC236}">
                  <a16:creationId xmlns:a16="http://schemas.microsoft.com/office/drawing/2014/main" id="{35D96ED8-AE2A-46F5-86ED-25765AA379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8E26BE" w14:textId="4BB7D6F9" w:rsidR="00B232D6" w:rsidRDefault="0010094E">
      <w:pPr>
        <w:rPr>
          <w:sz w:val="20"/>
        </w:rPr>
      </w:pPr>
      <w:r w:rsidRPr="000508FC">
        <w:rPr>
          <w:sz w:val="20"/>
        </w:rPr>
        <w:t xml:space="preserve">Source: Derived from </w:t>
      </w:r>
      <w:r w:rsidR="00D912F5" w:rsidRPr="000508FC">
        <w:rPr>
          <w:sz w:val="20"/>
        </w:rPr>
        <w:fldChar w:fldCharType="begin" w:fldLock="1"/>
      </w:r>
      <w:r w:rsidR="00030E61">
        <w:rPr>
          <w:sz w:val="20"/>
        </w:rPr>
        <w:instrText>ADDIN CSL_CITATION {"citationItems":[{"id":"ITEM-1","itemData":{"DOI":"10.1038/s41558-019-0485-x","ISSN":"1758-6798","abstract":"Achieving the 1.5–2.0 °C temperature targets of the Paris climate agreement requires not only reducing emissions of greenhouse gases (GHGs) but also increasing removals of GHGs from the atmosphere1,2. Reforestation is a potentially large-scale method for removing CO2 and storing it in the biomass and soils of ecosystems3–8, yet its cost per tonne remains uncertain6,9. Here, we produce spatially disaggregated marginal abatement cost curves for tropical reforestation by simulating the effects of payments for increased CO2 removals on land-cover change in 90 countries. We estimate that removals from tropical reforestation between 2020–2050 could be increased by 5.7 GtCO2 (5.6%) at a carbon price of US $20 CO2–1, or by 15.1 GtCO2 (14.8%) at US$50 tCO2–1. Ten countries comprise 55% of potential low-cost abatement from tropical reforestation. Avoided deforestation offers 7.2–9.6 times as much potential low-cost abatement as reforestation overall (55.1 GtCO2 at US$20 tCO2–1 or 108.3 GtCO2 at US$50 tCO2–1), but reforestation offers more potential low-cost abatement than avoided deforestation at US$20 tCO2–1 in 21 countries, 17 of which are in Africa.","author":[{"dropping-particle":"","family":"Busch","given":"Jonah","non-dropping-particle":"","parse-names":false,"suffix":""},{"dropping-particle":"","family":"Engelmann","given":"Jens","non-dropping-particle":"","parse-names":false,"suffix":""},{"dropping-particle":"","family":"Cook-Patton","given":"Susan C","non-dropping-particle":"","parse-names":false,"suffix":""},{"dropping-particle":"","family":"Griscom","given":"Bronson W","non-dropping-particle":"","parse-names":false,"suffix":""},{"dropping-particle":"","family":"Kroeger","given":"Timm","non-dropping-particle":"","parse-names":false,"suffix":""},{"dropping-particle":"","family":"Possingham","given":"Hugh","non-dropping-particle":"","parse-names":false,"suffix":""},{"dropping-particle":"","family":"Shyamsundar","given":"Priya","non-dropping-particle":"","parse-names":false,"suffix":""}],"container-title":"Nature Climate Change","id":"ITEM-1","issue":"6","issued":{"date-parts":[["2019"]]},"page":"463-466","title":"Potential for low-cost carbon dioxide removal through tropical reforestation","type":"article-journal","volume":"9"},"uris":["http://www.mendeley.com/documents/?uuid=c22d82f4-38ac-4f01-9686-22506e4a6797"]}],"mendeley":{"formattedCitation":"(Busch et al., 2019)","manualFormatting":"Busch et al. (2019)","plainTextFormattedCitation":"(Busch et al., 2019)","previouslyFormattedCitation":"(Busch et al., 2019)"},"properties":{"noteIndex":0},"schema":"https://github.com/citation-style-language/schema/raw/master/csl-citation.json"}</w:instrText>
      </w:r>
      <w:r w:rsidR="00D912F5" w:rsidRPr="000508FC">
        <w:rPr>
          <w:sz w:val="20"/>
        </w:rPr>
        <w:fldChar w:fldCharType="separate"/>
      </w:r>
      <w:r w:rsidR="00D912F5" w:rsidRPr="000508FC">
        <w:rPr>
          <w:noProof/>
          <w:sz w:val="20"/>
        </w:rPr>
        <w:t>Busch et al. (2019)</w:t>
      </w:r>
      <w:r w:rsidR="00D912F5" w:rsidRPr="000508FC">
        <w:rPr>
          <w:sz w:val="20"/>
        </w:rPr>
        <w:fldChar w:fldCharType="end"/>
      </w:r>
      <w:r w:rsidR="00113E74" w:rsidRPr="000508FC">
        <w:rPr>
          <w:sz w:val="20"/>
        </w:rPr>
        <w:t xml:space="preserve"> up to $100/tCO</w:t>
      </w:r>
      <w:r w:rsidR="00113E74" w:rsidRPr="000508FC">
        <w:rPr>
          <w:sz w:val="20"/>
          <w:vertAlign w:val="subscript"/>
        </w:rPr>
        <w:t>2</w:t>
      </w:r>
      <w:r w:rsidR="00113E74" w:rsidRPr="000508FC">
        <w:rPr>
          <w:sz w:val="20"/>
        </w:rPr>
        <w:t>.</w:t>
      </w:r>
    </w:p>
    <w:p w14:paraId="47945E3E" w14:textId="77777777" w:rsidR="00AC27B5" w:rsidRPr="00B22D81" w:rsidRDefault="00AC27B5" w:rsidP="00AC27B5">
      <w:r>
        <w:t>The resulting MACC is a linear function of price. We assume no additional supply for a carbon price higher than US$100/tCO</w:t>
      </w:r>
      <w:r w:rsidRPr="002F1691">
        <w:rPr>
          <w:vertAlign w:val="subscript"/>
        </w:rPr>
        <w:t>2</w:t>
      </w:r>
      <w:r>
        <w:t xml:space="preserve">, since (a) we want to be conservative and (b) this exceeds the range documented in </w:t>
      </w:r>
      <w:r w:rsidRPr="001C27D1">
        <w:rPr>
          <w:noProof/>
        </w:rPr>
        <w:t>Busch et al. (2019)</w:t>
      </w:r>
      <w:r>
        <w:t xml:space="preserve">. Notwithstanding this conservative assumption on reforestation </w:t>
      </w:r>
      <w:r>
        <w:lastRenderedPageBreak/>
        <w:t>potential, actual supply could of course be higher at prices above US$100/tCO</w:t>
      </w:r>
      <w:r w:rsidRPr="006F72DC">
        <w:rPr>
          <w:vertAlign w:val="subscript"/>
        </w:rPr>
        <w:t>2</w:t>
      </w:r>
      <w:r>
        <w:t xml:space="preserve">.  </w:t>
      </w:r>
      <w:r w:rsidRPr="00B22D81">
        <w:t>Avoided deforestation offers 7.2–9.6 times as much potential low-cost abatement as reforestation overall (55.1 GtCO</w:t>
      </w:r>
      <w:r w:rsidRPr="006F72DC">
        <w:rPr>
          <w:vertAlign w:val="subscript"/>
        </w:rPr>
        <w:t>2</w:t>
      </w:r>
      <w:r w:rsidRPr="00B22D81">
        <w:t xml:space="preserve"> at US$20</w:t>
      </w:r>
      <w:r>
        <w:t>/</w:t>
      </w:r>
      <w:r w:rsidRPr="00B22D81">
        <w:t>tCO</w:t>
      </w:r>
      <w:r w:rsidRPr="00D912F5">
        <w:rPr>
          <w:vertAlign w:val="subscript"/>
        </w:rPr>
        <w:t>2</w:t>
      </w:r>
      <w:r w:rsidRPr="00B22D81">
        <w:t xml:space="preserve"> or 108.3 GtCO</w:t>
      </w:r>
      <w:r w:rsidRPr="006F72DC">
        <w:rPr>
          <w:vertAlign w:val="subscript"/>
        </w:rPr>
        <w:t>2</w:t>
      </w:r>
      <w:r w:rsidRPr="00B22D81">
        <w:t xml:space="preserve"> at US$50</w:t>
      </w:r>
      <w:r>
        <w:t>/</w:t>
      </w:r>
      <w:r w:rsidRPr="00B22D81">
        <w:t>tCO</w:t>
      </w:r>
      <w:r w:rsidRPr="006F72DC">
        <w:rPr>
          <w:vertAlign w:val="subscript"/>
        </w:rPr>
        <w:t>2</w:t>
      </w:r>
      <w:r>
        <w:t>).</w:t>
      </w:r>
    </w:p>
    <w:p w14:paraId="679831C7" w14:textId="77777777" w:rsidR="00187AC8" w:rsidRDefault="00187AC8" w:rsidP="00187AC8">
      <w:pPr>
        <w:pStyle w:val="berschrift2"/>
      </w:pPr>
      <w:r w:rsidRPr="00B232D6">
        <w:t>Total supply 2020-2100</w:t>
      </w:r>
    </w:p>
    <w:p w14:paraId="2FD84CAD" w14:textId="3E378CE9" w:rsidR="00A111A0" w:rsidRPr="00B232D6" w:rsidRDefault="00187AC8">
      <w:r>
        <w:t xml:space="preserve">Since </w:t>
      </w:r>
      <w:r w:rsidR="00CB5264">
        <w:t>our</w:t>
      </w:r>
      <w:r>
        <w:t xml:space="preserve"> model covers the period 2020-2100, we include an additional estimate of emissions and removals that take place after 2050. </w:t>
      </w:r>
      <w:r w:rsidR="00A111A0">
        <w:t>Ne</w:t>
      </w:r>
      <w:r w:rsidR="001C27D1">
        <w:t>i</w:t>
      </w:r>
      <w:r w:rsidR="00A111A0">
        <w:t xml:space="preserve">ther </w:t>
      </w:r>
      <w:r w:rsidR="001C27D1" w:rsidRPr="001C27D1">
        <w:rPr>
          <w:noProof/>
        </w:rPr>
        <w:t>Busch et al. (2019)</w:t>
      </w:r>
      <w:r w:rsidR="00990579">
        <w:t xml:space="preserve">, nor </w:t>
      </w:r>
      <w:r w:rsidR="00C97D81">
        <w:t xml:space="preserve">other studies </w:t>
      </w:r>
      <w:r w:rsidR="00C97D81">
        <w:fldChar w:fldCharType="begin" w:fldLock="1"/>
      </w:r>
      <w:r w:rsidR="00C97D81">
        <w:instrText>ADDIN CSL_CITATION {"citationItems":[{"id":"ITEM-1","itemData":{"ISBN":"ISBN 83-894-7557-X","author":[{"dropping-particle":"","family":"Gusti","given":"M.","non-dropping-particle":"","parse-names":false,"suffix":""},{"dropping-particle":"","family":"Khabarov","given":"N.","non-dropping-particle":"","parse-names":false,"suffix":""},{"dropping-particle":"","family":"Forsell","given":"N.","non-dropping-particle":"","parse-names":false,"suffix":""}],"container-title":"Proceedings. 4th International Workshop on Uncertainty in Atmospheric Emissions. 7–9 October 2015. Krakow. Poland","id":"ITEM-1","issued":{"date-parts":[["2015"]]},"page":"152-158","publisher":"Polish Academy of Sciences","publisher-place":"Warsaw, Poland","title":"Sensitivity of marginal abatement cost curves to variation of G4M parameters","type":"chapter"},"uris":["http://www.mendeley.com/documents/?uuid=62aa30b5-a0e4-41ab-80a8-83cb4cf3662f"]}],"mendeley":{"formattedCitation":"(Gusti et al., 2015)","plainTextFormattedCitation":"(Gusti et al., 2015)","previouslyFormattedCitation":"(Gusti et al., 2015)"},"properties":{"noteIndex":0},"schema":"https://github.com/citation-style-language/schema/raw/master/csl-citation.json"}</w:instrText>
      </w:r>
      <w:r w:rsidR="00C97D81">
        <w:fldChar w:fldCharType="separate"/>
      </w:r>
      <w:r w:rsidR="00C97D81" w:rsidRPr="00C97D81">
        <w:rPr>
          <w:noProof/>
        </w:rPr>
        <w:t>(Gusti et al., 2015)</w:t>
      </w:r>
      <w:r w:rsidR="00C97D81">
        <w:fldChar w:fldCharType="end"/>
      </w:r>
      <w:r w:rsidR="00C97D81">
        <w:t xml:space="preserve"> </w:t>
      </w:r>
      <w:r w:rsidR="00990579">
        <w:t>provide data beyond 2050</w:t>
      </w:r>
      <w:r w:rsidR="00D03689">
        <w:t xml:space="preserve">.  We </w:t>
      </w:r>
      <w:r>
        <w:t>apply the assumptions below to</w:t>
      </w:r>
      <w:r w:rsidR="00D03689">
        <w:t xml:space="preserve"> </w:t>
      </w:r>
      <w:r>
        <w:t xml:space="preserve">obtain a conservative estimate of the mitigation potential from reduced deforestation and reforestation in tropical countries over the </w:t>
      </w:r>
      <w:r w:rsidR="00CB5264">
        <w:t>second part of the c</w:t>
      </w:r>
      <w:r>
        <w:t xml:space="preserve">entury. </w:t>
      </w:r>
    </w:p>
    <w:p w14:paraId="1CB54075" w14:textId="1040D093" w:rsidR="00965CD4" w:rsidRPr="00352A8C" w:rsidRDefault="00E412AC">
      <w:pPr>
        <w:rPr>
          <w:i/>
          <w:iCs/>
          <w:u w:val="single"/>
        </w:rPr>
      </w:pPr>
      <w:r>
        <w:rPr>
          <w:i/>
          <w:iCs/>
          <w:u w:val="single"/>
        </w:rPr>
        <w:t>Reduced deforestation</w:t>
      </w:r>
    </w:p>
    <w:p w14:paraId="61FACD2F" w14:textId="77777777" w:rsidR="00AC27B5" w:rsidRDefault="00FC6B8D" w:rsidP="00CB5264">
      <w:bookmarkStart w:id="1" w:name="_Hlk57057694"/>
      <w:r>
        <w:t xml:space="preserve">The data available from </w:t>
      </w:r>
      <w:r w:rsidRPr="00FC6B8D">
        <w:t>Busch et al. (2019)</w:t>
      </w:r>
      <w:r>
        <w:t xml:space="preserve"> is not </w:t>
      </w:r>
      <w:proofErr w:type="gramStart"/>
      <w:r>
        <w:t>sufficient</w:t>
      </w:r>
      <w:proofErr w:type="gramEnd"/>
      <w:r>
        <w:t xml:space="preserve"> to estimate BAU emissions beyond 2050 and ab</w:t>
      </w:r>
      <w:r w:rsidR="00672AB8">
        <w:t>a</w:t>
      </w:r>
      <w:r>
        <w:t>t</w:t>
      </w:r>
      <w:r w:rsidR="00672AB8">
        <w:t>e</w:t>
      </w:r>
      <w:r>
        <w:t xml:space="preserve">ment potential. </w:t>
      </w:r>
      <w:bookmarkStart w:id="2" w:name="_Hlk55995020"/>
      <w:r w:rsidR="003429D6">
        <w:t>For</w:t>
      </w:r>
      <w:r w:rsidR="00EF6D83">
        <w:t xml:space="preserve"> </w:t>
      </w:r>
      <w:r w:rsidR="00E412AC">
        <w:t xml:space="preserve">the </w:t>
      </w:r>
      <w:r w:rsidR="00EF6D83">
        <w:t>c</w:t>
      </w:r>
      <w:r w:rsidR="00352A8C">
        <w:t xml:space="preserve">alculation of </w:t>
      </w:r>
      <w:r w:rsidR="003429D6">
        <w:t xml:space="preserve">the </w:t>
      </w:r>
      <w:r w:rsidR="00352A8C">
        <w:t>corresponding BAU emissions</w:t>
      </w:r>
      <w:r w:rsidR="003429D6">
        <w:t xml:space="preserve">, </w:t>
      </w:r>
      <w:r w:rsidR="00C1493F">
        <w:t>i</w:t>
      </w:r>
      <w:r w:rsidR="003429D6">
        <w:t>nstead of</w:t>
      </w:r>
      <w:r w:rsidR="00352A8C">
        <w:t xml:space="preserve"> </w:t>
      </w:r>
      <w:r w:rsidR="003429D6">
        <w:t xml:space="preserve">using </w:t>
      </w:r>
      <w:r w:rsidR="00352A8C">
        <w:t>the same amount</w:t>
      </w:r>
      <w:r w:rsidR="00A111A0">
        <w:t xml:space="preserve"> of deforestation as in the period 2020-2050</w:t>
      </w:r>
      <w:r w:rsidR="00352A8C">
        <w:t xml:space="preserve"> </w:t>
      </w:r>
      <w:r w:rsidR="00EF6D83">
        <w:t>(</w:t>
      </w:r>
      <w:r w:rsidR="00352A8C">
        <w:t>257</w:t>
      </w:r>
      <w:r w:rsidR="003429D6">
        <w:t xml:space="preserve"> </w:t>
      </w:r>
      <w:r w:rsidR="00352A8C">
        <w:t>Gt</w:t>
      </w:r>
      <w:r w:rsidR="00EF6D83">
        <w:t>)</w:t>
      </w:r>
      <w:r w:rsidR="00352A8C">
        <w:t xml:space="preserve"> </w:t>
      </w:r>
      <w:r w:rsidR="00E412AC">
        <w:t>from Busch et al. (2019)</w:t>
      </w:r>
      <w:r w:rsidR="003429D6">
        <w:t xml:space="preserve"> and thus</w:t>
      </w:r>
      <w:r w:rsidR="00E412AC">
        <w:t xml:space="preserve"> </w:t>
      </w:r>
      <w:r w:rsidR="00352A8C">
        <w:t xml:space="preserve">assuming </w:t>
      </w:r>
      <w:r w:rsidR="003429D6">
        <w:t xml:space="preserve">a </w:t>
      </w:r>
      <w:r w:rsidR="00352A8C">
        <w:t>flat bas</w:t>
      </w:r>
      <w:r w:rsidR="00EF6D83">
        <w:t>e</w:t>
      </w:r>
      <w:r w:rsidR="00352A8C">
        <w:t>line for deforested area</w:t>
      </w:r>
      <w:r w:rsidR="00C1493F">
        <w:t>,</w:t>
      </w:r>
      <w:r w:rsidR="003429D6">
        <w:t xml:space="preserve"> </w:t>
      </w:r>
      <w:r w:rsidR="00352A8C">
        <w:t xml:space="preserve">we apply an extrapolation of </w:t>
      </w:r>
      <w:r w:rsidR="003429D6">
        <w:fldChar w:fldCharType="begin" w:fldLock="1"/>
      </w:r>
      <w:r w:rsidR="00C1493F">
        <w:instrText>ADDIN CSL_CITATION {"citationItems":[{"id":"ITEM-1","itemData":{"ISBN":"ISBN 83-894-7557-X","author":[{"dropping-particle":"","family":"Gusti","given":"M.","non-dropping-particle":"","parse-names":false,"suffix":""},{"dropping-particle":"","family":"Khabarov","given":"N.","non-dropping-particle":"","parse-names":false,"suffix":""},{"dropping-particle":"","family":"Forsell","given":"N.","non-dropping-particle":"","parse-names":false,"suffix":""}],"container-title":"Proceedings. 4th International Workshop on Uncertainty in Atmospheric Emissions. 7–9 October 2015. Krakow. Poland","id":"ITEM-1","issued":{"date-parts":[["2015"]]},"page":"152-158","publisher":"Polish Academy of Sciences","publisher-place":"Warsaw, Poland","title":"Sensitivity of marginal abatement cost curves to variation of G4M parameters","type":"chapter"},"uris":["http://www.mendeley.com/documents/?uuid=62aa30b5-a0e4-41ab-80a8-83cb4cf3662f"]}],"mendeley":{"formattedCitation":"(Gusti et al., 2015)","manualFormatting":"Gusti et al. (2015)","plainTextFormattedCitation":"(Gusti et al., 2015)","previouslyFormattedCitation":"(Gusti et al., 2015)"},"properties":{"noteIndex":0},"schema":"https://github.com/citation-style-language/schema/raw/master/csl-citation.json"}</w:instrText>
      </w:r>
      <w:r w:rsidR="003429D6">
        <w:fldChar w:fldCharType="separate"/>
      </w:r>
      <w:r w:rsidR="003429D6" w:rsidRPr="003429D6">
        <w:rPr>
          <w:noProof/>
        </w:rPr>
        <w:t xml:space="preserve">Gusti et al. </w:t>
      </w:r>
      <w:r w:rsidR="00672AB8">
        <w:rPr>
          <w:noProof/>
        </w:rPr>
        <w:t>(</w:t>
      </w:r>
      <w:r w:rsidR="003429D6" w:rsidRPr="003429D6">
        <w:rPr>
          <w:noProof/>
        </w:rPr>
        <w:t>2015)</w:t>
      </w:r>
      <w:r w:rsidR="003429D6">
        <w:fldChar w:fldCharType="end"/>
      </w:r>
      <w:r w:rsidR="00D03689">
        <w:t xml:space="preserve">, </w:t>
      </w:r>
      <w:r w:rsidR="00CB5264">
        <w:t>as shown in Figure 4.  This yields</w:t>
      </w:r>
      <w:r w:rsidR="00D03689">
        <w:t xml:space="preserve"> a gradually declining deforestation trend over the second part of the century.  </w:t>
      </w:r>
      <w:r w:rsidR="00CB5264">
        <w:t>For the 2051-2100 period, our estimated</w:t>
      </w:r>
      <w:r w:rsidR="00352A8C">
        <w:t xml:space="preserve"> </w:t>
      </w:r>
      <w:r w:rsidR="00CB5264">
        <w:t xml:space="preserve">cumulative </w:t>
      </w:r>
      <w:r w:rsidR="00352A8C">
        <w:t>BAU deforestation emissions</w:t>
      </w:r>
      <w:r w:rsidR="00C1493F">
        <w:t xml:space="preserve"> are</w:t>
      </w:r>
      <w:r w:rsidR="00352A8C">
        <w:t xml:space="preserve"> 109Gt </w:t>
      </w:r>
      <w:r w:rsidR="00C1493F">
        <w:t>CO</w:t>
      </w:r>
      <w:r w:rsidR="00C1493F" w:rsidRPr="002F1691">
        <w:rPr>
          <w:vertAlign w:val="subscript"/>
        </w:rPr>
        <w:t>2</w:t>
      </w:r>
      <w:r w:rsidR="00C1493F">
        <w:rPr>
          <w:vertAlign w:val="subscript"/>
        </w:rPr>
        <w:t xml:space="preserve"> </w:t>
      </w:r>
      <w:r w:rsidR="00352A8C">
        <w:t xml:space="preserve">and </w:t>
      </w:r>
      <w:r w:rsidR="00CB5264">
        <w:t xml:space="preserve">estimated </w:t>
      </w:r>
      <w:r w:rsidR="00352A8C">
        <w:t xml:space="preserve">abatement </w:t>
      </w:r>
      <w:r w:rsidR="004F6A60">
        <w:t>at US$</w:t>
      </w:r>
      <w:r w:rsidR="00352A8C">
        <w:t>100/tCO</w:t>
      </w:r>
      <w:r w:rsidR="00352A8C" w:rsidRPr="002F1691">
        <w:rPr>
          <w:vertAlign w:val="subscript"/>
        </w:rPr>
        <w:t>2</w:t>
      </w:r>
      <w:r w:rsidR="00352A8C">
        <w:t xml:space="preserve"> is </w:t>
      </w:r>
      <w:r w:rsidR="00187AC8">
        <w:t xml:space="preserve">approximately </w:t>
      </w:r>
      <w:r w:rsidR="00352A8C">
        <w:t>90Gt</w:t>
      </w:r>
      <w:r w:rsidR="004F6A60">
        <w:t xml:space="preserve"> CO</w:t>
      </w:r>
      <w:r w:rsidR="004F6A60" w:rsidRPr="002F1691">
        <w:rPr>
          <w:vertAlign w:val="subscript"/>
        </w:rPr>
        <w:t>2</w:t>
      </w:r>
      <w:bookmarkEnd w:id="2"/>
      <w:r>
        <w:t xml:space="preserve"> (see </w:t>
      </w:r>
      <w:r w:rsidR="002F1691">
        <w:t>T</w:t>
      </w:r>
      <w:r>
        <w:t>able 2</w:t>
      </w:r>
      <w:r w:rsidR="00CB5264">
        <w:t xml:space="preserve"> below</w:t>
      </w:r>
      <w:r>
        <w:t>).</w:t>
      </w:r>
      <w:bookmarkEnd w:id="1"/>
    </w:p>
    <w:p w14:paraId="4CDAF051" w14:textId="74259CBC" w:rsidR="00CB5264" w:rsidRPr="00B232D6" w:rsidRDefault="00CB5264" w:rsidP="00CB5264">
      <w:pPr>
        <w:rPr>
          <w:b/>
          <w:bCs/>
        </w:rPr>
      </w:pPr>
      <w:bookmarkStart w:id="3" w:name="_GoBack"/>
      <w:bookmarkEnd w:id="3"/>
      <w:r w:rsidRPr="00B232D6">
        <w:rPr>
          <w:b/>
          <w:bCs/>
        </w:rPr>
        <w:t xml:space="preserve">Figure </w:t>
      </w:r>
      <w:r>
        <w:rPr>
          <w:b/>
          <w:bCs/>
        </w:rPr>
        <w:t>4</w:t>
      </w:r>
      <w:r w:rsidRPr="00B232D6">
        <w:rPr>
          <w:b/>
          <w:bCs/>
        </w:rPr>
        <w:t>: BAU deforestation and REDD+ supply</w:t>
      </w:r>
      <w:r>
        <w:rPr>
          <w:b/>
          <w:bCs/>
        </w:rPr>
        <w:t xml:space="preserve"> based on </w:t>
      </w:r>
      <w:proofErr w:type="spellStart"/>
      <w:r>
        <w:rPr>
          <w:b/>
          <w:bCs/>
        </w:rPr>
        <w:t>Gusti</w:t>
      </w:r>
      <w:proofErr w:type="spellEnd"/>
      <w:r>
        <w:rPr>
          <w:b/>
          <w:bCs/>
        </w:rPr>
        <w:t xml:space="preserve"> et al. (2015)</w:t>
      </w:r>
    </w:p>
    <w:p w14:paraId="4F3F5CE1" w14:textId="2FC9305C" w:rsidR="00CB5264" w:rsidRDefault="00CB5264">
      <w:r>
        <w:rPr>
          <w:noProof/>
        </w:rPr>
        <w:drawing>
          <wp:inline distT="0" distB="0" distL="0" distR="0" wp14:anchorId="31B8B36E" wp14:editId="15C85B9B">
            <wp:extent cx="4572000" cy="2743200"/>
            <wp:effectExtent l="0" t="0" r="0" b="0"/>
            <wp:docPr id="2" name="Chart 2">
              <a:extLst xmlns:a="http://schemas.openxmlformats.org/drawingml/2006/main">
                <a:ext uri="{FF2B5EF4-FFF2-40B4-BE49-F238E27FC236}">
                  <a16:creationId xmlns:a16="http://schemas.microsoft.com/office/drawing/2014/main" id="{1E30D5E0-7B03-45F1-A5B6-DE83A29B5B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F4C236" w14:textId="4D0034DE" w:rsidR="00352A8C" w:rsidRDefault="00352A8C">
      <w:r w:rsidRPr="00352A8C">
        <w:rPr>
          <w:i/>
          <w:iCs/>
          <w:u w:val="single"/>
        </w:rPr>
        <w:t>Reforestation</w:t>
      </w:r>
    </w:p>
    <w:p w14:paraId="050541E5" w14:textId="66BA57E9" w:rsidR="006726C1" w:rsidRDefault="00187AC8" w:rsidP="001C27D1">
      <w:r>
        <w:t>W</w:t>
      </w:r>
      <w:r w:rsidRPr="00DD083A">
        <w:t xml:space="preserve">e assume no </w:t>
      </w:r>
      <w:r>
        <w:t>additional</w:t>
      </w:r>
      <w:r w:rsidRPr="00DD083A">
        <w:t xml:space="preserve"> </w:t>
      </w:r>
      <w:r>
        <w:t xml:space="preserve">areas of tropical </w:t>
      </w:r>
      <w:r w:rsidRPr="00DD083A">
        <w:t xml:space="preserve">reforestation </w:t>
      </w:r>
      <w:r w:rsidR="00CB5264">
        <w:t xml:space="preserve">come in as a result of the carbon price </w:t>
      </w:r>
      <w:r w:rsidRPr="00DD083A">
        <w:t xml:space="preserve">after 2050 and include </w:t>
      </w:r>
      <w:r>
        <w:t>only the</w:t>
      </w:r>
      <w:r w:rsidRPr="00DD083A">
        <w:t xml:space="preserve"> </w:t>
      </w:r>
      <w:r w:rsidR="00CB5264">
        <w:t xml:space="preserve">continual </w:t>
      </w:r>
      <w:r w:rsidRPr="00DD083A">
        <w:t xml:space="preserve">carbon removal </w:t>
      </w:r>
      <w:proofErr w:type="gramStart"/>
      <w:r w:rsidR="00CB5264">
        <w:t xml:space="preserve">from </w:t>
      </w:r>
      <w:r w:rsidRPr="00DD083A">
        <w:t xml:space="preserve"> already</w:t>
      </w:r>
      <w:proofErr w:type="gramEnd"/>
      <w:r w:rsidRPr="00DD083A">
        <w:t xml:space="preserve"> reforested land during 2020-2050.</w:t>
      </w:r>
      <w:r>
        <w:t xml:space="preserve">  </w:t>
      </w:r>
      <w:r w:rsidR="00352A8C">
        <w:t>We assume that planted forest and forest</w:t>
      </w:r>
      <w:r w:rsidR="00AA475C">
        <w:t xml:space="preserve"> </w:t>
      </w:r>
      <w:r w:rsidR="0030629F">
        <w:t xml:space="preserve">that is </w:t>
      </w:r>
      <w:r w:rsidR="00AA475C">
        <w:t xml:space="preserve">naturally regenerated continue to grow during the period 2050-2100. </w:t>
      </w:r>
      <w:r w:rsidR="00CB5264">
        <w:t xml:space="preserve"> </w:t>
      </w:r>
      <w:r w:rsidR="004A2E01">
        <w:t>Additional</w:t>
      </w:r>
      <w:r w:rsidR="00AA475C">
        <w:t xml:space="preserve"> sequestration </w:t>
      </w:r>
      <w:r>
        <w:t xml:space="preserve">is </w:t>
      </w:r>
      <w:r w:rsidR="00AA475C">
        <w:t xml:space="preserve">calculated using </w:t>
      </w:r>
      <w:r w:rsidR="0030629F">
        <w:t>F</w:t>
      </w:r>
      <w:r w:rsidR="00AA475C">
        <w:t>igure 1 from</w:t>
      </w:r>
      <w:r w:rsidR="001C27D1">
        <w:t xml:space="preserve"> the Supplementary Materials of </w:t>
      </w:r>
      <w:r w:rsidR="001C27D1">
        <w:fldChar w:fldCharType="begin" w:fldLock="1"/>
      </w:r>
      <w:r w:rsidR="00030E61">
        <w:instrText>ADDIN CSL_CITATION {"citationItems":[{"id":"ITEM-1","itemData":{"DOI":"10.1038/s41558-019-0485-x","ISSN":"1758-6798","abstract":"Achieving the 1.5–2.0 °C temperature targets of the Paris climate agreement requires not only reducing emissions of greenhouse gases (GHGs) but also increasing removals of GHGs from the atmosphere1,2. Reforestation is a potentially large-scale method for removing CO2 and storing it in the biomass and soils of ecosystems3–8, yet its cost per tonne remains uncertain6,9. Here, we produce spatially disaggregated marginal abatement cost curves for tropical reforestation by simulating the effects of payments for increased CO2 removals on land-cover change in 90 countries. We estimate that removals from tropical reforestation between 2020–2050 could be increased by 5.7 GtCO2 (5.6%) at a carbon price of US $20 CO2–1, or by 15.1 GtCO2 (14.8%) at US$50 tCO2–1. Ten countries comprise 55% of potential low-cost abatement from tropical reforestation. Avoided deforestation offers 7.2–9.6 times as much potential low-cost abatement as reforestation overall (55.1 GtCO2 at US$20 tCO2–1 or 108.3 GtCO2 at US$50 tCO2–1), but reforestation offers more potential low-cost abatement than avoided deforestation at US$20 tCO2–1 in 21 countries, 17 of which are in Africa.","author":[{"dropping-particle":"","family":"Busch","given":"Jonah","non-dropping-particle":"","parse-names":false,"suffix":""},{"dropping-particle":"","family":"Engelmann","given":"Jens","non-dropping-particle":"","parse-names":false,"suffix":""},{"dropping-particle":"","family":"Cook-Patton","given":"Susan C","non-dropping-particle":"","parse-names":false,"suffix":""},{"dropping-particle":"","family":"Griscom","given":"Bronson W","non-dropping-particle":"","parse-names":false,"suffix":""},{"dropping-particle":"","family":"Kroeger","given":"Timm","non-dropping-particle":"","parse-names":false,"suffix":""},{"dropping-particle":"","family":"Possingham","given":"Hugh","non-dropping-particle":"","parse-names":false,"suffix":""},{"dropping-particle":"","family":"Shyamsundar","given":"Priya","non-dropping-particle":"","parse-names":false,"suffix":""}],"container-title":"Nature Climate Change","id":"ITEM-1","issue":"6","issued":{"date-parts":[["2019"]]},"page":"463-466","title":"Potential for low-cost carbon dioxide removal through tropical reforestation","type":"article-journal","volume":"9"},"uris":["http://www.mendeley.com/documents/?uuid=c22d82f4-38ac-4f01-9686-22506e4a6797"]}],"mendeley":{"formattedCitation":"(Busch et al., 2019)","manualFormatting":"Busch et al. (2019)","plainTextFormattedCitation":"(Busch et al., 2019)","previouslyFormattedCitation":"(Busch et al., 2019)"},"properties":{"noteIndex":0},"schema":"https://github.com/citation-style-language/schema/raw/master/csl-citation.json"}</w:instrText>
      </w:r>
      <w:r w:rsidR="001C27D1">
        <w:fldChar w:fldCharType="separate"/>
      </w:r>
      <w:r w:rsidR="001C27D1" w:rsidRPr="001C27D1">
        <w:rPr>
          <w:noProof/>
        </w:rPr>
        <w:t>Busch et al. (2019)</w:t>
      </w:r>
      <w:r w:rsidR="001C27D1">
        <w:fldChar w:fldCharType="end"/>
      </w:r>
      <w:r w:rsidR="001C27D1">
        <w:t>.</w:t>
      </w:r>
    </w:p>
    <w:p w14:paraId="7F315DEA" w14:textId="63FA2B58" w:rsidR="00AA475C" w:rsidRDefault="00C97D81">
      <w:r>
        <w:lastRenderedPageBreak/>
        <w:t>W</w:t>
      </w:r>
      <w:r w:rsidR="0030629F">
        <w:t xml:space="preserve">e </w:t>
      </w:r>
      <w:r>
        <w:t xml:space="preserve">set </w:t>
      </w:r>
      <w:r w:rsidR="0030629F">
        <w:t xml:space="preserve">the </w:t>
      </w:r>
      <w:r w:rsidR="00AA475C">
        <w:t xml:space="preserve">average age of planted forest </w:t>
      </w:r>
      <w:r w:rsidR="0030629F">
        <w:t>equal to</w:t>
      </w:r>
      <w:r w:rsidR="00AA475C">
        <w:t xml:space="preserve"> 20 years by 2050</w:t>
      </w:r>
      <w:r w:rsidR="0030629F">
        <w:t xml:space="preserve"> and 70 years by 2100. </w:t>
      </w:r>
      <w:r w:rsidR="00AA475C">
        <w:t xml:space="preserve">The carbon </w:t>
      </w:r>
      <w:r w:rsidR="0030629F">
        <w:t xml:space="preserve">density </w:t>
      </w:r>
      <w:r w:rsidR="00AA475C">
        <w:t xml:space="preserve">increases from 40-45tC/ha </w:t>
      </w:r>
      <w:r w:rsidR="004A2E01">
        <w:t>to 80</w:t>
      </w:r>
      <w:r w:rsidR="00AA475C">
        <w:t xml:space="preserve">-90tC/ha, i.e. doubles. The </w:t>
      </w:r>
      <w:r w:rsidR="00363DAD">
        <w:t>naturally</w:t>
      </w:r>
      <w:r w:rsidR="00AA475C">
        <w:t xml:space="preserve"> regenerated forest</w:t>
      </w:r>
      <w:r w:rsidR="00363DAD">
        <w:t xml:space="preserve"> is on average about 50 </w:t>
      </w:r>
      <w:r w:rsidR="004A2E01">
        <w:t>years</w:t>
      </w:r>
      <w:r w:rsidR="00363DAD">
        <w:t xml:space="preserve"> old (about 70 </w:t>
      </w:r>
      <w:proofErr w:type="spellStart"/>
      <w:r w:rsidR="00363DAD">
        <w:t>tC</w:t>
      </w:r>
      <w:proofErr w:type="spellEnd"/>
      <w:r w:rsidR="00363DAD">
        <w:t>/ha).</w:t>
      </w:r>
      <w:r w:rsidR="00187AC8">
        <w:t xml:space="preserve"> </w:t>
      </w:r>
      <w:r w:rsidR="00363DAD">
        <w:t xml:space="preserve"> </w:t>
      </w:r>
      <w:r w:rsidR="00E412AC">
        <w:t xml:space="preserve">With </w:t>
      </w:r>
      <w:r w:rsidR="00363DAD">
        <w:t xml:space="preserve">100 </w:t>
      </w:r>
      <w:proofErr w:type="spellStart"/>
      <w:r w:rsidR="00363DAD">
        <w:t>tC</w:t>
      </w:r>
      <w:proofErr w:type="spellEnd"/>
      <w:r w:rsidR="00363DAD">
        <w:t xml:space="preserve">/ha </w:t>
      </w:r>
      <w:r w:rsidR="0030629F">
        <w:t xml:space="preserve">equal </w:t>
      </w:r>
      <w:r w:rsidR="00E412AC">
        <w:t xml:space="preserve">to </w:t>
      </w:r>
      <w:r w:rsidR="00363DAD">
        <w:t xml:space="preserve">the upper bound for carbon sequestration per ha of regenerated forest, </w:t>
      </w:r>
      <w:r>
        <w:t>the</w:t>
      </w:r>
      <w:r w:rsidR="00363DAD">
        <w:t xml:space="preserve"> additional carbon sequestration</w:t>
      </w:r>
      <w:r w:rsidR="0030629F">
        <w:t xml:space="preserve"> is</w:t>
      </w:r>
      <w:r w:rsidR="00363DAD">
        <w:t xml:space="preserve"> about 40% of </w:t>
      </w:r>
      <w:r>
        <w:t xml:space="preserve">the </w:t>
      </w:r>
      <w:r w:rsidR="00363DAD">
        <w:t>carbon sequester</w:t>
      </w:r>
      <w:r>
        <w:t>ed</w:t>
      </w:r>
      <w:r w:rsidR="00363DAD">
        <w:t xml:space="preserve"> in the first period (2020-2050).</w:t>
      </w:r>
      <w:r w:rsidR="00187AC8">
        <w:t xml:space="preserve"> These assumptions yield</w:t>
      </w:r>
      <w:r w:rsidR="0030629F">
        <w:t xml:space="preserve"> </w:t>
      </w:r>
      <w:r w:rsidR="00363DAD">
        <w:t xml:space="preserve">an additional </w:t>
      </w:r>
      <w:r w:rsidR="00CB5264">
        <w:t xml:space="preserve">mitigation </w:t>
      </w:r>
      <w:r w:rsidR="00363DAD">
        <w:t xml:space="preserve">potential </w:t>
      </w:r>
      <w:r w:rsidR="00187AC8">
        <w:t xml:space="preserve">from reforestation </w:t>
      </w:r>
      <w:r w:rsidR="0030629F">
        <w:t>of</w:t>
      </w:r>
      <w:r w:rsidR="00363DAD">
        <w:t xml:space="preserve"> about 40</w:t>
      </w:r>
      <w:r w:rsidR="0030629F">
        <w:t xml:space="preserve"> </w:t>
      </w:r>
      <w:r w:rsidR="00363DAD">
        <w:t>GtCO</w:t>
      </w:r>
      <w:r w:rsidR="00363DAD" w:rsidRPr="00B232D6">
        <w:rPr>
          <w:vertAlign w:val="subscript"/>
        </w:rPr>
        <w:t>2</w:t>
      </w:r>
      <w:r w:rsidR="00187AC8">
        <w:t xml:space="preserve"> </w:t>
      </w:r>
      <w:r w:rsidR="00CB5264">
        <w:t>over 2051-2100 as shown in Table 2 below</w:t>
      </w:r>
      <w:r w:rsidR="00363DAD">
        <w:t>.</w:t>
      </w:r>
    </w:p>
    <w:p w14:paraId="4765C97E" w14:textId="70454837" w:rsidR="006726C1" w:rsidRPr="00B232D6" w:rsidRDefault="001C27D1">
      <w:pPr>
        <w:rPr>
          <w:b/>
          <w:bCs/>
          <w:iCs/>
        </w:rPr>
      </w:pPr>
      <w:r w:rsidRPr="00B232D6">
        <w:rPr>
          <w:b/>
          <w:bCs/>
          <w:iCs/>
        </w:rPr>
        <w:t xml:space="preserve">Table </w:t>
      </w:r>
      <w:r w:rsidR="00C97D81">
        <w:rPr>
          <w:b/>
          <w:bCs/>
          <w:iCs/>
        </w:rPr>
        <w:t>2</w:t>
      </w:r>
      <w:r w:rsidRPr="00B232D6">
        <w:rPr>
          <w:b/>
          <w:bCs/>
          <w:iCs/>
        </w:rPr>
        <w:t xml:space="preserve">: </w:t>
      </w:r>
      <w:r w:rsidR="00363DAD" w:rsidRPr="00B232D6">
        <w:rPr>
          <w:b/>
          <w:bCs/>
          <w:iCs/>
        </w:rPr>
        <w:t>Summary extrapolation</w:t>
      </w:r>
      <w:r w:rsidR="004A2E01" w:rsidRPr="00B232D6">
        <w:rPr>
          <w:b/>
          <w:bCs/>
          <w:iCs/>
        </w:rPr>
        <w:t xml:space="preserve"> (Gt CO</w:t>
      </w:r>
      <w:r w:rsidR="004A2E01" w:rsidRPr="00B232D6">
        <w:rPr>
          <w:b/>
          <w:bCs/>
          <w:iCs/>
          <w:vertAlign w:val="subscript"/>
        </w:rPr>
        <w:t>2</w:t>
      </w:r>
      <w:r w:rsidR="004A2E01" w:rsidRPr="00B232D6">
        <w:rPr>
          <w:b/>
          <w:bCs/>
          <w:iCs/>
        </w:rPr>
        <w:t xml:space="preserve"> </w:t>
      </w:r>
      <w:r w:rsidRPr="00B232D6">
        <w:rPr>
          <w:b/>
          <w:bCs/>
          <w:iCs/>
        </w:rPr>
        <w:t>during</w:t>
      </w:r>
      <w:r w:rsidR="004A2E01" w:rsidRPr="00B232D6">
        <w:rPr>
          <w:b/>
          <w:bCs/>
          <w:iCs/>
        </w:rPr>
        <w:t xml:space="preserve"> 2051-2100)</w:t>
      </w:r>
    </w:p>
    <w:tbl>
      <w:tblPr>
        <w:tblStyle w:val="Tabellenraster"/>
        <w:tblW w:w="6732" w:type="dxa"/>
        <w:tblLook w:val="04A0" w:firstRow="1" w:lastRow="0" w:firstColumn="1" w:lastColumn="0" w:noHBand="0" w:noVBand="1"/>
      </w:tblPr>
      <w:tblGrid>
        <w:gridCol w:w="3510"/>
        <w:gridCol w:w="3222"/>
      </w:tblGrid>
      <w:tr w:rsidR="00FC6B8D" w14:paraId="06F3C8EA" w14:textId="77777777" w:rsidTr="002F1691">
        <w:trPr>
          <w:trHeight w:val="269"/>
        </w:trPr>
        <w:tc>
          <w:tcPr>
            <w:tcW w:w="3510" w:type="dxa"/>
            <w:vAlign w:val="center"/>
          </w:tcPr>
          <w:p w14:paraId="562CC525" w14:textId="77777777" w:rsidR="00FC6B8D" w:rsidRDefault="00FC6B8D" w:rsidP="002D2D76">
            <w:pPr>
              <w:spacing w:before="80" w:after="80"/>
            </w:pPr>
          </w:p>
        </w:tc>
        <w:tc>
          <w:tcPr>
            <w:tcW w:w="3222" w:type="dxa"/>
            <w:vAlign w:val="center"/>
          </w:tcPr>
          <w:p w14:paraId="5E6FED69" w14:textId="1C15070C" w:rsidR="00FC6B8D" w:rsidRPr="00D912F5" w:rsidRDefault="00FC6B8D" w:rsidP="002D2D76">
            <w:pPr>
              <w:spacing w:before="80" w:after="80"/>
              <w:rPr>
                <w:b/>
              </w:rPr>
            </w:pPr>
            <w:r w:rsidRPr="00672AB8">
              <w:rPr>
                <w:b/>
              </w:rPr>
              <w:fldChar w:fldCharType="begin" w:fldLock="1"/>
            </w:r>
            <w:r w:rsidRPr="00672AB8">
              <w:rPr>
                <w:b/>
              </w:rPr>
              <w:instrText>ADDIN CSL_CITATION {"citationItems":[{"id":"ITEM-1","itemData":{"ISBN":"ISBN 83-894-7557-X","author":[{"dropping-particle":"","family":"Gusti","given":"M.","non-dropping-particle":"","parse-names":false,"suffix":""},{"dropping-particle":"","family":"Khabarov","given":"N.","non-dropping-particle":"","parse-names":false,"suffix":""},{"dropping-particle":"","family":"Forsell","given":"N.","non-dropping-particle":"","parse-names":false,"suffix":""}],"container-title":"Proceedings. 4th International Workshop on Uncertainty in Atmospheric Emissions. 7–9 October 2015. Krakow. Poland","id":"ITEM-1","issued":{"date-parts":[["2015"]]},"page":"152-158","publisher":"Polish Academy of Sciences","publisher-place":"Warsaw, Poland","title":"Sensitivity of marginal abatement cost curves to variation of G4M parameters","type":"chapter"},"uris":["http://www.mendeley.com/documents/?uuid=62aa30b5-a0e4-41ab-80a8-83cb4cf3662f"]}],"mendeley":{"formattedCitation":"(Gusti et al., 2015)","plainTextFormattedCitation":"(Gusti et al., 2015)"},"properties":{"noteIndex":0},"schema":"https://github.com/citation-style-language/schema/raw/master/csl-citation.json"}</w:instrText>
            </w:r>
            <w:r w:rsidRPr="00672AB8">
              <w:rPr>
                <w:b/>
              </w:rPr>
              <w:fldChar w:fldCharType="separate"/>
            </w:r>
            <w:r w:rsidRPr="00C1493F">
              <w:rPr>
                <w:b/>
                <w:noProof/>
              </w:rPr>
              <w:t xml:space="preserve">Gusti et al. </w:t>
            </w:r>
            <w:r w:rsidR="00F41B9C">
              <w:rPr>
                <w:b/>
                <w:noProof/>
              </w:rPr>
              <w:t>(</w:t>
            </w:r>
            <w:r w:rsidRPr="00C1493F">
              <w:rPr>
                <w:b/>
                <w:noProof/>
              </w:rPr>
              <w:t>2015)</w:t>
            </w:r>
            <w:r w:rsidRPr="00672AB8">
              <w:rPr>
                <w:b/>
              </w:rPr>
              <w:fldChar w:fldCharType="end"/>
            </w:r>
            <w:r>
              <w:rPr>
                <w:b/>
              </w:rPr>
              <w:t xml:space="preserve"> for avoided </w:t>
            </w:r>
            <w:r w:rsidR="00F41B9C">
              <w:rPr>
                <w:b/>
              </w:rPr>
              <w:t xml:space="preserve">deforestation, </w:t>
            </w:r>
            <w:r w:rsidRPr="00C97D81">
              <w:rPr>
                <w:b/>
                <w:noProof/>
              </w:rPr>
              <w:t xml:space="preserve">Busch et al. </w:t>
            </w:r>
            <w:r w:rsidRPr="00D912F5">
              <w:rPr>
                <w:b/>
                <w:noProof/>
              </w:rPr>
              <w:t>(2019)</w:t>
            </w:r>
            <w:r w:rsidRPr="00D912F5">
              <w:rPr>
                <w:b/>
              </w:rPr>
              <w:t xml:space="preserve"> for reforestation</w:t>
            </w:r>
          </w:p>
        </w:tc>
      </w:tr>
      <w:tr w:rsidR="00FC6B8D" w14:paraId="4B90A41B" w14:textId="77777777" w:rsidTr="002F1691">
        <w:trPr>
          <w:trHeight w:val="309"/>
        </w:trPr>
        <w:tc>
          <w:tcPr>
            <w:tcW w:w="3510" w:type="dxa"/>
            <w:vAlign w:val="center"/>
          </w:tcPr>
          <w:p w14:paraId="516F5E79" w14:textId="3053F200" w:rsidR="00FC6B8D" w:rsidRDefault="00FC6B8D" w:rsidP="002D2D76">
            <w:pPr>
              <w:spacing w:before="80" w:after="80"/>
            </w:pPr>
            <w:r>
              <w:t>Deforestation</w:t>
            </w:r>
          </w:p>
        </w:tc>
        <w:tc>
          <w:tcPr>
            <w:tcW w:w="3222" w:type="dxa"/>
            <w:vAlign w:val="center"/>
          </w:tcPr>
          <w:p w14:paraId="587CECAE" w14:textId="01F88180" w:rsidR="00FC6B8D" w:rsidRDefault="00FC6B8D" w:rsidP="002D2D76">
            <w:pPr>
              <w:spacing w:before="80" w:after="80"/>
            </w:pPr>
            <w:r>
              <w:t>109</w:t>
            </w:r>
          </w:p>
        </w:tc>
      </w:tr>
      <w:tr w:rsidR="00FC6B8D" w14:paraId="301B06F5" w14:textId="77777777" w:rsidTr="002F1691">
        <w:trPr>
          <w:trHeight w:val="309"/>
        </w:trPr>
        <w:tc>
          <w:tcPr>
            <w:tcW w:w="3510" w:type="dxa"/>
            <w:vAlign w:val="center"/>
          </w:tcPr>
          <w:p w14:paraId="06F471EF" w14:textId="1BE93DB5" w:rsidR="00FC6B8D" w:rsidRDefault="00FC6B8D" w:rsidP="002D2D76">
            <w:pPr>
              <w:spacing w:before="80" w:after="80"/>
            </w:pPr>
            <w:r>
              <w:t>Avoided deforestation @$100/tCO2</w:t>
            </w:r>
          </w:p>
        </w:tc>
        <w:tc>
          <w:tcPr>
            <w:tcW w:w="3222" w:type="dxa"/>
            <w:vAlign w:val="center"/>
          </w:tcPr>
          <w:p w14:paraId="6C1D0378" w14:textId="5CEAED91" w:rsidR="00FC6B8D" w:rsidRDefault="00FC6B8D" w:rsidP="002D2D76">
            <w:pPr>
              <w:spacing w:before="80" w:after="80"/>
            </w:pPr>
            <w:r>
              <w:t>-90</w:t>
            </w:r>
          </w:p>
        </w:tc>
      </w:tr>
      <w:tr w:rsidR="00FC6B8D" w14:paraId="16861F26" w14:textId="77777777" w:rsidTr="002F1691">
        <w:trPr>
          <w:trHeight w:val="309"/>
        </w:trPr>
        <w:tc>
          <w:tcPr>
            <w:tcW w:w="3510" w:type="dxa"/>
            <w:vAlign w:val="center"/>
          </w:tcPr>
          <w:p w14:paraId="17E6C24B" w14:textId="7175C4D0" w:rsidR="00FC6B8D" w:rsidRDefault="00FC6B8D" w:rsidP="002D2D76">
            <w:pPr>
              <w:spacing w:before="80" w:after="80"/>
            </w:pPr>
            <w:r>
              <w:t xml:space="preserve">BAU reforestation </w:t>
            </w:r>
          </w:p>
        </w:tc>
        <w:tc>
          <w:tcPr>
            <w:tcW w:w="3222" w:type="dxa"/>
            <w:vAlign w:val="center"/>
          </w:tcPr>
          <w:p w14:paraId="60B4E370" w14:textId="3BA8BA2E" w:rsidR="00FC6B8D" w:rsidRDefault="00FC6B8D" w:rsidP="002D2D76">
            <w:pPr>
              <w:spacing w:before="80" w:after="80"/>
            </w:pPr>
            <w:r>
              <w:t>-40</w:t>
            </w:r>
          </w:p>
        </w:tc>
      </w:tr>
      <w:tr w:rsidR="00FC6B8D" w14:paraId="05938F98" w14:textId="77777777" w:rsidTr="002F1691">
        <w:trPr>
          <w:trHeight w:val="633"/>
        </w:trPr>
        <w:tc>
          <w:tcPr>
            <w:tcW w:w="3510" w:type="dxa"/>
            <w:vAlign w:val="center"/>
          </w:tcPr>
          <w:p w14:paraId="3265B804" w14:textId="747E7DB2" w:rsidR="00FC6B8D" w:rsidRDefault="00FC6B8D" w:rsidP="002D2D76">
            <w:pPr>
              <w:spacing w:before="80" w:after="80"/>
            </w:pPr>
            <w:r>
              <w:t>Additional removal attributed to reforested land in 2020-2050</w:t>
            </w:r>
          </w:p>
        </w:tc>
        <w:tc>
          <w:tcPr>
            <w:tcW w:w="3222" w:type="dxa"/>
            <w:vAlign w:val="center"/>
          </w:tcPr>
          <w:p w14:paraId="605DB271" w14:textId="52FB3CC5" w:rsidR="00FC6B8D" w:rsidRDefault="00FC6B8D" w:rsidP="002D2D76">
            <w:pPr>
              <w:spacing w:before="80" w:after="80"/>
            </w:pPr>
            <w:r>
              <w:t>-36</w:t>
            </w:r>
          </w:p>
        </w:tc>
      </w:tr>
    </w:tbl>
    <w:p w14:paraId="2E554ED6" w14:textId="51C63770" w:rsidR="00363DAD" w:rsidRDefault="00E412AC">
      <w:r w:rsidRPr="006F72DC">
        <w:rPr>
          <w:bCs/>
          <w:iCs/>
          <w:sz w:val="20"/>
          <w:szCs w:val="20"/>
        </w:rPr>
        <w:t xml:space="preserve">Note: </w:t>
      </w:r>
      <w:r>
        <w:rPr>
          <w:bCs/>
          <w:iCs/>
          <w:sz w:val="20"/>
          <w:szCs w:val="20"/>
        </w:rPr>
        <w:t>Reduced emissions and removals</w:t>
      </w:r>
      <w:r w:rsidRPr="006F72DC">
        <w:rPr>
          <w:bCs/>
          <w:iCs/>
          <w:sz w:val="20"/>
          <w:szCs w:val="20"/>
        </w:rPr>
        <w:t xml:space="preserve"> denoted by a negative sign. </w:t>
      </w:r>
      <w:r>
        <w:rPr>
          <w:bCs/>
          <w:iCs/>
          <w:sz w:val="20"/>
          <w:szCs w:val="20"/>
        </w:rPr>
        <w:t>Net emissions are the sum of BAU emissions and emissions reductions.</w:t>
      </w:r>
    </w:p>
    <w:p w14:paraId="76BEBCF4" w14:textId="6F1F57B1" w:rsidR="00C15F5F" w:rsidRPr="00B232D6" w:rsidRDefault="00F06FAE" w:rsidP="00B232D6">
      <w:pPr>
        <w:pStyle w:val="berschrift1"/>
        <w:rPr>
          <w:sz w:val="28"/>
        </w:rPr>
      </w:pPr>
      <w:r w:rsidRPr="00B232D6">
        <w:rPr>
          <w:sz w:val="28"/>
        </w:rPr>
        <w:t>Scenarios</w:t>
      </w:r>
    </w:p>
    <w:p w14:paraId="2E8AE193" w14:textId="511FF0C8" w:rsidR="00F06FAE" w:rsidRDefault="00F06FAE">
      <w:r>
        <w:t>For numerical simulations</w:t>
      </w:r>
      <w:r w:rsidR="0030629F">
        <w:t>,</w:t>
      </w:r>
      <w:r>
        <w:t xml:space="preserve"> we consider one reference scenario and two removal scenarios.</w:t>
      </w:r>
    </w:p>
    <w:p w14:paraId="4C7BCD66" w14:textId="3ABE1A7A" w:rsidR="00F06FAE" w:rsidRPr="00B232D6" w:rsidRDefault="00F06FAE">
      <w:pPr>
        <w:rPr>
          <w:bCs/>
          <w:i/>
          <w:iCs/>
        </w:rPr>
      </w:pPr>
      <w:r w:rsidRPr="00B232D6">
        <w:rPr>
          <w:bCs/>
          <w:i/>
          <w:iCs/>
        </w:rPr>
        <w:t xml:space="preserve">Reference scenario </w:t>
      </w:r>
    </w:p>
    <w:p w14:paraId="38BF9112" w14:textId="535CC059" w:rsidR="00990579" w:rsidRDefault="00F06FAE">
      <w:r>
        <w:t xml:space="preserve">The reference scenario represents BAU deforestation </w:t>
      </w:r>
      <w:r w:rsidR="00CB5264">
        <w:t>and</w:t>
      </w:r>
      <w:r>
        <w:t xml:space="preserve"> BAU reforestation. The net emissions under the reference scenario </w:t>
      </w:r>
      <w:r w:rsidR="0030629F">
        <w:t>are</w:t>
      </w:r>
      <w:r>
        <w:t xml:space="preserve"> </w:t>
      </w:r>
      <w:r w:rsidR="006F4AA1">
        <w:t>224 Gt CO</w:t>
      </w:r>
      <w:r w:rsidR="006F4AA1" w:rsidRPr="00B232D6">
        <w:rPr>
          <w:vertAlign w:val="subscript"/>
        </w:rPr>
        <w:t>2</w:t>
      </w:r>
      <w:r w:rsidR="006F4AA1">
        <w:t xml:space="preserve"> over the modeling period</w:t>
      </w:r>
      <w:r w:rsidR="0030629F">
        <w:t xml:space="preserve"> (20</w:t>
      </w:r>
      <w:r w:rsidR="00990579">
        <w:t>20</w:t>
      </w:r>
      <w:r w:rsidR="0030629F">
        <w:t>– 2</w:t>
      </w:r>
      <w:r w:rsidR="00990579">
        <w:t>100</w:t>
      </w:r>
      <w:r w:rsidR="0030629F">
        <w:t>)</w:t>
      </w:r>
      <w:r w:rsidR="006F4AA1">
        <w:t xml:space="preserve">. </w:t>
      </w:r>
    </w:p>
    <w:p w14:paraId="6A2FEDB6" w14:textId="2019BBED" w:rsidR="00990579" w:rsidRPr="00B232D6" w:rsidRDefault="00E412AC">
      <w:pPr>
        <w:rPr>
          <w:bCs/>
          <w:i/>
          <w:iCs/>
        </w:rPr>
      </w:pPr>
      <w:r>
        <w:rPr>
          <w:bCs/>
          <w:i/>
          <w:iCs/>
        </w:rPr>
        <w:t>Reduced deforestation</w:t>
      </w:r>
      <w:r w:rsidR="00990579" w:rsidRPr="00B232D6">
        <w:rPr>
          <w:bCs/>
          <w:i/>
          <w:iCs/>
        </w:rPr>
        <w:t xml:space="preserve"> only</w:t>
      </w:r>
    </w:p>
    <w:p w14:paraId="4D26897F" w14:textId="284BECCD" w:rsidR="00990579" w:rsidRDefault="006F4AA1">
      <w:r>
        <w:t>The next scenario</w:t>
      </w:r>
      <w:r w:rsidR="00990579">
        <w:t xml:space="preserve"> (</w:t>
      </w:r>
      <w:r w:rsidR="00CB5264">
        <w:t>deforestation</w:t>
      </w:r>
      <w:r w:rsidR="00990579">
        <w:t xml:space="preserve"> only)</w:t>
      </w:r>
      <w:r>
        <w:t xml:space="preserve"> includes only </w:t>
      </w:r>
      <w:r w:rsidR="00672AB8">
        <w:t xml:space="preserve">the </w:t>
      </w:r>
      <w:r w:rsidR="00E412AC">
        <w:t>potential to reduce emissions from deforestation</w:t>
      </w:r>
      <w:r>
        <w:t xml:space="preserve"> with the minimum </w:t>
      </w:r>
      <w:r w:rsidR="0030629F">
        <w:t xml:space="preserve">of </w:t>
      </w:r>
      <w:r>
        <w:t>-26 G</w:t>
      </w:r>
      <w:r w:rsidR="00B232D6">
        <w:t>t</w:t>
      </w:r>
      <w:r>
        <w:t>CO</w:t>
      </w:r>
      <w:r w:rsidRPr="00B232D6">
        <w:rPr>
          <w:vertAlign w:val="subscript"/>
        </w:rPr>
        <w:t>2</w:t>
      </w:r>
      <w:r w:rsidR="0030629F">
        <w:t xml:space="preserve"> in net emissions</w:t>
      </w:r>
      <w:r>
        <w:t xml:space="preserve"> (assuming carbon price </w:t>
      </w:r>
      <w:r w:rsidR="00E412AC">
        <w:t xml:space="preserve">of </w:t>
      </w:r>
      <w:r>
        <w:t>$100/t CO</w:t>
      </w:r>
      <w:r w:rsidRPr="00B232D6">
        <w:rPr>
          <w:vertAlign w:val="subscript"/>
        </w:rPr>
        <w:t>2</w:t>
      </w:r>
      <w:r>
        <w:t xml:space="preserve">).  </w:t>
      </w:r>
    </w:p>
    <w:p w14:paraId="6DB64073" w14:textId="03C83F7B" w:rsidR="00990579" w:rsidRPr="00B232D6" w:rsidRDefault="00E412AC">
      <w:pPr>
        <w:rPr>
          <w:bCs/>
          <w:i/>
          <w:iCs/>
        </w:rPr>
      </w:pPr>
      <w:r>
        <w:rPr>
          <w:bCs/>
          <w:i/>
          <w:iCs/>
        </w:rPr>
        <w:t>Reduced deforestation plus</w:t>
      </w:r>
      <w:r w:rsidR="00990579" w:rsidRPr="00B232D6">
        <w:rPr>
          <w:bCs/>
          <w:i/>
          <w:iCs/>
        </w:rPr>
        <w:t xml:space="preserve"> </w:t>
      </w:r>
      <w:r w:rsidR="00CB5264">
        <w:rPr>
          <w:bCs/>
          <w:i/>
          <w:iCs/>
        </w:rPr>
        <w:t>r</w:t>
      </w:r>
      <w:r w:rsidR="00990579" w:rsidRPr="00B232D6">
        <w:rPr>
          <w:bCs/>
          <w:i/>
          <w:iCs/>
        </w:rPr>
        <w:t>eforestation</w:t>
      </w:r>
    </w:p>
    <w:p w14:paraId="64172E34" w14:textId="07870F7B" w:rsidR="00965CD4" w:rsidRDefault="006F4AA1">
      <w:r>
        <w:t xml:space="preserve">The </w:t>
      </w:r>
      <w:r w:rsidR="00990579">
        <w:t>third</w:t>
      </w:r>
      <w:r>
        <w:t xml:space="preserve"> scenario</w:t>
      </w:r>
      <w:r w:rsidR="00990579">
        <w:t xml:space="preserve"> (</w:t>
      </w:r>
      <w:r w:rsidR="00CB5264">
        <w:t>r</w:t>
      </w:r>
      <w:r w:rsidR="00E412AC">
        <w:t>educed deforestation plus</w:t>
      </w:r>
      <w:r w:rsidR="00990579">
        <w:t xml:space="preserve"> </w:t>
      </w:r>
      <w:r w:rsidR="00E412AC">
        <w:t>r</w:t>
      </w:r>
      <w:r w:rsidR="00990579">
        <w:t>eforestation)</w:t>
      </w:r>
      <w:r>
        <w:t xml:space="preserve"> </w:t>
      </w:r>
      <w:r w:rsidR="00990579">
        <w:t xml:space="preserve">includes an additional supply </w:t>
      </w:r>
      <w:r w:rsidR="00E412AC">
        <w:t xml:space="preserve">of emissions removals </w:t>
      </w:r>
      <w:r w:rsidR="00990579">
        <w:t>from</w:t>
      </w:r>
      <w:r>
        <w:t xml:space="preserve"> reforestation. Th</w:t>
      </w:r>
      <w:r w:rsidR="00CB5264">
        <w:t xml:space="preserve">e realization of this full modelled REDD+ potential yields </w:t>
      </w:r>
      <w:r>
        <w:t xml:space="preserve">net </w:t>
      </w:r>
      <w:r w:rsidR="00CB5264">
        <w:t xml:space="preserve">tropical forest </w:t>
      </w:r>
      <w:r>
        <w:t>emission</w:t>
      </w:r>
      <w:r w:rsidR="00E412AC">
        <w:t>s</w:t>
      </w:r>
      <w:r>
        <w:t xml:space="preserve"> </w:t>
      </w:r>
      <w:r w:rsidR="00CB5264">
        <w:t xml:space="preserve">of </w:t>
      </w:r>
      <w:r>
        <w:t xml:space="preserve">-98 </w:t>
      </w:r>
      <w:r w:rsidR="00B232D6">
        <w:t>G</w:t>
      </w:r>
      <w:r>
        <w:t>tCO</w:t>
      </w:r>
      <w:r w:rsidRPr="00B232D6">
        <w:rPr>
          <w:vertAlign w:val="subscript"/>
        </w:rPr>
        <w:t>2</w:t>
      </w:r>
      <w:r>
        <w:t>.</w:t>
      </w:r>
    </w:p>
    <w:p w14:paraId="6424142B" w14:textId="49504DC5" w:rsidR="00D912F5" w:rsidRDefault="00D912F5" w:rsidP="000508FC">
      <w:pPr>
        <w:pStyle w:val="berschrift1"/>
        <w:rPr>
          <w:sz w:val="28"/>
        </w:rPr>
      </w:pPr>
      <w:r w:rsidRPr="000508FC">
        <w:rPr>
          <w:sz w:val="28"/>
        </w:rPr>
        <w:t>References</w:t>
      </w:r>
    </w:p>
    <w:p w14:paraId="76F710CF" w14:textId="21CFBA38" w:rsidR="00C97D81" w:rsidRPr="00C97D81" w:rsidRDefault="000508FC" w:rsidP="00C97D81">
      <w:pPr>
        <w:widowControl w:val="0"/>
        <w:autoSpaceDE w:val="0"/>
        <w:autoSpaceDN w:val="0"/>
        <w:adjustRightInd w:val="0"/>
        <w:spacing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00C97D81" w:rsidRPr="00C97D81">
        <w:rPr>
          <w:rFonts w:ascii="Calibri" w:hAnsi="Calibri" w:cs="Calibri"/>
          <w:noProof/>
          <w:szCs w:val="24"/>
        </w:rPr>
        <w:t xml:space="preserve">Busch, J., Engelmann, J., Cook-Patton, S. C., Griscom, B. W., Kroeger, T., Possingham, H., &amp; Shyamsundar, P. (2019). Potential for low-cost carbon dioxide removal through tropical reforestation. </w:t>
      </w:r>
      <w:r w:rsidR="00C97D81" w:rsidRPr="00C97D81">
        <w:rPr>
          <w:rFonts w:ascii="Calibri" w:hAnsi="Calibri" w:cs="Calibri"/>
          <w:i/>
          <w:iCs/>
          <w:noProof/>
          <w:szCs w:val="24"/>
        </w:rPr>
        <w:t>Nature Climate Change</w:t>
      </w:r>
      <w:r w:rsidR="00C97D81" w:rsidRPr="00C97D81">
        <w:rPr>
          <w:rFonts w:ascii="Calibri" w:hAnsi="Calibri" w:cs="Calibri"/>
          <w:noProof/>
          <w:szCs w:val="24"/>
        </w:rPr>
        <w:t xml:space="preserve">, </w:t>
      </w:r>
      <w:r w:rsidR="00C97D81" w:rsidRPr="00C97D81">
        <w:rPr>
          <w:rFonts w:ascii="Calibri" w:hAnsi="Calibri" w:cs="Calibri"/>
          <w:i/>
          <w:iCs/>
          <w:noProof/>
          <w:szCs w:val="24"/>
        </w:rPr>
        <w:t>9</w:t>
      </w:r>
      <w:r w:rsidR="00C97D81" w:rsidRPr="00C97D81">
        <w:rPr>
          <w:rFonts w:ascii="Calibri" w:hAnsi="Calibri" w:cs="Calibri"/>
          <w:noProof/>
          <w:szCs w:val="24"/>
        </w:rPr>
        <w:t>(6), 463–466. https://doi.org/10.1038/s41558-019-0485-x</w:t>
      </w:r>
    </w:p>
    <w:p w14:paraId="7F4CDBFE" w14:textId="77777777" w:rsidR="00C97D81" w:rsidRPr="00C97D81" w:rsidRDefault="00C97D81" w:rsidP="00C97D81">
      <w:pPr>
        <w:widowControl w:val="0"/>
        <w:autoSpaceDE w:val="0"/>
        <w:autoSpaceDN w:val="0"/>
        <w:adjustRightInd w:val="0"/>
        <w:spacing w:line="240" w:lineRule="auto"/>
        <w:ind w:left="480" w:hanging="480"/>
        <w:rPr>
          <w:rFonts w:ascii="Calibri" w:hAnsi="Calibri" w:cs="Calibri"/>
          <w:noProof/>
          <w:szCs w:val="24"/>
        </w:rPr>
      </w:pPr>
      <w:r w:rsidRPr="00C97D81">
        <w:rPr>
          <w:rFonts w:ascii="Calibri" w:hAnsi="Calibri" w:cs="Calibri"/>
          <w:noProof/>
          <w:szCs w:val="24"/>
        </w:rPr>
        <w:t xml:space="preserve">Golub, A., Lubowski, R., &amp; Piris-Cabezas, P. (2017). Balancing Risks from Climate Policy Uncertainties: The Role of Options and Reduced Emissions from Deforestation and Forest Degradation. </w:t>
      </w:r>
      <w:r w:rsidRPr="00C97D81">
        <w:rPr>
          <w:rFonts w:ascii="Calibri" w:hAnsi="Calibri" w:cs="Calibri"/>
          <w:i/>
          <w:iCs/>
          <w:noProof/>
          <w:szCs w:val="24"/>
        </w:rPr>
        <w:t xml:space="preserve">Ecological </w:t>
      </w:r>
      <w:r w:rsidRPr="00C97D81">
        <w:rPr>
          <w:rFonts w:ascii="Calibri" w:hAnsi="Calibri" w:cs="Calibri"/>
          <w:i/>
          <w:iCs/>
          <w:noProof/>
          <w:szCs w:val="24"/>
        </w:rPr>
        <w:lastRenderedPageBreak/>
        <w:t>Economics</w:t>
      </w:r>
      <w:r w:rsidRPr="00C97D81">
        <w:rPr>
          <w:rFonts w:ascii="Calibri" w:hAnsi="Calibri" w:cs="Calibri"/>
          <w:noProof/>
          <w:szCs w:val="24"/>
        </w:rPr>
        <w:t xml:space="preserve">, </w:t>
      </w:r>
      <w:r w:rsidRPr="00C97D81">
        <w:rPr>
          <w:rFonts w:ascii="Calibri" w:hAnsi="Calibri" w:cs="Calibri"/>
          <w:i/>
          <w:iCs/>
          <w:noProof/>
          <w:szCs w:val="24"/>
        </w:rPr>
        <w:t>138</w:t>
      </w:r>
      <w:r w:rsidRPr="00C97D81">
        <w:rPr>
          <w:rFonts w:ascii="Calibri" w:hAnsi="Calibri" w:cs="Calibri"/>
          <w:noProof/>
          <w:szCs w:val="24"/>
        </w:rPr>
        <w:t>, 90–98. https://doi.org/https://doi.org/10.1016/j.ecolecon.2017.03.013</w:t>
      </w:r>
    </w:p>
    <w:p w14:paraId="42A096C9" w14:textId="77777777" w:rsidR="00C97D81" w:rsidRPr="00C97D81" w:rsidRDefault="00C97D81" w:rsidP="00C97D81">
      <w:pPr>
        <w:widowControl w:val="0"/>
        <w:autoSpaceDE w:val="0"/>
        <w:autoSpaceDN w:val="0"/>
        <w:adjustRightInd w:val="0"/>
        <w:spacing w:line="240" w:lineRule="auto"/>
        <w:ind w:left="480" w:hanging="480"/>
        <w:rPr>
          <w:rFonts w:ascii="Calibri" w:hAnsi="Calibri" w:cs="Calibri"/>
          <w:noProof/>
        </w:rPr>
      </w:pPr>
      <w:r w:rsidRPr="00C97D81">
        <w:rPr>
          <w:rFonts w:ascii="Calibri" w:hAnsi="Calibri" w:cs="Calibri"/>
          <w:noProof/>
          <w:szCs w:val="24"/>
        </w:rPr>
        <w:t xml:space="preserve">Gusti, M., Khabarov, N., &amp; Forsell, N. (2015). Sensitivity of marginal abatement cost curves to variation of G4M parameters. In </w:t>
      </w:r>
      <w:r w:rsidRPr="00C97D81">
        <w:rPr>
          <w:rFonts w:ascii="Calibri" w:hAnsi="Calibri" w:cs="Calibri"/>
          <w:i/>
          <w:iCs/>
          <w:noProof/>
          <w:szCs w:val="24"/>
        </w:rPr>
        <w:t>Proceedings. 4th International Workshop on Uncertainty in Atmospheric Emissions. 7–9 October 2015. Krakow. Poland</w:t>
      </w:r>
      <w:r w:rsidRPr="00C97D81">
        <w:rPr>
          <w:rFonts w:ascii="Calibri" w:hAnsi="Calibri" w:cs="Calibri"/>
          <w:noProof/>
          <w:szCs w:val="24"/>
        </w:rPr>
        <w:t xml:space="preserve"> (pp. 152–158). Polish Academy of Sciences.</w:t>
      </w:r>
    </w:p>
    <w:p w14:paraId="28C46B84" w14:textId="62D2D0C2" w:rsidR="000508FC" w:rsidRPr="000508FC" w:rsidRDefault="000508FC" w:rsidP="003429D6">
      <w:pPr>
        <w:widowControl w:val="0"/>
        <w:autoSpaceDE w:val="0"/>
        <w:autoSpaceDN w:val="0"/>
        <w:adjustRightInd w:val="0"/>
        <w:spacing w:line="240" w:lineRule="auto"/>
        <w:ind w:left="480" w:hanging="480"/>
      </w:pPr>
      <w:r>
        <w:fldChar w:fldCharType="end"/>
      </w:r>
    </w:p>
    <w:sectPr w:rsidR="000508FC" w:rsidRPr="000508F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AE546" w14:textId="77777777" w:rsidR="00D2635B" w:rsidRDefault="00D2635B" w:rsidP="00356DC4">
      <w:pPr>
        <w:spacing w:after="0" w:line="240" w:lineRule="auto"/>
      </w:pPr>
      <w:r>
        <w:separator/>
      </w:r>
    </w:p>
  </w:endnote>
  <w:endnote w:type="continuationSeparator" w:id="0">
    <w:p w14:paraId="3B3A39B8" w14:textId="77777777" w:rsidR="00D2635B" w:rsidRDefault="00D2635B" w:rsidP="0035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333416"/>
      <w:docPartObj>
        <w:docPartGallery w:val="Page Numbers (Bottom of Page)"/>
        <w:docPartUnique/>
      </w:docPartObj>
    </w:sdtPr>
    <w:sdtEndPr/>
    <w:sdtContent>
      <w:p w14:paraId="05CDFD3F" w14:textId="1F6A4CD3" w:rsidR="00356DC4" w:rsidRDefault="00356DC4">
        <w:pPr>
          <w:pStyle w:val="Fuzeile"/>
          <w:jc w:val="right"/>
        </w:pPr>
        <w:r>
          <w:fldChar w:fldCharType="begin"/>
        </w:r>
        <w:r>
          <w:instrText>PAGE   \* MERGEFORMAT</w:instrText>
        </w:r>
        <w:r>
          <w:fldChar w:fldCharType="separate"/>
        </w:r>
        <w:r>
          <w:rPr>
            <w:lang w:val="de-DE"/>
          </w:rPr>
          <w:t>2</w:t>
        </w:r>
        <w:r>
          <w:fldChar w:fldCharType="end"/>
        </w:r>
      </w:p>
    </w:sdtContent>
  </w:sdt>
  <w:p w14:paraId="6BB93F38" w14:textId="77777777" w:rsidR="00356DC4" w:rsidRDefault="00356D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82F33" w14:textId="77777777" w:rsidR="00D2635B" w:rsidRDefault="00D2635B" w:rsidP="00356DC4">
      <w:pPr>
        <w:spacing w:after="0" w:line="240" w:lineRule="auto"/>
      </w:pPr>
      <w:r>
        <w:separator/>
      </w:r>
    </w:p>
  </w:footnote>
  <w:footnote w:type="continuationSeparator" w:id="0">
    <w:p w14:paraId="4228D303" w14:textId="77777777" w:rsidR="00D2635B" w:rsidRDefault="00D2635B" w:rsidP="00356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0EA1" w14:textId="3217632B" w:rsidR="00356DC4" w:rsidRPr="00356DC4" w:rsidRDefault="00356DC4" w:rsidP="00356DC4">
    <w:pPr>
      <w:pStyle w:val="Kopfzeile"/>
      <w:jc w:val="right"/>
    </w:pPr>
    <w:r>
      <w:t xml:space="preserve">Supplementary Material </w:t>
    </w:r>
    <w:r>
      <w:rPr>
        <w:i/>
      </w:rPr>
      <w:t>Fuss et al.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5BA"/>
    <w:multiLevelType w:val="hybridMultilevel"/>
    <w:tmpl w:val="F9643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B92EFC"/>
    <w:multiLevelType w:val="hybridMultilevel"/>
    <w:tmpl w:val="8340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0C"/>
    <w:rsid w:val="00030E61"/>
    <w:rsid w:val="000508FC"/>
    <w:rsid w:val="00067260"/>
    <w:rsid w:val="00072AC1"/>
    <w:rsid w:val="00087FF0"/>
    <w:rsid w:val="0010094E"/>
    <w:rsid w:val="00113E74"/>
    <w:rsid w:val="00187AC8"/>
    <w:rsid w:val="001C27D1"/>
    <w:rsid w:val="002204D3"/>
    <w:rsid w:val="00223440"/>
    <w:rsid w:val="00246BCF"/>
    <w:rsid w:val="002951FF"/>
    <w:rsid w:val="002A24F8"/>
    <w:rsid w:val="002D2D76"/>
    <w:rsid w:val="002F10E2"/>
    <w:rsid w:val="002F1691"/>
    <w:rsid w:val="0030629F"/>
    <w:rsid w:val="00311232"/>
    <w:rsid w:val="00320AB4"/>
    <w:rsid w:val="003429D6"/>
    <w:rsid w:val="00352A8C"/>
    <w:rsid w:val="00356DC4"/>
    <w:rsid w:val="00363DAD"/>
    <w:rsid w:val="00432BDB"/>
    <w:rsid w:val="004638F4"/>
    <w:rsid w:val="004A2E01"/>
    <w:rsid w:val="004B537F"/>
    <w:rsid w:val="004D267F"/>
    <w:rsid w:val="004F1C30"/>
    <w:rsid w:val="004F6A60"/>
    <w:rsid w:val="00512C24"/>
    <w:rsid w:val="00521FE0"/>
    <w:rsid w:val="00566459"/>
    <w:rsid w:val="00577BCE"/>
    <w:rsid w:val="00587495"/>
    <w:rsid w:val="00590E95"/>
    <w:rsid w:val="00611421"/>
    <w:rsid w:val="006726C1"/>
    <w:rsid w:val="00672AB8"/>
    <w:rsid w:val="00687DC4"/>
    <w:rsid w:val="006954A5"/>
    <w:rsid w:val="006D237B"/>
    <w:rsid w:val="006F4AA1"/>
    <w:rsid w:val="00760EDE"/>
    <w:rsid w:val="007B1596"/>
    <w:rsid w:val="007C3CC3"/>
    <w:rsid w:val="007D116F"/>
    <w:rsid w:val="007F571B"/>
    <w:rsid w:val="008352E7"/>
    <w:rsid w:val="008446A2"/>
    <w:rsid w:val="009409FC"/>
    <w:rsid w:val="00953D16"/>
    <w:rsid w:val="00965CD4"/>
    <w:rsid w:val="00987F9A"/>
    <w:rsid w:val="00990579"/>
    <w:rsid w:val="009D2E75"/>
    <w:rsid w:val="00A111A0"/>
    <w:rsid w:val="00A5050C"/>
    <w:rsid w:val="00AA475C"/>
    <w:rsid w:val="00AC27B5"/>
    <w:rsid w:val="00B22D81"/>
    <w:rsid w:val="00B232D6"/>
    <w:rsid w:val="00C1493F"/>
    <w:rsid w:val="00C15F5F"/>
    <w:rsid w:val="00C22F66"/>
    <w:rsid w:val="00C33DA2"/>
    <w:rsid w:val="00C60408"/>
    <w:rsid w:val="00C97D81"/>
    <w:rsid w:val="00CB5264"/>
    <w:rsid w:val="00CB5D34"/>
    <w:rsid w:val="00D023B1"/>
    <w:rsid w:val="00D03689"/>
    <w:rsid w:val="00D2635B"/>
    <w:rsid w:val="00D324E0"/>
    <w:rsid w:val="00D35428"/>
    <w:rsid w:val="00D80327"/>
    <w:rsid w:val="00D912F5"/>
    <w:rsid w:val="00E35486"/>
    <w:rsid w:val="00E35A14"/>
    <w:rsid w:val="00E412AC"/>
    <w:rsid w:val="00E47ACE"/>
    <w:rsid w:val="00EA0DA4"/>
    <w:rsid w:val="00ED3099"/>
    <w:rsid w:val="00EF6D83"/>
    <w:rsid w:val="00F04CEA"/>
    <w:rsid w:val="00F06FAE"/>
    <w:rsid w:val="00F240C4"/>
    <w:rsid w:val="00F41B9C"/>
    <w:rsid w:val="00F43ECE"/>
    <w:rsid w:val="00F70F79"/>
    <w:rsid w:val="00F801AF"/>
    <w:rsid w:val="00FC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F958E"/>
  <w15:chartTrackingRefBased/>
  <w15:docId w15:val="{F108ED70-FC87-47C8-835A-4B508F9A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32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232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50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11421"/>
    <w:rPr>
      <w:sz w:val="16"/>
      <w:szCs w:val="16"/>
    </w:rPr>
  </w:style>
  <w:style w:type="paragraph" w:styleId="Kommentartext">
    <w:name w:val="annotation text"/>
    <w:basedOn w:val="Standard"/>
    <w:link w:val="KommentartextZchn"/>
    <w:uiPriority w:val="99"/>
    <w:unhideWhenUsed/>
    <w:rsid w:val="00611421"/>
    <w:pPr>
      <w:spacing w:line="240" w:lineRule="auto"/>
    </w:pPr>
    <w:rPr>
      <w:sz w:val="20"/>
      <w:szCs w:val="20"/>
    </w:rPr>
  </w:style>
  <w:style w:type="character" w:customStyle="1" w:styleId="KommentartextZchn">
    <w:name w:val="Kommentartext Zchn"/>
    <w:basedOn w:val="Absatz-Standardschriftart"/>
    <w:link w:val="Kommentartext"/>
    <w:uiPriority w:val="99"/>
    <w:rsid w:val="00611421"/>
    <w:rPr>
      <w:sz w:val="20"/>
      <w:szCs w:val="20"/>
    </w:rPr>
  </w:style>
  <w:style w:type="paragraph" w:styleId="Kommentarthema">
    <w:name w:val="annotation subject"/>
    <w:basedOn w:val="Kommentartext"/>
    <w:next w:val="Kommentartext"/>
    <w:link w:val="KommentarthemaZchn"/>
    <w:uiPriority w:val="99"/>
    <w:semiHidden/>
    <w:unhideWhenUsed/>
    <w:rsid w:val="00611421"/>
    <w:rPr>
      <w:b/>
      <w:bCs/>
    </w:rPr>
  </w:style>
  <w:style w:type="character" w:customStyle="1" w:styleId="KommentarthemaZchn">
    <w:name w:val="Kommentarthema Zchn"/>
    <w:basedOn w:val="KommentartextZchn"/>
    <w:link w:val="Kommentarthema"/>
    <w:uiPriority w:val="99"/>
    <w:semiHidden/>
    <w:rsid w:val="00611421"/>
    <w:rPr>
      <w:b/>
      <w:bCs/>
      <w:sz w:val="20"/>
      <w:szCs w:val="20"/>
    </w:rPr>
  </w:style>
  <w:style w:type="paragraph" w:styleId="Sprechblasentext">
    <w:name w:val="Balloon Text"/>
    <w:basedOn w:val="Standard"/>
    <w:link w:val="SprechblasentextZchn"/>
    <w:uiPriority w:val="99"/>
    <w:semiHidden/>
    <w:unhideWhenUsed/>
    <w:rsid w:val="0061142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1421"/>
    <w:rPr>
      <w:rFonts w:ascii="Segoe UI" w:hAnsi="Segoe UI" w:cs="Segoe UI"/>
      <w:sz w:val="18"/>
      <w:szCs w:val="18"/>
    </w:rPr>
  </w:style>
  <w:style w:type="paragraph" w:styleId="berarbeitung">
    <w:name w:val="Revision"/>
    <w:hidden/>
    <w:uiPriority w:val="99"/>
    <w:semiHidden/>
    <w:rsid w:val="00EF6D83"/>
    <w:pPr>
      <w:spacing w:after="0" w:line="240" w:lineRule="auto"/>
    </w:pPr>
  </w:style>
  <w:style w:type="paragraph" w:styleId="Listenabsatz">
    <w:name w:val="List Paragraph"/>
    <w:basedOn w:val="Standard"/>
    <w:uiPriority w:val="34"/>
    <w:qFormat/>
    <w:rsid w:val="00EF6D83"/>
    <w:pPr>
      <w:ind w:left="720"/>
      <w:contextualSpacing/>
    </w:pPr>
  </w:style>
  <w:style w:type="paragraph" w:styleId="Titel">
    <w:name w:val="Title"/>
    <w:basedOn w:val="Standard"/>
    <w:next w:val="Standard"/>
    <w:link w:val="TitelZchn"/>
    <w:uiPriority w:val="10"/>
    <w:qFormat/>
    <w:rsid w:val="00B232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32D6"/>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B232D6"/>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232D6"/>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semiHidden/>
    <w:unhideWhenUsed/>
    <w:rsid w:val="009D2E75"/>
    <w:rPr>
      <w:color w:val="0563C1"/>
      <w:u w:val="single"/>
    </w:rPr>
  </w:style>
  <w:style w:type="character" w:styleId="Hervorhebung">
    <w:name w:val="Emphasis"/>
    <w:basedOn w:val="Absatz-Standardschriftart"/>
    <w:uiPriority w:val="20"/>
    <w:qFormat/>
    <w:rsid w:val="009D2E75"/>
    <w:rPr>
      <w:b/>
      <w:bCs/>
      <w:i w:val="0"/>
      <w:iCs w:val="0"/>
    </w:rPr>
  </w:style>
  <w:style w:type="character" w:customStyle="1" w:styleId="Date1">
    <w:name w:val="Date1"/>
    <w:basedOn w:val="Absatz-Standardschriftart"/>
    <w:rsid w:val="009D2E75"/>
  </w:style>
  <w:style w:type="character" w:customStyle="1" w:styleId="publication">
    <w:name w:val="publication"/>
    <w:basedOn w:val="Absatz-Standardschriftart"/>
    <w:rsid w:val="009D2E75"/>
  </w:style>
  <w:style w:type="paragraph" w:styleId="StandardWeb">
    <w:name w:val="Normal (Web)"/>
    <w:basedOn w:val="Standard"/>
    <w:uiPriority w:val="99"/>
    <w:semiHidden/>
    <w:unhideWhenUsed/>
    <w:rsid w:val="002F10E2"/>
    <w:pPr>
      <w:spacing w:before="100" w:beforeAutospacing="1" w:after="100" w:afterAutospacing="1" w:line="240" w:lineRule="auto"/>
    </w:pPr>
    <w:rPr>
      <w:rFonts w:ascii="Verdana" w:hAnsi="Verdana" w:cs="Times New Roman"/>
      <w:color w:val="000000"/>
      <w:sz w:val="17"/>
      <w:szCs w:val="17"/>
    </w:rPr>
  </w:style>
  <w:style w:type="paragraph" w:styleId="Kopfzeile">
    <w:name w:val="header"/>
    <w:basedOn w:val="Standard"/>
    <w:link w:val="KopfzeileZchn"/>
    <w:uiPriority w:val="99"/>
    <w:unhideWhenUsed/>
    <w:rsid w:val="00356D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6DC4"/>
  </w:style>
  <w:style w:type="paragraph" w:styleId="Fuzeile">
    <w:name w:val="footer"/>
    <w:basedOn w:val="Standard"/>
    <w:link w:val="FuzeileZchn"/>
    <w:uiPriority w:val="99"/>
    <w:unhideWhenUsed/>
    <w:rsid w:val="00356D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6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04081">
      <w:bodyDiv w:val="1"/>
      <w:marLeft w:val="0"/>
      <w:marRight w:val="0"/>
      <w:marTop w:val="0"/>
      <w:marBottom w:val="0"/>
      <w:divBdr>
        <w:top w:val="none" w:sz="0" w:space="0" w:color="auto"/>
        <w:left w:val="none" w:sz="0" w:space="0" w:color="auto"/>
        <w:bottom w:val="none" w:sz="0" w:space="0" w:color="auto"/>
        <w:right w:val="none" w:sz="0" w:space="0" w:color="auto"/>
      </w:divBdr>
    </w:div>
    <w:div w:id="400492033">
      <w:bodyDiv w:val="1"/>
      <w:marLeft w:val="0"/>
      <w:marRight w:val="0"/>
      <w:marTop w:val="0"/>
      <w:marBottom w:val="0"/>
      <w:divBdr>
        <w:top w:val="none" w:sz="0" w:space="0" w:color="auto"/>
        <w:left w:val="none" w:sz="0" w:space="0" w:color="auto"/>
        <w:bottom w:val="none" w:sz="0" w:space="0" w:color="auto"/>
        <w:right w:val="none" w:sz="0" w:space="0" w:color="auto"/>
      </w:divBdr>
    </w:div>
    <w:div w:id="1372922917">
      <w:bodyDiv w:val="1"/>
      <w:marLeft w:val="0"/>
      <w:marRight w:val="0"/>
      <w:marTop w:val="0"/>
      <w:marBottom w:val="0"/>
      <w:divBdr>
        <w:top w:val="none" w:sz="0" w:space="0" w:color="auto"/>
        <w:left w:val="none" w:sz="0" w:space="0" w:color="auto"/>
        <w:bottom w:val="none" w:sz="0" w:space="0" w:color="auto"/>
        <w:right w:val="none" w:sz="0" w:space="0" w:color="auto"/>
      </w:divBdr>
    </w:div>
    <w:div w:id="1707827521">
      <w:bodyDiv w:val="1"/>
      <w:marLeft w:val="0"/>
      <w:marRight w:val="0"/>
      <w:marTop w:val="0"/>
      <w:marBottom w:val="0"/>
      <w:divBdr>
        <w:top w:val="none" w:sz="0" w:space="0" w:color="auto"/>
        <w:left w:val="none" w:sz="0" w:space="0" w:color="auto"/>
        <w:bottom w:val="none" w:sz="0" w:space="0" w:color="auto"/>
        <w:right w:val="none" w:sz="0" w:space="0" w:color="auto"/>
      </w:divBdr>
    </w:div>
    <w:div w:id="1816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0"/>
          <c:tx>
            <c:strRef>
              <c:f>'Fig 1'!$B$13</c:f>
              <c:strCache>
                <c:ptCount val="1"/>
                <c:pt idx="0">
                  <c:v>REDD MACC 2045</c:v>
                </c:pt>
              </c:strCache>
            </c:strRef>
          </c:tx>
          <c:marker>
            <c:symbol val="none"/>
          </c:marker>
          <c:xVal>
            <c:numRef>
              <c:f>'Fig 1'!$C$12:$BJ$12</c:f>
              <c:numCache>
                <c:formatCode>General</c:formatCode>
                <c:ptCount val="60"/>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6.65</c:v>
                </c:pt>
                <c:pt idx="15">
                  <c:v>6.65</c:v>
                </c:pt>
                <c:pt idx="16">
                  <c:v>6.65</c:v>
                </c:pt>
                <c:pt idx="17">
                  <c:v>6.65</c:v>
                </c:pt>
                <c:pt idx="18">
                  <c:v>6.65</c:v>
                </c:pt>
                <c:pt idx="19">
                  <c:v>6.65</c:v>
                </c:pt>
                <c:pt idx="20">
                  <c:v>6.65</c:v>
                </c:pt>
                <c:pt idx="21">
                  <c:v>6.65</c:v>
                </c:pt>
                <c:pt idx="22">
                  <c:v>6.65</c:v>
                </c:pt>
                <c:pt idx="23">
                  <c:v>6.65</c:v>
                </c:pt>
                <c:pt idx="24">
                  <c:v>6.65</c:v>
                </c:pt>
                <c:pt idx="25">
                  <c:v>6.65</c:v>
                </c:pt>
                <c:pt idx="26">
                  <c:v>6.65</c:v>
                </c:pt>
                <c:pt idx="27">
                  <c:v>6.65</c:v>
                </c:pt>
                <c:pt idx="28">
                  <c:v>6.65</c:v>
                </c:pt>
                <c:pt idx="29">
                  <c:v>6.65</c:v>
                </c:pt>
                <c:pt idx="30">
                  <c:v>6.65</c:v>
                </c:pt>
                <c:pt idx="31">
                  <c:v>6.65</c:v>
                </c:pt>
                <c:pt idx="32">
                  <c:v>6.65</c:v>
                </c:pt>
                <c:pt idx="33">
                  <c:v>6.65</c:v>
                </c:pt>
                <c:pt idx="34">
                  <c:v>6.65</c:v>
                </c:pt>
                <c:pt idx="35">
                  <c:v>6.65</c:v>
                </c:pt>
                <c:pt idx="36">
                  <c:v>6.65</c:v>
                </c:pt>
                <c:pt idx="37">
                  <c:v>6.65</c:v>
                </c:pt>
                <c:pt idx="38">
                  <c:v>6.65</c:v>
                </c:pt>
                <c:pt idx="39">
                  <c:v>6.65</c:v>
                </c:pt>
                <c:pt idx="40">
                  <c:v>6.65</c:v>
                </c:pt>
                <c:pt idx="41">
                  <c:v>6.65</c:v>
                </c:pt>
                <c:pt idx="42">
                  <c:v>6.65</c:v>
                </c:pt>
                <c:pt idx="43">
                  <c:v>6.65</c:v>
                </c:pt>
                <c:pt idx="44">
                  <c:v>6.65</c:v>
                </c:pt>
                <c:pt idx="45">
                  <c:v>6.65</c:v>
                </c:pt>
                <c:pt idx="46">
                  <c:v>6.65</c:v>
                </c:pt>
                <c:pt idx="47">
                  <c:v>6.65</c:v>
                </c:pt>
                <c:pt idx="48">
                  <c:v>6.65</c:v>
                </c:pt>
                <c:pt idx="49">
                  <c:v>6.65</c:v>
                </c:pt>
                <c:pt idx="50">
                  <c:v>6.65</c:v>
                </c:pt>
                <c:pt idx="51">
                  <c:v>6.65</c:v>
                </c:pt>
                <c:pt idx="52">
                  <c:v>6.65</c:v>
                </c:pt>
                <c:pt idx="53">
                  <c:v>6.65</c:v>
                </c:pt>
                <c:pt idx="54">
                  <c:v>6.65</c:v>
                </c:pt>
                <c:pt idx="55">
                  <c:v>6.65</c:v>
                </c:pt>
                <c:pt idx="56">
                  <c:v>6.65</c:v>
                </c:pt>
                <c:pt idx="57">
                  <c:v>6.65</c:v>
                </c:pt>
                <c:pt idx="58">
                  <c:v>6.65</c:v>
                </c:pt>
                <c:pt idx="59">
                  <c:v>6.65</c:v>
                </c:pt>
              </c:numCache>
            </c:numRef>
          </c:xVal>
          <c:yVal>
            <c:numRef>
              <c:f>'Fig 1'!$C$13:$BJ$13</c:f>
              <c:numCache>
                <c:formatCode>0</c:formatCode>
                <c:ptCount val="60"/>
                <c:pt idx="0" formatCode="General">
                  <c:v>0</c:v>
                </c:pt>
                <c:pt idx="1">
                  <c:v>1.3855249999999999</c:v>
                </c:pt>
                <c:pt idx="2">
                  <c:v>3.7725</c:v>
                </c:pt>
                <c:pt idx="3">
                  <c:v>7.1609249999999998</c:v>
                </c:pt>
                <c:pt idx="4">
                  <c:v>11.550799999999999</c:v>
                </c:pt>
                <c:pt idx="5">
                  <c:v>16.942125000000001</c:v>
                </c:pt>
                <c:pt idx="6">
                  <c:v>23.334899999999998</c:v>
                </c:pt>
                <c:pt idx="7">
                  <c:v>30.729125</c:v>
                </c:pt>
                <c:pt idx="8">
                  <c:v>39.1248</c:v>
                </c:pt>
                <c:pt idx="9">
                  <c:v>48.521924999999996</c:v>
                </c:pt>
                <c:pt idx="10">
                  <c:v>58.920499999999997</c:v>
                </c:pt>
                <c:pt idx="11">
                  <c:v>70.320525000000004</c:v>
                </c:pt>
                <c:pt idx="12">
                  <c:v>82.721999999999994</c:v>
                </c:pt>
                <c:pt idx="13">
                  <c:v>96</c:v>
                </c:pt>
                <c:pt idx="14">
                  <c:v>100</c:v>
                </c:pt>
                <c:pt idx="15">
                  <c:v>101</c:v>
                </c:pt>
                <c:pt idx="16">
                  <c:v>102</c:v>
                </c:pt>
                <c:pt idx="17">
                  <c:v>103</c:v>
                </c:pt>
                <c:pt idx="18">
                  <c:v>104</c:v>
                </c:pt>
                <c:pt idx="19">
                  <c:v>105</c:v>
                </c:pt>
                <c:pt idx="20">
                  <c:v>106</c:v>
                </c:pt>
                <c:pt idx="21">
                  <c:v>107</c:v>
                </c:pt>
                <c:pt idx="22">
                  <c:v>108</c:v>
                </c:pt>
                <c:pt idx="23">
                  <c:v>109</c:v>
                </c:pt>
                <c:pt idx="24">
                  <c:v>110</c:v>
                </c:pt>
                <c:pt idx="25">
                  <c:v>111</c:v>
                </c:pt>
                <c:pt idx="26">
                  <c:v>112</c:v>
                </c:pt>
                <c:pt idx="27">
                  <c:v>113</c:v>
                </c:pt>
                <c:pt idx="28">
                  <c:v>114</c:v>
                </c:pt>
                <c:pt idx="29">
                  <c:v>115</c:v>
                </c:pt>
                <c:pt idx="30">
                  <c:v>116</c:v>
                </c:pt>
                <c:pt idx="31">
                  <c:v>117</c:v>
                </c:pt>
                <c:pt idx="32">
                  <c:v>118</c:v>
                </c:pt>
                <c:pt idx="33">
                  <c:v>119</c:v>
                </c:pt>
                <c:pt idx="34">
                  <c:v>120</c:v>
                </c:pt>
                <c:pt idx="35">
                  <c:v>121</c:v>
                </c:pt>
                <c:pt idx="36">
                  <c:v>122</c:v>
                </c:pt>
                <c:pt idx="37">
                  <c:v>123</c:v>
                </c:pt>
                <c:pt idx="38">
                  <c:v>124</c:v>
                </c:pt>
                <c:pt idx="39">
                  <c:v>125</c:v>
                </c:pt>
                <c:pt idx="40">
                  <c:v>126</c:v>
                </c:pt>
                <c:pt idx="41">
                  <c:v>127</c:v>
                </c:pt>
                <c:pt idx="42">
                  <c:v>128</c:v>
                </c:pt>
                <c:pt idx="43">
                  <c:v>129</c:v>
                </c:pt>
                <c:pt idx="44">
                  <c:v>130</c:v>
                </c:pt>
                <c:pt idx="45">
                  <c:v>131</c:v>
                </c:pt>
                <c:pt idx="46">
                  <c:v>132</c:v>
                </c:pt>
                <c:pt idx="47">
                  <c:v>133</c:v>
                </c:pt>
                <c:pt idx="48">
                  <c:v>134</c:v>
                </c:pt>
                <c:pt idx="49">
                  <c:v>135</c:v>
                </c:pt>
                <c:pt idx="50">
                  <c:v>136</c:v>
                </c:pt>
                <c:pt idx="51">
                  <c:v>137</c:v>
                </c:pt>
                <c:pt idx="52">
                  <c:v>138</c:v>
                </c:pt>
                <c:pt idx="53">
                  <c:v>139</c:v>
                </c:pt>
                <c:pt idx="54">
                  <c:v>140</c:v>
                </c:pt>
                <c:pt idx="55">
                  <c:v>141</c:v>
                </c:pt>
                <c:pt idx="56">
                  <c:v>142</c:v>
                </c:pt>
                <c:pt idx="57">
                  <c:v>143</c:v>
                </c:pt>
                <c:pt idx="58">
                  <c:v>144</c:v>
                </c:pt>
                <c:pt idx="59">
                  <c:v>150</c:v>
                </c:pt>
              </c:numCache>
            </c:numRef>
          </c:yVal>
          <c:smooth val="1"/>
          <c:extLst>
            <c:ext xmlns:c16="http://schemas.microsoft.com/office/drawing/2014/chart" uri="{C3380CC4-5D6E-409C-BE32-E72D297353CC}">
              <c16:uniqueId val="{00000000-2111-4365-B82A-335E2DB1955F}"/>
            </c:ext>
          </c:extLst>
        </c:ser>
        <c:ser>
          <c:idx val="2"/>
          <c:order val="1"/>
          <c:tx>
            <c:strRef>
              <c:f>'Fig 1'!$B$9</c:f>
              <c:strCache>
                <c:ptCount val="1"/>
                <c:pt idx="0">
                  <c:v>REDD MACC 2035</c:v>
                </c:pt>
              </c:strCache>
            </c:strRef>
          </c:tx>
          <c:spPr>
            <a:ln w="19050" cap="rnd">
              <a:solidFill>
                <a:schemeClr val="accent1"/>
              </a:solidFill>
              <a:round/>
            </a:ln>
            <a:effectLst/>
          </c:spPr>
          <c:marker>
            <c:symbol val="none"/>
          </c:marker>
          <c:xVal>
            <c:numRef>
              <c:f>'Fig 1'!$C$8:$BJ$8</c:f>
              <c:numCache>
                <c:formatCode>General</c:formatCode>
                <c:ptCount val="60"/>
                <c:pt idx="0">
                  <c:v>0</c:v>
                </c:pt>
                <c:pt idx="1">
                  <c:v>0.5</c:v>
                </c:pt>
                <c:pt idx="2">
                  <c:v>1</c:v>
                </c:pt>
                <c:pt idx="3">
                  <c:v>1.5</c:v>
                </c:pt>
                <c:pt idx="4">
                  <c:v>2</c:v>
                </c:pt>
                <c:pt idx="5">
                  <c:v>2.5</c:v>
                </c:pt>
                <c:pt idx="6">
                  <c:v>3</c:v>
                </c:pt>
                <c:pt idx="7">
                  <c:v>3.5</c:v>
                </c:pt>
                <c:pt idx="8">
                  <c:v>4</c:v>
                </c:pt>
                <c:pt idx="9">
                  <c:v>4.5</c:v>
                </c:pt>
                <c:pt idx="10">
                  <c:v>5</c:v>
                </c:pt>
                <c:pt idx="11">
                  <c:v>5.2850000000000001</c:v>
                </c:pt>
                <c:pt idx="12">
                  <c:v>5.2850000000000001</c:v>
                </c:pt>
                <c:pt idx="13">
                  <c:v>5.2850000000000001</c:v>
                </c:pt>
                <c:pt idx="14">
                  <c:v>5.2850000000000001</c:v>
                </c:pt>
                <c:pt idx="15">
                  <c:v>5.2850000000000001</c:v>
                </c:pt>
                <c:pt idx="16">
                  <c:v>5.2850000000000001</c:v>
                </c:pt>
                <c:pt idx="17">
                  <c:v>5.2850000000000001</c:v>
                </c:pt>
                <c:pt idx="18">
                  <c:v>5.2850000000000001</c:v>
                </c:pt>
                <c:pt idx="19">
                  <c:v>5.2850000000000001</c:v>
                </c:pt>
                <c:pt idx="20">
                  <c:v>5.2850000000000001</c:v>
                </c:pt>
                <c:pt idx="21">
                  <c:v>5.2850000000000001</c:v>
                </c:pt>
                <c:pt idx="22">
                  <c:v>5.2850000000000001</c:v>
                </c:pt>
                <c:pt idx="23">
                  <c:v>5.2850000000000001</c:v>
                </c:pt>
                <c:pt idx="24">
                  <c:v>5.2850000000000001</c:v>
                </c:pt>
                <c:pt idx="25">
                  <c:v>5.2850000000000001</c:v>
                </c:pt>
                <c:pt idx="26">
                  <c:v>5.2850000000000001</c:v>
                </c:pt>
                <c:pt idx="27">
                  <c:v>5.2850000000000001</c:v>
                </c:pt>
                <c:pt idx="28">
                  <c:v>5.2850000000000001</c:v>
                </c:pt>
                <c:pt idx="29">
                  <c:v>5.2850000000000001</c:v>
                </c:pt>
                <c:pt idx="30">
                  <c:v>5.2850000000000001</c:v>
                </c:pt>
                <c:pt idx="31">
                  <c:v>5.2850000000000001</c:v>
                </c:pt>
                <c:pt idx="32">
                  <c:v>5.2850000000000001</c:v>
                </c:pt>
                <c:pt idx="33">
                  <c:v>5.2850000000000001</c:v>
                </c:pt>
                <c:pt idx="34">
                  <c:v>5.2850000000000001</c:v>
                </c:pt>
                <c:pt idx="35">
                  <c:v>5.2850000000000001</c:v>
                </c:pt>
                <c:pt idx="36">
                  <c:v>5.2850000000000001</c:v>
                </c:pt>
                <c:pt idx="37">
                  <c:v>5.2850000000000001</c:v>
                </c:pt>
                <c:pt idx="38">
                  <c:v>5.2850000000000001</c:v>
                </c:pt>
                <c:pt idx="39">
                  <c:v>5.2850000000000001</c:v>
                </c:pt>
                <c:pt idx="40">
                  <c:v>5.2850000000000001</c:v>
                </c:pt>
                <c:pt idx="41">
                  <c:v>5.2850000000000001</c:v>
                </c:pt>
                <c:pt idx="42">
                  <c:v>5.2850000000000001</c:v>
                </c:pt>
                <c:pt idx="43">
                  <c:v>5.2850000000000001</c:v>
                </c:pt>
                <c:pt idx="44">
                  <c:v>5.2850000000000001</c:v>
                </c:pt>
                <c:pt idx="45">
                  <c:v>5.2850000000000001</c:v>
                </c:pt>
                <c:pt idx="46">
                  <c:v>5.2850000000000001</c:v>
                </c:pt>
                <c:pt idx="47">
                  <c:v>5.2850000000000001</c:v>
                </c:pt>
                <c:pt idx="48">
                  <c:v>5.2850000000000001</c:v>
                </c:pt>
                <c:pt idx="49">
                  <c:v>5.2850000000000001</c:v>
                </c:pt>
                <c:pt idx="50">
                  <c:v>5.2850000000000001</c:v>
                </c:pt>
                <c:pt idx="51">
                  <c:v>5.2850000000000001</c:v>
                </c:pt>
                <c:pt idx="52">
                  <c:v>5.2850000000000001</c:v>
                </c:pt>
                <c:pt idx="53">
                  <c:v>5.2850000000000001</c:v>
                </c:pt>
                <c:pt idx="54">
                  <c:v>5.2850000000000001</c:v>
                </c:pt>
                <c:pt idx="55">
                  <c:v>5.2850000000000001</c:v>
                </c:pt>
                <c:pt idx="56">
                  <c:v>5.2850000000000001</c:v>
                </c:pt>
                <c:pt idx="57">
                  <c:v>5.2850000000000001</c:v>
                </c:pt>
                <c:pt idx="58">
                  <c:v>5.2850000000000001</c:v>
                </c:pt>
                <c:pt idx="59">
                  <c:v>5.2850000000000001</c:v>
                </c:pt>
              </c:numCache>
            </c:numRef>
          </c:xVal>
          <c:yVal>
            <c:numRef>
              <c:f>'Fig 1'!$C$9:$BJ$9</c:f>
              <c:numCache>
                <c:formatCode>0</c:formatCode>
                <c:ptCount val="60"/>
                <c:pt idx="0">
                  <c:v>0</c:v>
                </c:pt>
                <c:pt idx="1">
                  <c:v>3.4237250000000001</c:v>
                </c:pt>
                <c:pt idx="2">
                  <c:v>8.1096000000000004</c:v>
                </c:pt>
                <c:pt idx="3">
                  <c:v>14.057625000000002</c:v>
                </c:pt>
                <c:pt idx="4">
                  <c:v>21.267800000000001</c:v>
                </c:pt>
                <c:pt idx="5">
                  <c:v>29.740124999999999</c:v>
                </c:pt>
                <c:pt idx="6">
                  <c:v>39.474600000000002</c:v>
                </c:pt>
                <c:pt idx="7">
                  <c:v>50.471225000000004</c:v>
                </c:pt>
                <c:pt idx="8">
                  <c:v>62.730000000000004</c:v>
                </c:pt>
                <c:pt idx="9">
                  <c:v>76.250925000000009</c:v>
                </c:pt>
                <c:pt idx="10">
                  <c:v>91.034000000000006</c:v>
                </c:pt>
                <c:pt idx="11">
                  <c:v>100</c:v>
                </c:pt>
                <c:pt idx="12">
                  <c:v>101</c:v>
                </c:pt>
                <c:pt idx="13">
                  <c:v>102</c:v>
                </c:pt>
                <c:pt idx="14">
                  <c:v>103</c:v>
                </c:pt>
                <c:pt idx="15">
                  <c:v>104</c:v>
                </c:pt>
                <c:pt idx="16">
                  <c:v>105</c:v>
                </c:pt>
                <c:pt idx="17">
                  <c:v>106</c:v>
                </c:pt>
                <c:pt idx="18">
                  <c:v>107</c:v>
                </c:pt>
                <c:pt idx="19">
                  <c:v>108</c:v>
                </c:pt>
                <c:pt idx="20">
                  <c:v>109</c:v>
                </c:pt>
                <c:pt idx="21">
                  <c:v>110</c:v>
                </c:pt>
                <c:pt idx="22">
                  <c:v>111</c:v>
                </c:pt>
                <c:pt idx="23">
                  <c:v>112</c:v>
                </c:pt>
                <c:pt idx="24">
                  <c:v>113</c:v>
                </c:pt>
                <c:pt idx="25">
                  <c:v>114</c:v>
                </c:pt>
                <c:pt idx="26">
                  <c:v>115</c:v>
                </c:pt>
                <c:pt idx="27">
                  <c:v>116</c:v>
                </c:pt>
                <c:pt idx="28">
                  <c:v>117</c:v>
                </c:pt>
                <c:pt idx="29">
                  <c:v>118</c:v>
                </c:pt>
                <c:pt idx="30">
                  <c:v>119</c:v>
                </c:pt>
                <c:pt idx="31">
                  <c:v>120</c:v>
                </c:pt>
                <c:pt idx="32">
                  <c:v>121</c:v>
                </c:pt>
                <c:pt idx="33">
                  <c:v>122</c:v>
                </c:pt>
                <c:pt idx="34">
                  <c:v>123</c:v>
                </c:pt>
                <c:pt idx="35">
                  <c:v>124</c:v>
                </c:pt>
                <c:pt idx="36">
                  <c:v>125</c:v>
                </c:pt>
                <c:pt idx="37">
                  <c:v>126</c:v>
                </c:pt>
                <c:pt idx="38">
                  <c:v>127</c:v>
                </c:pt>
                <c:pt idx="39">
                  <c:v>128</c:v>
                </c:pt>
                <c:pt idx="40">
                  <c:v>129</c:v>
                </c:pt>
                <c:pt idx="41">
                  <c:v>130</c:v>
                </c:pt>
                <c:pt idx="42">
                  <c:v>131</c:v>
                </c:pt>
                <c:pt idx="43">
                  <c:v>132</c:v>
                </c:pt>
                <c:pt idx="44">
                  <c:v>133</c:v>
                </c:pt>
                <c:pt idx="45">
                  <c:v>134</c:v>
                </c:pt>
                <c:pt idx="46">
                  <c:v>135</c:v>
                </c:pt>
                <c:pt idx="47">
                  <c:v>136</c:v>
                </c:pt>
                <c:pt idx="48">
                  <c:v>137</c:v>
                </c:pt>
                <c:pt idx="49">
                  <c:v>138</c:v>
                </c:pt>
                <c:pt idx="50">
                  <c:v>139</c:v>
                </c:pt>
                <c:pt idx="51">
                  <c:v>140</c:v>
                </c:pt>
                <c:pt idx="52">
                  <c:v>141</c:v>
                </c:pt>
                <c:pt idx="53">
                  <c:v>142</c:v>
                </c:pt>
                <c:pt idx="54">
                  <c:v>143</c:v>
                </c:pt>
                <c:pt idx="55">
                  <c:v>144</c:v>
                </c:pt>
                <c:pt idx="56">
                  <c:v>145</c:v>
                </c:pt>
                <c:pt idx="57">
                  <c:v>146</c:v>
                </c:pt>
                <c:pt idx="58">
                  <c:v>147</c:v>
                </c:pt>
                <c:pt idx="59">
                  <c:v>150</c:v>
                </c:pt>
              </c:numCache>
            </c:numRef>
          </c:yVal>
          <c:smooth val="1"/>
          <c:extLst>
            <c:ext xmlns:c16="http://schemas.microsoft.com/office/drawing/2014/chart" uri="{C3380CC4-5D6E-409C-BE32-E72D297353CC}">
              <c16:uniqueId val="{00000001-2111-4365-B82A-335E2DB1955F}"/>
            </c:ext>
          </c:extLst>
        </c:ser>
        <c:ser>
          <c:idx val="0"/>
          <c:order val="2"/>
          <c:tx>
            <c:strRef>
              <c:f>'Fig 1'!$B$6</c:f>
              <c:strCache>
                <c:ptCount val="1"/>
                <c:pt idx="0">
                  <c:v>REDD MACC 2025</c:v>
                </c:pt>
              </c:strCache>
            </c:strRef>
          </c:tx>
          <c:spPr>
            <a:ln w="19050" cap="rnd">
              <a:solidFill>
                <a:schemeClr val="accent1"/>
              </a:solidFill>
              <a:round/>
            </a:ln>
            <a:effectLst/>
          </c:spPr>
          <c:marker>
            <c:symbol val="none"/>
          </c:marker>
          <c:xVal>
            <c:numRef>
              <c:f>'Fig 1'!$C$5:$BJ$5</c:f>
              <c:numCache>
                <c:formatCode>General</c:formatCode>
                <c:ptCount val="60"/>
                <c:pt idx="0">
                  <c:v>0</c:v>
                </c:pt>
                <c:pt idx="1">
                  <c:v>0.5</c:v>
                </c:pt>
                <c:pt idx="2">
                  <c:v>1</c:v>
                </c:pt>
                <c:pt idx="3">
                  <c:v>1.5</c:v>
                </c:pt>
                <c:pt idx="4">
                  <c:v>2</c:v>
                </c:pt>
                <c:pt idx="5">
                  <c:v>2.5</c:v>
                </c:pt>
                <c:pt idx="6">
                  <c:v>3</c:v>
                </c:pt>
                <c:pt idx="7">
                  <c:v>3.5</c:v>
                </c:pt>
                <c:pt idx="8">
                  <c:v>4</c:v>
                </c:pt>
                <c:pt idx="9">
                  <c:v>4.12</c:v>
                </c:pt>
                <c:pt idx="10">
                  <c:v>4.12</c:v>
                </c:pt>
                <c:pt idx="11">
                  <c:v>4.12</c:v>
                </c:pt>
                <c:pt idx="12">
                  <c:v>4.12</c:v>
                </c:pt>
                <c:pt idx="13">
                  <c:v>4.12</c:v>
                </c:pt>
                <c:pt idx="14">
                  <c:v>4.12</c:v>
                </c:pt>
                <c:pt idx="15">
                  <c:v>4.12</c:v>
                </c:pt>
                <c:pt idx="16">
                  <c:v>4.12</c:v>
                </c:pt>
                <c:pt idx="17">
                  <c:v>4.12</c:v>
                </c:pt>
                <c:pt idx="18">
                  <c:v>4.12</c:v>
                </c:pt>
                <c:pt idx="19">
                  <c:v>4.12</c:v>
                </c:pt>
                <c:pt idx="20">
                  <c:v>4.12</c:v>
                </c:pt>
                <c:pt idx="21">
                  <c:v>4.12</c:v>
                </c:pt>
                <c:pt idx="22">
                  <c:v>4.12</c:v>
                </c:pt>
                <c:pt idx="23">
                  <c:v>4.12</c:v>
                </c:pt>
                <c:pt idx="24">
                  <c:v>4.12</c:v>
                </c:pt>
                <c:pt idx="25">
                  <c:v>4.12</c:v>
                </c:pt>
                <c:pt idx="26">
                  <c:v>4.12</c:v>
                </c:pt>
                <c:pt idx="27">
                  <c:v>4.12</c:v>
                </c:pt>
                <c:pt idx="28">
                  <c:v>4.12</c:v>
                </c:pt>
                <c:pt idx="29">
                  <c:v>4.12</c:v>
                </c:pt>
                <c:pt idx="30">
                  <c:v>4.12</c:v>
                </c:pt>
                <c:pt idx="31">
                  <c:v>4.12</c:v>
                </c:pt>
                <c:pt idx="32">
                  <c:v>4.12</c:v>
                </c:pt>
                <c:pt idx="33">
                  <c:v>4.12</c:v>
                </c:pt>
                <c:pt idx="34">
                  <c:v>4.12</c:v>
                </c:pt>
                <c:pt idx="35">
                  <c:v>4.12</c:v>
                </c:pt>
                <c:pt idx="36">
                  <c:v>4.12</c:v>
                </c:pt>
                <c:pt idx="37">
                  <c:v>4.12</c:v>
                </c:pt>
                <c:pt idx="38">
                  <c:v>4.12</c:v>
                </c:pt>
                <c:pt idx="39">
                  <c:v>4.12</c:v>
                </c:pt>
                <c:pt idx="40">
                  <c:v>4.12</c:v>
                </c:pt>
                <c:pt idx="41">
                  <c:v>4.12</c:v>
                </c:pt>
                <c:pt idx="42">
                  <c:v>4.12</c:v>
                </c:pt>
                <c:pt idx="43">
                  <c:v>4.12</c:v>
                </c:pt>
                <c:pt idx="44">
                  <c:v>4.12</c:v>
                </c:pt>
                <c:pt idx="45">
                  <c:v>4.12</c:v>
                </c:pt>
                <c:pt idx="46">
                  <c:v>4.12</c:v>
                </c:pt>
                <c:pt idx="47">
                  <c:v>4.12</c:v>
                </c:pt>
                <c:pt idx="48">
                  <c:v>4.12</c:v>
                </c:pt>
                <c:pt idx="49">
                  <c:v>4.12</c:v>
                </c:pt>
                <c:pt idx="50">
                  <c:v>4.12</c:v>
                </c:pt>
                <c:pt idx="51">
                  <c:v>4.12</c:v>
                </c:pt>
                <c:pt idx="52">
                  <c:v>4.12</c:v>
                </c:pt>
                <c:pt idx="53">
                  <c:v>4.12</c:v>
                </c:pt>
                <c:pt idx="54">
                  <c:v>4.12</c:v>
                </c:pt>
                <c:pt idx="55">
                  <c:v>4.12</c:v>
                </c:pt>
                <c:pt idx="56">
                  <c:v>4.12</c:v>
                </c:pt>
                <c:pt idx="57">
                  <c:v>4.12</c:v>
                </c:pt>
                <c:pt idx="58">
                  <c:v>4.12</c:v>
                </c:pt>
                <c:pt idx="59">
                  <c:v>4.12</c:v>
                </c:pt>
              </c:numCache>
            </c:numRef>
          </c:xVal>
          <c:yVal>
            <c:numRef>
              <c:f>'Fig 1'!$C$6:$BJ$6</c:f>
              <c:numCache>
                <c:formatCode>0</c:formatCode>
                <c:ptCount val="60"/>
                <c:pt idx="0" formatCode="General">
                  <c:v>0</c:v>
                </c:pt>
                <c:pt idx="1">
                  <c:v>6.8992749999999994</c:v>
                </c:pt>
                <c:pt idx="2">
                  <c:v>15.2501</c:v>
                </c:pt>
                <c:pt idx="3">
                  <c:v>25.052474999999998</c:v>
                </c:pt>
                <c:pt idx="4">
                  <c:v>36.306399999999996</c:v>
                </c:pt>
                <c:pt idx="5">
                  <c:v>49.011875000000003</c:v>
                </c:pt>
                <c:pt idx="6">
                  <c:v>63.168899999999994</c:v>
                </c:pt>
                <c:pt idx="7">
                  <c:v>78.777474999999995</c:v>
                </c:pt>
                <c:pt idx="8">
                  <c:v>96</c:v>
                </c:pt>
                <c:pt idx="9">
                  <c:v>100</c:v>
                </c:pt>
                <c:pt idx="10">
                  <c:v>101</c:v>
                </c:pt>
                <c:pt idx="11">
                  <c:v>102</c:v>
                </c:pt>
                <c:pt idx="12">
                  <c:v>103</c:v>
                </c:pt>
                <c:pt idx="13">
                  <c:v>104</c:v>
                </c:pt>
                <c:pt idx="14">
                  <c:v>105</c:v>
                </c:pt>
                <c:pt idx="15">
                  <c:v>106</c:v>
                </c:pt>
                <c:pt idx="16">
                  <c:v>107</c:v>
                </c:pt>
                <c:pt idx="17">
                  <c:v>108</c:v>
                </c:pt>
                <c:pt idx="18">
                  <c:v>109</c:v>
                </c:pt>
                <c:pt idx="19">
                  <c:v>110</c:v>
                </c:pt>
                <c:pt idx="20">
                  <c:v>111</c:v>
                </c:pt>
                <c:pt idx="21">
                  <c:v>112</c:v>
                </c:pt>
                <c:pt idx="22">
                  <c:v>113</c:v>
                </c:pt>
                <c:pt idx="23">
                  <c:v>114</c:v>
                </c:pt>
                <c:pt idx="24">
                  <c:v>115</c:v>
                </c:pt>
                <c:pt idx="25">
                  <c:v>116</c:v>
                </c:pt>
                <c:pt idx="26">
                  <c:v>117</c:v>
                </c:pt>
                <c:pt idx="27">
                  <c:v>118</c:v>
                </c:pt>
                <c:pt idx="28">
                  <c:v>119</c:v>
                </c:pt>
                <c:pt idx="29">
                  <c:v>120</c:v>
                </c:pt>
                <c:pt idx="30">
                  <c:v>121</c:v>
                </c:pt>
                <c:pt idx="31">
                  <c:v>122</c:v>
                </c:pt>
                <c:pt idx="32">
                  <c:v>123</c:v>
                </c:pt>
                <c:pt idx="33">
                  <c:v>124</c:v>
                </c:pt>
                <c:pt idx="34">
                  <c:v>125</c:v>
                </c:pt>
                <c:pt idx="35">
                  <c:v>126</c:v>
                </c:pt>
                <c:pt idx="36">
                  <c:v>127</c:v>
                </c:pt>
                <c:pt idx="37">
                  <c:v>128</c:v>
                </c:pt>
                <c:pt idx="38">
                  <c:v>129</c:v>
                </c:pt>
                <c:pt idx="39">
                  <c:v>130</c:v>
                </c:pt>
                <c:pt idx="40">
                  <c:v>131</c:v>
                </c:pt>
                <c:pt idx="41">
                  <c:v>132</c:v>
                </c:pt>
                <c:pt idx="42">
                  <c:v>133</c:v>
                </c:pt>
                <c:pt idx="43">
                  <c:v>134</c:v>
                </c:pt>
                <c:pt idx="44">
                  <c:v>135</c:v>
                </c:pt>
                <c:pt idx="45">
                  <c:v>136</c:v>
                </c:pt>
                <c:pt idx="46">
                  <c:v>137</c:v>
                </c:pt>
                <c:pt idx="47">
                  <c:v>138</c:v>
                </c:pt>
                <c:pt idx="48">
                  <c:v>139</c:v>
                </c:pt>
                <c:pt idx="49">
                  <c:v>140</c:v>
                </c:pt>
                <c:pt idx="50">
                  <c:v>141</c:v>
                </c:pt>
                <c:pt idx="51">
                  <c:v>142</c:v>
                </c:pt>
                <c:pt idx="52">
                  <c:v>143</c:v>
                </c:pt>
                <c:pt idx="53">
                  <c:v>144</c:v>
                </c:pt>
                <c:pt idx="54">
                  <c:v>145</c:v>
                </c:pt>
                <c:pt idx="55">
                  <c:v>146</c:v>
                </c:pt>
                <c:pt idx="56">
                  <c:v>147</c:v>
                </c:pt>
                <c:pt idx="57">
                  <c:v>148</c:v>
                </c:pt>
                <c:pt idx="58">
                  <c:v>149</c:v>
                </c:pt>
                <c:pt idx="59">
                  <c:v>150</c:v>
                </c:pt>
              </c:numCache>
            </c:numRef>
          </c:yVal>
          <c:smooth val="1"/>
          <c:extLst>
            <c:ext xmlns:c16="http://schemas.microsoft.com/office/drawing/2014/chart" uri="{C3380CC4-5D6E-409C-BE32-E72D297353CC}">
              <c16:uniqueId val="{00000002-2111-4365-B82A-335E2DB1955F}"/>
            </c:ext>
          </c:extLst>
        </c:ser>
        <c:dLbls>
          <c:showLegendKey val="0"/>
          <c:showVal val="0"/>
          <c:showCatName val="0"/>
          <c:showSerName val="0"/>
          <c:showPercent val="0"/>
          <c:showBubbleSize val="0"/>
        </c:dLbls>
        <c:axId val="1681361903"/>
        <c:axId val="1674230943"/>
      </c:scatterChart>
      <c:valAx>
        <c:axId val="1681361903"/>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Gt CO2 per year</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674230943"/>
        <c:crosses val="autoZero"/>
        <c:crossBetween val="midCat"/>
      </c:valAx>
      <c:valAx>
        <c:axId val="1674230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US$/tCO2</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681361903"/>
        <c:crosses val="autoZero"/>
        <c:crossBetween val="midCat"/>
      </c:valAx>
    </c:plotArea>
    <c:legend>
      <c:legendPos val="b"/>
      <c:layout>
        <c:manualLayout>
          <c:xMode val="edge"/>
          <c:yMode val="edge"/>
          <c:x val="3.8633070866141733E-2"/>
          <c:y val="0.77958901478778564"/>
          <c:w val="0.9394005249343832"/>
          <c:h val="0.18789066000896229"/>
        </c:manualLayout>
      </c:layout>
      <c:overlay val="0"/>
    </c:legend>
    <c:plotVisOnly val="1"/>
    <c:dispBlanksAs val="gap"/>
    <c:showDLblsOverMax val="0"/>
    <c:extLst/>
  </c:chart>
  <c:txPr>
    <a:bodyPr/>
    <a:lstStyle/>
    <a:p>
      <a:pPr>
        <a:defRPr/>
      </a:pPr>
      <a:endParaRPr lang="de-D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0"/>
          <c:tx>
            <c:strRef>
              <c:f>'Fig 2'!$H$4</c:f>
              <c:strCache>
                <c:ptCount val="1"/>
                <c:pt idx="0">
                  <c:v>Reforestation MACC 2045</c:v>
                </c:pt>
              </c:strCache>
            </c:strRef>
          </c:tx>
          <c:marker>
            <c:symbol val="none"/>
          </c:marker>
          <c:xVal>
            <c:numRef>
              <c:f>'Fig 2'!$G$5:$G$65</c:f>
              <c:numCache>
                <c:formatCode>General</c:formatCode>
                <c:ptCount val="61"/>
                <c:pt idx="0">
                  <c:v>0</c:v>
                </c:pt>
                <c:pt idx="1">
                  <c:v>0.161</c:v>
                </c:pt>
                <c:pt idx="2">
                  <c:v>0.32200000000000001</c:v>
                </c:pt>
                <c:pt idx="3">
                  <c:v>0.48299999999999998</c:v>
                </c:pt>
                <c:pt idx="4">
                  <c:v>0.64400000000000002</c:v>
                </c:pt>
                <c:pt idx="5">
                  <c:v>0.80500000000000005</c:v>
                </c:pt>
                <c:pt idx="6">
                  <c:v>0.96599999999999997</c:v>
                </c:pt>
                <c:pt idx="7">
                  <c:v>1.127</c:v>
                </c:pt>
                <c:pt idx="8">
                  <c:v>1.288</c:v>
                </c:pt>
                <c:pt idx="9">
                  <c:v>1.4490000000000001</c:v>
                </c:pt>
                <c:pt idx="10">
                  <c:v>1.61</c:v>
                </c:pt>
                <c:pt idx="11">
                  <c:v>1.61</c:v>
                </c:pt>
                <c:pt idx="12">
                  <c:v>1.61</c:v>
                </c:pt>
                <c:pt idx="13">
                  <c:v>1.61</c:v>
                </c:pt>
                <c:pt idx="14">
                  <c:v>1.61</c:v>
                </c:pt>
                <c:pt idx="15">
                  <c:v>1.61</c:v>
                </c:pt>
                <c:pt idx="16">
                  <c:v>1.61</c:v>
                </c:pt>
                <c:pt idx="17">
                  <c:v>1.61</c:v>
                </c:pt>
                <c:pt idx="18">
                  <c:v>1.61</c:v>
                </c:pt>
                <c:pt idx="19">
                  <c:v>1.61</c:v>
                </c:pt>
                <c:pt idx="20">
                  <c:v>1.61</c:v>
                </c:pt>
                <c:pt idx="21">
                  <c:v>1.61</c:v>
                </c:pt>
                <c:pt idx="22">
                  <c:v>1.61</c:v>
                </c:pt>
                <c:pt idx="23">
                  <c:v>1.61</c:v>
                </c:pt>
                <c:pt idx="24">
                  <c:v>1.61</c:v>
                </c:pt>
                <c:pt idx="25">
                  <c:v>1.61</c:v>
                </c:pt>
                <c:pt idx="26">
                  <c:v>1.61</c:v>
                </c:pt>
                <c:pt idx="27">
                  <c:v>1.61</c:v>
                </c:pt>
                <c:pt idx="28">
                  <c:v>1.61</c:v>
                </c:pt>
                <c:pt idx="29">
                  <c:v>1.61</c:v>
                </c:pt>
                <c:pt idx="30">
                  <c:v>1.61</c:v>
                </c:pt>
                <c:pt idx="31">
                  <c:v>1.61</c:v>
                </c:pt>
                <c:pt idx="32">
                  <c:v>1.61</c:v>
                </c:pt>
                <c:pt idx="33">
                  <c:v>1.61</c:v>
                </c:pt>
                <c:pt idx="34">
                  <c:v>1.61</c:v>
                </c:pt>
                <c:pt idx="35">
                  <c:v>1.61</c:v>
                </c:pt>
                <c:pt idx="36">
                  <c:v>1.61</c:v>
                </c:pt>
                <c:pt idx="37">
                  <c:v>1.61</c:v>
                </c:pt>
                <c:pt idx="38">
                  <c:v>1.61</c:v>
                </c:pt>
                <c:pt idx="39">
                  <c:v>1.61</c:v>
                </c:pt>
                <c:pt idx="40">
                  <c:v>1.61</c:v>
                </c:pt>
                <c:pt idx="41">
                  <c:v>1.61</c:v>
                </c:pt>
                <c:pt idx="42">
                  <c:v>1.61</c:v>
                </c:pt>
                <c:pt idx="43">
                  <c:v>1.61</c:v>
                </c:pt>
                <c:pt idx="44">
                  <c:v>1.61</c:v>
                </c:pt>
                <c:pt idx="45">
                  <c:v>1.61</c:v>
                </c:pt>
                <c:pt idx="46">
                  <c:v>1.61</c:v>
                </c:pt>
                <c:pt idx="47">
                  <c:v>1.61</c:v>
                </c:pt>
                <c:pt idx="48">
                  <c:v>1.61</c:v>
                </c:pt>
                <c:pt idx="49">
                  <c:v>1.61</c:v>
                </c:pt>
                <c:pt idx="50">
                  <c:v>1.61</c:v>
                </c:pt>
                <c:pt idx="51">
                  <c:v>1.61</c:v>
                </c:pt>
                <c:pt idx="52">
                  <c:v>1.61</c:v>
                </c:pt>
                <c:pt idx="53">
                  <c:v>1.61</c:v>
                </c:pt>
                <c:pt idx="54">
                  <c:v>1.61</c:v>
                </c:pt>
                <c:pt idx="55">
                  <c:v>1.61</c:v>
                </c:pt>
                <c:pt idx="56">
                  <c:v>1.61</c:v>
                </c:pt>
                <c:pt idx="57">
                  <c:v>1.61</c:v>
                </c:pt>
                <c:pt idx="58">
                  <c:v>1.61</c:v>
                </c:pt>
                <c:pt idx="59">
                  <c:v>1.61</c:v>
                </c:pt>
                <c:pt idx="60">
                  <c:v>1.61</c:v>
                </c:pt>
              </c:numCache>
            </c:numRef>
          </c:xVal>
          <c:yVal>
            <c:numRef>
              <c:f>'Fig 2'!$H$5:$H$65</c:f>
              <c:numCache>
                <c:formatCode>General</c:formatCode>
                <c:ptCount val="61"/>
                <c:pt idx="0">
                  <c:v>0</c:v>
                </c:pt>
                <c:pt idx="1">
                  <c:v>10</c:v>
                </c:pt>
                <c:pt idx="2">
                  <c:v>20</c:v>
                </c:pt>
                <c:pt idx="3">
                  <c:v>30</c:v>
                </c:pt>
                <c:pt idx="4">
                  <c:v>40</c:v>
                </c:pt>
                <c:pt idx="5">
                  <c:v>50</c:v>
                </c:pt>
                <c:pt idx="6">
                  <c:v>60</c:v>
                </c:pt>
                <c:pt idx="7">
                  <c:v>70</c:v>
                </c:pt>
                <c:pt idx="8">
                  <c:v>80</c:v>
                </c:pt>
                <c:pt idx="9">
                  <c:v>90</c:v>
                </c:pt>
                <c:pt idx="10">
                  <c:v>100</c:v>
                </c:pt>
                <c:pt idx="11">
                  <c:v>101</c:v>
                </c:pt>
                <c:pt idx="12">
                  <c:v>102</c:v>
                </c:pt>
                <c:pt idx="13">
                  <c:v>103</c:v>
                </c:pt>
                <c:pt idx="14">
                  <c:v>104</c:v>
                </c:pt>
                <c:pt idx="15">
                  <c:v>105</c:v>
                </c:pt>
                <c:pt idx="16">
                  <c:v>106</c:v>
                </c:pt>
                <c:pt idx="17">
                  <c:v>107</c:v>
                </c:pt>
                <c:pt idx="18">
                  <c:v>108</c:v>
                </c:pt>
                <c:pt idx="19">
                  <c:v>109</c:v>
                </c:pt>
                <c:pt idx="20">
                  <c:v>110</c:v>
                </c:pt>
                <c:pt idx="21">
                  <c:v>111</c:v>
                </c:pt>
                <c:pt idx="22">
                  <c:v>112</c:v>
                </c:pt>
                <c:pt idx="23">
                  <c:v>113</c:v>
                </c:pt>
                <c:pt idx="24">
                  <c:v>114</c:v>
                </c:pt>
                <c:pt idx="25">
                  <c:v>115</c:v>
                </c:pt>
                <c:pt idx="26">
                  <c:v>116</c:v>
                </c:pt>
                <c:pt idx="27">
                  <c:v>117</c:v>
                </c:pt>
                <c:pt idx="28">
                  <c:v>118</c:v>
                </c:pt>
                <c:pt idx="29">
                  <c:v>119</c:v>
                </c:pt>
                <c:pt idx="30">
                  <c:v>120</c:v>
                </c:pt>
                <c:pt idx="31">
                  <c:v>121</c:v>
                </c:pt>
                <c:pt idx="32">
                  <c:v>122</c:v>
                </c:pt>
                <c:pt idx="33">
                  <c:v>123</c:v>
                </c:pt>
                <c:pt idx="34">
                  <c:v>124</c:v>
                </c:pt>
                <c:pt idx="35">
                  <c:v>125</c:v>
                </c:pt>
                <c:pt idx="36">
                  <c:v>126</c:v>
                </c:pt>
                <c:pt idx="37">
                  <c:v>127</c:v>
                </c:pt>
                <c:pt idx="38">
                  <c:v>128</c:v>
                </c:pt>
                <c:pt idx="39">
                  <c:v>129</c:v>
                </c:pt>
                <c:pt idx="40">
                  <c:v>130</c:v>
                </c:pt>
                <c:pt idx="41">
                  <c:v>131</c:v>
                </c:pt>
                <c:pt idx="42">
                  <c:v>132</c:v>
                </c:pt>
                <c:pt idx="43">
                  <c:v>133</c:v>
                </c:pt>
                <c:pt idx="44">
                  <c:v>134</c:v>
                </c:pt>
                <c:pt idx="45">
                  <c:v>135</c:v>
                </c:pt>
                <c:pt idx="46">
                  <c:v>136</c:v>
                </c:pt>
                <c:pt idx="47">
                  <c:v>137</c:v>
                </c:pt>
                <c:pt idx="48">
                  <c:v>138</c:v>
                </c:pt>
                <c:pt idx="49">
                  <c:v>139</c:v>
                </c:pt>
                <c:pt idx="50">
                  <c:v>140</c:v>
                </c:pt>
                <c:pt idx="51">
                  <c:v>141</c:v>
                </c:pt>
                <c:pt idx="52">
                  <c:v>142</c:v>
                </c:pt>
                <c:pt idx="53">
                  <c:v>143</c:v>
                </c:pt>
                <c:pt idx="54">
                  <c:v>144</c:v>
                </c:pt>
                <c:pt idx="55">
                  <c:v>145</c:v>
                </c:pt>
                <c:pt idx="56">
                  <c:v>146</c:v>
                </c:pt>
                <c:pt idx="57">
                  <c:v>147</c:v>
                </c:pt>
                <c:pt idx="58">
                  <c:v>148</c:v>
                </c:pt>
                <c:pt idx="59">
                  <c:v>149</c:v>
                </c:pt>
                <c:pt idx="60">
                  <c:v>150</c:v>
                </c:pt>
              </c:numCache>
            </c:numRef>
          </c:yVal>
          <c:smooth val="1"/>
          <c:extLst>
            <c:ext xmlns:c16="http://schemas.microsoft.com/office/drawing/2014/chart" uri="{C3380CC4-5D6E-409C-BE32-E72D297353CC}">
              <c16:uniqueId val="{00000000-178F-4EB7-8D43-DCAA437B9E1A}"/>
            </c:ext>
          </c:extLst>
        </c:ser>
        <c:ser>
          <c:idx val="2"/>
          <c:order val="1"/>
          <c:tx>
            <c:strRef>
              <c:f>'Fig 2'!$F$4</c:f>
              <c:strCache>
                <c:ptCount val="1"/>
                <c:pt idx="0">
                  <c:v>Reforestation MACC 2035</c:v>
                </c:pt>
              </c:strCache>
            </c:strRef>
          </c:tx>
          <c:spPr>
            <a:ln w="19050" cap="rnd">
              <a:solidFill>
                <a:schemeClr val="accent1"/>
              </a:solidFill>
              <a:round/>
            </a:ln>
            <a:effectLst/>
          </c:spPr>
          <c:marker>
            <c:symbol val="none"/>
          </c:marker>
          <c:xVal>
            <c:numRef>
              <c:f>'Fig 2'!$E$5:$E$65</c:f>
              <c:numCache>
                <c:formatCode>General</c:formatCode>
                <c:ptCount val="61"/>
                <c:pt idx="0">
                  <c:v>0</c:v>
                </c:pt>
                <c:pt idx="1">
                  <c:v>0.11600000000000001</c:v>
                </c:pt>
                <c:pt idx="2">
                  <c:v>0.23200000000000001</c:v>
                </c:pt>
                <c:pt idx="3">
                  <c:v>0.34799999999999998</c:v>
                </c:pt>
                <c:pt idx="4">
                  <c:v>0.46400000000000002</c:v>
                </c:pt>
                <c:pt idx="5">
                  <c:v>0.57999999999999996</c:v>
                </c:pt>
                <c:pt idx="6">
                  <c:v>0.69599999999999995</c:v>
                </c:pt>
                <c:pt idx="7">
                  <c:v>0.81200000000000006</c:v>
                </c:pt>
                <c:pt idx="8">
                  <c:v>0.92800000000000005</c:v>
                </c:pt>
                <c:pt idx="9">
                  <c:v>1.044</c:v>
                </c:pt>
                <c:pt idx="10">
                  <c:v>1.1599999999999999</c:v>
                </c:pt>
                <c:pt idx="11">
                  <c:v>1.1599999999999999</c:v>
                </c:pt>
                <c:pt idx="12">
                  <c:v>1.1599999999999999</c:v>
                </c:pt>
                <c:pt idx="13">
                  <c:v>1.1599999999999999</c:v>
                </c:pt>
                <c:pt idx="14">
                  <c:v>1.1599999999999999</c:v>
                </c:pt>
                <c:pt idx="15">
                  <c:v>1.1599999999999999</c:v>
                </c:pt>
                <c:pt idx="16">
                  <c:v>1.1599999999999999</c:v>
                </c:pt>
                <c:pt idx="17">
                  <c:v>1.1599999999999999</c:v>
                </c:pt>
                <c:pt idx="18">
                  <c:v>1.1599999999999999</c:v>
                </c:pt>
                <c:pt idx="19">
                  <c:v>1.1599999999999999</c:v>
                </c:pt>
                <c:pt idx="20">
                  <c:v>1.1599999999999999</c:v>
                </c:pt>
                <c:pt idx="21">
                  <c:v>1.1599999999999999</c:v>
                </c:pt>
                <c:pt idx="22">
                  <c:v>1.1599999999999999</c:v>
                </c:pt>
                <c:pt idx="23">
                  <c:v>1.1599999999999999</c:v>
                </c:pt>
                <c:pt idx="24">
                  <c:v>1.1599999999999999</c:v>
                </c:pt>
                <c:pt idx="25">
                  <c:v>1.1599999999999999</c:v>
                </c:pt>
                <c:pt idx="26">
                  <c:v>1.1599999999999999</c:v>
                </c:pt>
                <c:pt idx="27">
                  <c:v>1.1599999999999999</c:v>
                </c:pt>
                <c:pt idx="28">
                  <c:v>1.1599999999999999</c:v>
                </c:pt>
                <c:pt idx="29">
                  <c:v>1.1599999999999999</c:v>
                </c:pt>
                <c:pt idx="30">
                  <c:v>1.1599999999999999</c:v>
                </c:pt>
                <c:pt idx="31">
                  <c:v>1.1599999999999999</c:v>
                </c:pt>
                <c:pt idx="32">
                  <c:v>1.1599999999999999</c:v>
                </c:pt>
                <c:pt idx="33">
                  <c:v>1.1599999999999999</c:v>
                </c:pt>
                <c:pt idx="34">
                  <c:v>1.1599999999999999</c:v>
                </c:pt>
                <c:pt idx="35">
                  <c:v>1.1599999999999999</c:v>
                </c:pt>
                <c:pt idx="36">
                  <c:v>1.1599999999999999</c:v>
                </c:pt>
                <c:pt idx="37">
                  <c:v>1.1599999999999999</c:v>
                </c:pt>
                <c:pt idx="38">
                  <c:v>1.1599999999999999</c:v>
                </c:pt>
                <c:pt idx="39">
                  <c:v>1.1599999999999999</c:v>
                </c:pt>
                <c:pt idx="40">
                  <c:v>1.1599999999999999</c:v>
                </c:pt>
                <c:pt idx="41">
                  <c:v>1.1599999999999999</c:v>
                </c:pt>
                <c:pt idx="42">
                  <c:v>1.1599999999999999</c:v>
                </c:pt>
                <c:pt idx="43">
                  <c:v>1.1599999999999999</c:v>
                </c:pt>
                <c:pt idx="44">
                  <c:v>1.1599999999999999</c:v>
                </c:pt>
                <c:pt idx="45">
                  <c:v>1.1599999999999999</c:v>
                </c:pt>
                <c:pt idx="46">
                  <c:v>1.1599999999999999</c:v>
                </c:pt>
                <c:pt idx="47">
                  <c:v>1.1599999999999999</c:v>
                </c:pt>
                <c:pt idx="48">
                  <c:v>1.1599999999999999</c:v>
                </c:pt>
                <c:pt idx="49">
                  <c:v>1.1599999999999999</c:v>
                </c:pt>
                <c:pt idx="50">
                  <c:v>1.1599999999999999</c:v>
                </c:pt>
                <c:pt idx="51">
                  <c:v>1.1599999999999999</c:v>
                </c:pt>
                <c:pt idx="52">
                  <c:v>1.1599999999999999</c:v>
                </c:pt>
                <c:pt idx="53">
                  <c:v>1.1599999999999999</c:v>
                </c:pt>
                <c:pt idx="54">
                  <c:v>1.1599999999999999</c:v>
                </c:pt>
                <c:pt idx="55">
                  <c:v>1.1599999999999999</c:v>
                </c:pt>
                <c:pt idx="56">
                  <c:v>1.1599999999999999</c:v>
                </c:pt>
                <c:pt idx="57">
                  <c:v>1.1599999999999999</c:v>
                </c:pt>
                <c:pt idx="58">
                  <c:v>1.1599999999999999</c:v>
                </c:pt>
                <c:pt idx="59">
                  <c:v>1.1599999999999999</c:v>
                </c:pt>
                <c:pt idx="60">
                  <c:v>1.1599999999999999</c:v>
                </c:pt>
              </c:numCache>
            </c:numRef>
          </c:xVal>
          <c:yVal>
            <c:numRef>
              <c:f>'Fig 2'!$F$5:$F$65</c:f>
              <c:numCache>
                <c:formatCode>General</c:formatCode>
                <c:ptCount val="61"/>
                <c:pt idx="0">
                  <c:v>0</c:v>
                </c:pt>
                <c:pt idx="1">
                  <c:v>10</c:v>
                </c:pt>
                <c:pt idx="2">
                  <c:v>20</c:v>
                </c:pt>
                <c:pt idx="3">
                  <c:v>30</c:v>
                </c:pt>
                <c:pt idx="4">
                  <c:v>40</c:v>
                </c:pt>
                <c:pt idx="5">
                  <c:v>50</c:v>
                </c:pt>
                <c:pt idx="6">
                  <c:v>60</c:v>
                </c:pt>
                <c:pt idx="7">
                  <c:v>70</c:v>
                </c:pt>
                <c:pt idx="8">
                  <c:v>80</c:v>
                </c:pt>
                <c:pt idx="9">
                  <c:v>90</c:v>
                </c:pt>
                <c:pt idx="10">
                  <c:v>100</c:v>
                </c:pt>
                <c:pt idx="11">
                  <c:v>101</c:v>
                </c:pt>
                <c:pt idx="12">
                  <c:v>102</c:v>
                </c:pt>
                <c:pt idx="13">
                  <c:v>103</c:v>
                </c:pt>
                <c:pt idx="14">
                  <c:v>104</c:v>
                </c:pt>
                <c:pt idx="15">
                  <c:v>105</c:v>
                </c:pt>
                <c:pt idx="16">
                  <c:v>106</c:v>
                </c:pt>
                <c:pt idx="17">
                  <c:v>107</c:v>
                </c:pt>
                <c:pt idx="18">
                  <c:v>108</c:v>
                </c:pt>
                <c:pt idx="19">
                  <c:v>109</c:v>
                </c:pt>
                <c:pt idx="20">
                  <c:v>110</c:v>
                </c:pt>
                <c:pt idx="21">
                  <c:v>111</c:v>
                </c:pt>
                <c:pt idx="22">
                  <c:v>112</c:v>
                </c:pt>
                <c:pt idx="23">
                  <c:v>113</c:v>
                </c:pt>
                <c:pt idx="24">
                  <c:v>114</c:v>
                </c:pt>
                <c:pt idx="25">
                  <c:v>115</c:v>
                </c:pt>
                <c:pt idx="26">
                  <c:v>116</c:v>
                </c:pt>
                <c:pt idx="27">
                  <c:v>117</c:v>
                </c:pt>
                <c:pt idx="28">
                  <c:v>118</c:v>
                </c:pt>
                <c:pt idx="29">
                  <c:v>119</c:v>
                </c:pt>
                <c:pt idx="30">
                  <c:v>120</c:v>
                </c:pt>
                <c:pt idx="31">
                  <c:v>121</c:v>
                </c:pt>
                <c:pt idx="32">
                  <c:v>122</c:v>
                </c:pt>
                <c:pt idx="33">
                  <c:v>123</c:v>
                </c:pt>
                <c:pt idx="34">
                  <c:v>124</c:v>
                </c:pt>
                <c:pt idx="35">
                  <c:v>125</c:v>
                </c:pt>
                <c:pt idx="36">
                  <c:v>126</c:v>
                </c:pt>
                <c:pt idx="37">
                  <c:v>127</c:v>
                </c:pt>
                <c:pt idx="38">
                  <c:v>128</c:v>
                </c:pt>
                <c:pt idx="39">
                  <c:v>129</c:v>
                </c:pt>
                <c:pt idx="40">
                  <c:v>130</c:v>
                </c:pt>
                <c:pt idx="41">
                  <c:v>131</c:v>
                </c:pt>
                <c:pt idx="42">
                  <c:v>132</c:v>
                </c:pt>
                <c:pt idx="43">
                  <c:v>133</c:v>
                </c:pt>
                <c:pt idx="44">
                  <c:v>134</c:v>
                </c:pt>
                <c:pt idx="45">
                  <c:v>135</c:v>
                </c:pt>
                <c:pt idx="46">
                  <c:v>136</c:v>
                </c:pt>
                <c:pt idx="47">
                  <c:v>137</c:v>
                </c:pt>
                <c:pt idx="48">
                  <c:v>138</c:v>
                </c:pt>
                <c:pt idx="49">
                  <c:v>139</c:v>
                </c:pt>
                <c:pt idx="50">
                  <c:v>140</c:v>
                </c:pt>
                <c:pt idx="51">
                  <c:v>141</c:v>
                </c:pt>
                <c:pt idx="52">
                  <c:v>142</c:v>
                </c:pt>
                <c:pt idx="53">
                  <c:v>143</c:v>
                </c:pt>
                <c:pt idx="54">
                  <c:v>144</c:v>
                </c:pt>
                <c:pt idx="55">
                  <c:v>145</c:v>
                </c:pt>
                <c:pt idx="56">
                  <c:v>146</c:v>
                </c:pt>
                <c:pt idx="57">
                  <c:v>147</c:v>
                </c:pt>
                <c:pt idx="58">
                  <c:v>148</c:v>
                </c:pt>
                <c:pt idx="59">
                  <c:v>149</c:v>
                </c:pt>
                <c:pt idx="60">
                  <c:v>150</c:v>
                </c:pt>
              </c:numCache>
            </c:numRef>
          </c:yVal>
          <c:smooth val="1"/>
          <c:extLst>
            <c:ext xmlns:c16="http://schemas.microsoft.com/office/drawing/2014/chart" uri="{C3380CC4-5D6E-409C-BE32-E72D297353CC}">
              <c16:uniqueId val="{00000001-178F-4EB7-8D43-DCAA437B9E1A}"/>
            </c:ext>
          </c:extLst>
        </c:ser>
        <c:ser>
          <c:idx val="0"/>
          <c:order val="2"/>
          <c:tx>
            <c:strRef>
              <c:f>'Fig 2'!$D$4</c:f>
              <c:strCache>
                <c:ptCount val="1"/>
                <c:pt idx="0">
                  <c:v>Reforestation MACC 2025</c:v>
                </c:pt>
              </c:strCache>
            </c:strRef>
          </c:tx>
          <c:spPr>
            <a:ln w="19050" cap="rnd">
              <a:solidFill>
                <a:schemeClr val="accent1"/>
              </a:solidFill>
              <a:round/>
            </a:ln>
            <a:effectLst/>
          </c:spPr>
          <c:marker>
            <c:symbol val="none"/>
          </c:marker>
          <c:xVal>
            <c:numRef>
              <c:f>'Fig 2'!$C$5:$C$65</c:f>
              <c:numCache>
                <c:formatCode>General</c:formatCode>
                <c:ptCount val="61"/>
                <c:pt idx="0">
                  <c:v>0</c:v>
                </c:pt>
                <c:pt idx="1">
                  <c:v>8.5999999999999993E-2</c:v>
                </c:pt>
                <c:pt idx="2">
                  <c:v>0.17199999999999999</c:v>
                </c:pt>
                <c:pt idx="3">
                  <c:v>0.25800000000000001</c:v>
                </c:pt>
                <c:pt idx="4">
                  <c:v>0.34399999999999997</c:v>
                </c:pt>
                <c:pt idx="5">
                  <c:v>0.43</c:v>
                </c:pt>
                <c:pt idx="6">
                  <c:v>0.51600000000000001</c:v>
                </c:pt>
                <c:pt idx="7">
                  <c:v>0.60199999999999998</c:v>
                </c:pt>
                <c:pt idx="8">
                  <c:v>0.68799999999999994</c:v>
                </c:pt>
                <c:pt idx="9">
                  <c:v>0.77400000000000002</c:v>
                </c:pt>
                <c:pt idx="10">
                  <c:v>0.86</c:v>
                </c:pt>
                <c:pt idx="11">
                  <c:v>0.86</c:v>
                </c:pt>
                <c:pt idx="12">
                  <c:v>0.86</c:v>
                </c:pt>
                <c:pt idx="13">
                  <c:v>0.86</c:v>
                </c:pt>
                <c:pt idx="14">
                  <c:v>0.86</c:v>
                </c:pt>
                <c:pt idx="15">
                  <c:v>0.86</c:v>
                </c:pt>
                <c:pt idx="16">
                  <c:v>0.86</c:v>
                </c:pt>
                <c:pt idx="17">
                  <c:v>0.86</c:v>
                </c:pt>
                <c:pt idx="18">
                  <c:v>0.86</c:v>
                </c:pt>
                <c:pt idx="19">
                  <c:v>0.86</c:v>
                </c:pt>
                <c:pt idx="20">
                  <c:v>0.86</c:v>
                </c:pt>
                <c:pt idx="21">
                  <c:v>0.86</c:v>
                </c:pt>
                <c:pt idx="22">
                  <c:v>0.86</c:v>
                </c:pt>
                <c:pt idx="23">
                  <c:v>0.86</c:v>
                </c:pt>
                <c:pt idx="24">
                  <c:v>0.86</c:v>
                </c:pt>
                <c:pt idx="25">
                  <c:v>0.86</c:v>
                </c:pt>
                <c:pt idx="26">
                  <c:v>0.86</c:v>
                </c:pt>
                <c:pt idx="27">
                  <c:v>0.86</c:v>
                </c:pt>
                <c:pt idx="28">
                  <c:v>0.86</c:v>
                </c:pt>
                <c:pt idx="29">
                  <c:v>0.86</c:v>
                </c:pt>
                <c:pt idx="30">
                  <c:v>0.86</c:v>
                </c:pt>
                <c:pt idx="31">
                  <c:v>0.86</c:v>
                </c:pt>
                <c:pt idx="32">
                  <c:v>0.86</c:v>
                </c:pt>
                <c:pt idx="33">
                  <c:v>0.86</c:v>
                </c:pt>
                <c:pt idx="34">
                  <c:v>0.86</c:v>
                </c:pt>
                <c:pt idx="35">
                  <c:v>0.86</c:v>
                </c:pt>
                <c:pt idx="36">
                  <c:v>0.86</c:v>
                </c:pt>
                <c:pt idx="37">
                  <c:v>0.86</c:v>
                </c:pt>
                <c:pt idx="38">
                  <c:v>0.86</c:v>
                </c:pt>
                <c:pt idx="39">
                  <c:v>0.86</c:v>
                </c:pt>
                <c:pt idx="40">
                  <c:v>0.86</c:v>
                </c:pt>
                <c:pt idx="41">
                  <c:v>0.86</c:v>
                </c:pt>
                <c:pt idx="42">
                  <c:v>0.86</c:v>
                </c:pt>
                <c:pt idx="43">
                  <c:v>0.86</c:v>
                </c:pt>
                <c:pt idx="44">
                  <c:v>0.86</c:v>
                </c:pt>
                <c:pt idx="45">
                  <c:v>0.86</c:v>
                </c:pt>
                <c:pt idx="46">
                  <c:v>0.86</c:v>
                </c:pt>
                <c:pt idx="47">
                  <c:v>0.86</c:v>
                </c:pt>
                <c:pt idx="48">
                  <c:v>0.86</c:v>
                </c:pt>
                <c:pt idx="49">
                  <c:v>0.86</c:v>
                </c:pt>
                <c:pt idx="50">
                  <c:v>0.86</c:v>
                </c:pt>
                <c:pt idx="51">
                  <c:v>0.86</c:v>
                </c:pt>
                <c:pt idx="52">
                  <c:v>0.86</c:v>
                </c:pt>
                <c:pt idx="53">
                  <c:v>0.86</c:v>
                </c:pt>
                <c:pt idx="54">
                  <c:v>0.86</c:v>
                </c:pt>
                <c:pt idx="55">
                  <c:v>0.86</c:v>
                </c:pt>
                <c:pt idx="56">
                  <c:v>0.86</c:v>
                </c:pt>
                <c:pt idx="57">
                  <c:v>0.86</c:v>
                </c:pt>
                <c:pt idx="58">
                  <c:v>0.86</c:v>
                </c:pt>
                <c:pt idx="59">
                  <c:v>0.86</c:v>
                </c:pt>
                <c:pt idx="60">
                  <c:v>0.86</c:v>
                </c:pt>
              </c:numCache>
            </c:numRef>
          </c:xVal>
          <c:yVal>
            <c:numRef>
              <c:f>'Fig 2'!$D$5:$D$65</c:f>
              <c:numCache>
                <c:formatCode>General</c:formatCode>
                <c:ptCount val="61"/>
                <c:pt idx="0">
                  <c:v>0</c:v>
                </c:pt>
                <c:pt idx="1">
                  <c:v>10</c:v>
                </c:pt>
                <c:pt idx="2">
                  <c:v>20</c:v>
                </c:pt>
                <c:pt idx="3">
                  <c:v>30</c:v>
                </c:pt>
                <c:pt idx="4">
                  <c:v>40</c:v>
                </c:pt>
                <c:pt idx="5">
                  <c:v>50</c:v>
                </c:pt>
                <c:pt idx="6">
                  <c:v>60</c:v>
                </c:pt>
                <c:pt idx="7">
                  <c:v>70</c:v>
                </c:pt>
                <c:pt idx="8">
                  <c:v>80</c:v>
                </c:pt>
                <c:pt idx="9">
                  <c:v>90</c:v>
                </c:pt>
                <c:pt idx="10">
                  <c:v>100</c:v>
                </c:pt>
                <c:pt idx="11">
                  <c:v>101</c:v>
                </c:pt>
                <c:pt idx="12">
                  <c:v>102</c:v>
                </c:pt>
                <c:pt idx="13">
                  <c:v>103</c:v>
                </c:pt>
                <c:pt idx="14">
                  <c:v>104</c:v>
                </c:pt>
                <c:pt idx="15">
                  <c:v>105</c:v>
                </c:pt>
                <c:pt idx="16">
                  <c:v>106</c:v>
                </c:pt>
                <c:pt idx="17">
                  <c:v>107</c:v>
                </c:pt>
                <c:pt idx="18">
                  <c:v>108</c:v>
                </c:pt>
                <c:pt idx="19">
                  <c:v>109</c:v>
                </c:pt>
                <c:pt idx="20">
                  <c:v>110</c:v>
                </c:pt>
                <c:pt idx="21">
                  <c:v>111</c:v>
                </c:pt>
                <c:pt idx="22">
                  <c:v>112</c:v>
                </c:pt>
                <c:pt idx="23">
                  <c:v>113</c:v>
                </c:pt>
                <c:pt idx="24">
                  <c:v>114</c:v>
                </c:pt>
                <c:pt idx="25">
                  <c:v>115</c:v>
                </c:pt>
                <c:pt idx="26">
                  <c:v>116</c:v>
                </c:pt>
                <c:pt idx="27">
                  <c:v>117</c:v>
                </c:pt>
                <c:pt idx="28">
                  <c:v>118</c:v>
                </c:pt>
                <c:pt idx="29">
                  <c:v>119</c:v>
                </c:pt>
                <c:pt idx="30">
                  <c:v>120</c:v>
                </c:pt>
                <c:pt idx="31">
                  <c:v>121</c:v>
                </c:pt>
                <c:pt idx="32">
                  <c:v>122</c:v>
                </c:pt>
                <c:pt idx="33">
                  <c:v>123</c:v>
                </c:pt>
                <c:pt idx="34">
                  <c:v>124</c:v>
                </c:pt>
                <c:pt idx="35">
                  <c:v>125</c:v>
                </c:pt>
                <c:pt idx="36">
                  <c:v>126</c:v>
                </c:pt>
                <c:pt idx="37">
                  <c:v>127</c:v>
                </c:pt>
                <c:pt idx="38">
                  <c:v>128</c:v>
                </c:pt>
                <c:pt idx="39">
                  <c:v>129</c:v>
                </c:pt>
                <c:pt idx="40">
                  <c:v>130</c:v>
                </c:pt>
                <c:pt idx="41">
                  <c:v>131</c:v>
                </c:pt>
                <c:pt idx="42">
                  <c:v>132</c:v>
                </c:pt>
                <c:pt idx="43">
                  <c:v>133</c:v>
                </c:pt>
                <c:pt idx="44">
                  <c:v>134</c:v>
                </c:pt>
                <c:pt idx="45">
                  <c:v>135</c:v>
                </c:pt>
                <c:pt idx="46">
                  <c:v>136</c:v>
                </c:pt>
                <c:pt idx="47">
                  <c:v>137</c:v>
                </c:pt>
                <c:pt idx="48">
                  <c:v>138</c:v>
                </c:pt>
                <c:pt idx="49">
                  <c:v>139</c:v>
                </c:pt>
                <c:pt idx="50">
                  <c:v>140</c:v>
                </c:pt>
                <c:pt idx="51">
                  <c:v>141</c:v>
                </c:pt>
                <c:pt idx="52">
                  <c:v>142</c:v>
                </c:pt>
                <c:pt idx="53">
                  <c:v>143</c:v>
                </c:pt>
                <c:pt idx="54">
                  <c:v>144</c:v>
                </c:pt>
                <c:pt idx="55">
                  <c:v>145</c:v>
                </c:pt>
                <c:pt idx="56">
                  <c:v>146</c:v>
                </c:pt>
                <c:pt idx="57">
                  <c:v>147</c:v>
                </c:pt>
                <c:pt idx="58">
                  <c:v>148</c:v>
                </c:pt>
                <c:pt idx="59">
                  <c:v>149</c:v>
                </c:pt>
                <c:pt idx="60">
                  <c:v>150</c:v>
                </c:pt>
              </c:numCache>
            </c:numRef>
          </c:yVal>
          <c:smooth val="1"/>
          <c:extLst>
            <c:ext xmlns:c16="http://schemas.microsoft.com/office/drawing/2014/chart" uri="{C3380CC4-5D6E-409C-BE32-E72D297353CC}">
              <c16:uniqueId val="{00000002-178F-4EB7-8D43-DCAA437B9E1A}"/>
            </c:ext>
          </c:extLst>
        </c:ser>
        <c:dLbls>
          <c:showLegendKey val="0"/>
          <c:showVal val="0"/>
          <c:showCatName val="0"/>
          <c:showSerName val="0"/>
          <c:showPercent val="0"/>
          <c:showBubbleSize val="0"/>
        </c:dLbls>
        <c:axId val="1747950783"/>
        <c:axId val="1674210559"/>
      </c:scatterChart>
      <c:valAx>
        <c:axId val="1747950783"/>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en-US"/>
                  <a:t>Gt CO</a:t>
                </a:r>
                <a:r>
                  <a:rPr lang="en-US" baseline="-25000"/>
                  <a:t>2</a:t>
                </a:r>
                <a:r>
                  <a:rPr lang="en-US"/>
                  <a:t> per year</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674210559"/>
        <c:crosses val="autoZero"/>
        <c:crossBetween val="midCat"/>
      </c:valAx>
      <c:valAx>
        <c:axId val="1674210559"/>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US$/tCO</a:t>
                </a:r>
                <a:r>
                  <a:rPr lang="en-US" baseline="-25000"/>
                  <a:t>2</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747950783"/>
        <c:crosses val="autoZero"/>
        <c:crossBetween val="midCat"/>
      </c:valAx>
    </c:plotArea>
    <c:legend>
      <c:legendPos val="b"/>
      <c:overlay val="0"/>
    </c:legend>
    <c:plotVisOnly val="1"/>
    <c:dispBlanksAs val="gap"/>
    <c:showDLblsOverMax val="0"/>
    <c:extLst/>
  </c:chart>
  <c:txPr>
    <a:bodyPr/>
    <a:lstStyle/>
    <a:p>
      <a:pPr>
        <a:defRPr/>
      </a:pPr>
      <a:endParaRPr lang="de-D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Deforestation!$A$18</c:f>
              <c:strCache>
                <c:ptCount val="1"/>
                <c:pt idx="0">
                  <c:v>BAU</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1"/>
            <c:dispEq val="1"/>
            <c:trendlineLbl>
              <c:layout>
                <c:manualLayout>
                  <c:x val="-5.0022747156605422E-2"/>
                  <c:y val="-0.144597185768445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trendlineLbl>
          </c:trendline>
          <c:cat>
            <c:numRef>
              <c:f>Deforestation!$B$2:$AF$2</c:f>
              <c:numCache>
                <c:formatCode>General</c:formatCode>
                <c:ptCount val="31"/>
                <c:pt idx="0">
                  <c:v>2020</c:v>
                </c:pt>
                <c:pt idx="5">
                  <c:v>2025</c:v>
                </c:pt>
                <c:pt idx="10">
                  <c:v>2030</c:v>
                </c:pt>
                <c:pt idx="15">
                  <c:v>2035</c:v>
                </c:pt>
                <c:pt idx="20">
                  <c:v>2040</c:v>
                </c:pt>
                <c:pt idx="25">
                  <c:v>2045</c:v>
                </c:pt>
                <c:pt idx="30">
                  <c:v>2050</c:v>
                </c:pt>
              </c:numCache>
            </c:numRef>
          </c:cat>
          <c:val>
            <c:numRef>
              <c:f>Deforestation!$B$18:$AF$18</c:f>
              <c:numCache>
                <c:formatCode>0</c:formatCode>
                <c:ptCount val="31"/>
                <c:pt idx="0">
                  <c:v>7679.7610000000013</c:v>
                </c:pt>
                <c:pt idx="1">
                  <c:v>7555.4511799999991</c:v>
                </c:pt>
                <c:pt idx="2">
                  <c:v>7430.1413599999996</c:v>
                </c:pt>
                <c:pt idx="3">
                  <c:v>7305.8315399999983</c:v>
                </c:pt>
                <c:pt idx="4">
                  <c:v>7181.5217199999988</c:v>
                </c:pt>
                <c:pt idx="5">
                  <c:v>7057.2118999999993</c:v>
                </c:pt>
                <c:pt idx="6">
                  <c:v>6937.8131799999992</c:v>
                </c:pt>
                <c:pt idx="7">
                  <c:v>6817.4144599999991</c:v>
                </c:pt>
                <c:pt idx="8">
                  <c:v>6698.0157399999989</c:v>
                </c:pt>
                <c:pt idx="9">
                  <c:v>6578.6170200000006</c:v>
                </c:pt>
                <c:pt idx="10">
                  <c:v>6459.2182999999986</c:v>
                </c:pt>
                <c:pt idx="11">
                  <c:v>6334.9160400000001</c:v>
                </c:pt>
                <c:pt idx="12">
                  <c:v>6210.6137800000015</c:v>
                </c:pt>
                <c:pt idx="13">
                  <c:v>6086.3115199999993</c:v>
                </c:pt>
                <c:pt idx="14">
                  <c:v>5962.0092599999998</c:v>
                </c:pt>
                <c:pt idx="15">
                  <c:v>5837.7070000000012</c:v>
                </c:pt>
                <c:pt idx="16">
                  <c:v>5747.4438800000016</c:v>
                </c:pt>
                <c:pt idx="17">
                  <c:v>5658.180760000002</c:v>
                </c:pt>
                <c:pt idx="18">
                  <c:v>5568.9176400000006</c:v>
                </c:pt>
                <c:pt idx="19">
                  <c:v>5479.654520000001</c:v>
                </c:pt>
                <c:pt idx="20">
                  <c:v>5390.3914000000013</c:v>
                </c:pt>
                <c:pt idx="21">
                  <c:v>5332.8879400000014</c:v>
                </c:pt>
                <c:pt idx="22">
                  <c:v>5274.3844800000015</c:v>
                </c:pt>
                <c:pt idx="23">
                  <c:v>5216.8810199999998</c:v>
                </c:pt>
                <c:pt idx="24">
                  <c:v>5159.377559999999</c:v>
                </c:pt>
                <c:pt idx="25">
                  <c:v>5101.8741000000018</c:v>
                </c:pt>
                <c:pt idx="26">
                  <c:v>5049.9683200000018</c:v>
                </c:pt>
                <c:pt idx="27">
                  <c:v>4998.0625400000017</c:v>
                </c:pt>
                <c:pt idx="28">
                  <c:v>4946.1567600000008</c:v>
                </c:pt>
                <c:pt idx="29">
                  <c:v>4894.2509799999998</c:v>
                </c:pt>
                <c:pt idx="30">
                  <c:v>4842.3451999999988</c:v>
                </c:pt>
              </c:numCache>
            </c:numRef>
          </c:val>
          <c:smooth val="0"/>
          <c:extLst>
            <c:ext xmlns:c16="http://schemas.microsoft.com/office/drawing/2014/chart" uri="{C3380CC4-5D6E-409C-BE32-E72D297353CC}">
              <c16:uniqueId val="{00000001-12BA-4AEB-8FD9-DC596DBF77AE}"/>
            </c:ext>
          </c:extLst>
        </c:ser>
        <c:ser>
          <c:idx val="1"/>
          <c:order val="1"/>
          <c:tx>
            <c:strRef>
              <c:f>Deforestation!$A$19</c:f>
              <c:strCache>
                <c:ptCount val="1"/>
                <c:pt idx="0">
                  <c:v>USD 5</c:v>
                </c:pt>
              </c:strCache>
            </c:strRef>
          </c:tx>
          <c:spPr>
            <a:ln w="28575" cap="rnd">
              <a:solidFill>
                <a:schemeClr val="accent2"/>
              </a:solidFill>
              <a:round/>
            </a:ln>
            <a:effectLst/>
          </c:spPr>
          <c:marker>
            <c:symbol val="none"/>
          </c:marker>
          <c:cat>
            <c:numRef>
              <c:f>Deforestation!$B$2:$AF$2</c:f>
              <c:numCache>
                <c:formatCode>General</c:formatCode>
                <c:ptCount val="31"/>
                <c:pt idx="0">
                  <c:v>2020</c:v>
                </c:pt>
                <c:pt idx="5">
                  <c:v>2025</c:v>
                </c:pt>
                <c:pt idx="10">
                  <c:v>2030</c:v>
                </c:pt>
                <c:pt idx="15">
                  <c:v>2035</c:v>
                </c:pt>
                <c:pt idx="20">
                  <c:v>2040</c:v>
                </c:pt>
                <c:pt idx="25">
                  <c:v>2045</c:v>
                </c:pt>
                <c:pt idx="30">
                  <c:v>2050</c:v>
                </c:pt>
              </c:numCache>
            </c:numRef>
          </c:cat>
          <c:val>
            <c:numRef>
              <c:f>Deforestation!$B$19:$AF$19</c:f>
              <c:numCache>
                <c:formatCode>0</c:formatCode>
                <c:ptCount val="31"/>
                <c:pt idx="0">
                  <c:v>5599.7946000000011</c:v>
                </c:pt>
                <c:pt idx="1">
                  <c:v>5392.8371999999981</c:v>
                </c:pt>
                <c:pt idx="2">
                  <c:v>5184.8797999999997</c:v>
                </c:pt>
                <c:pt idx="3">
                  <c:v>4977.9223999999977</c:v>
                </c:pt>
                <c:pt idx="4">
                  <c:v>4770.9649999999983</c:v>
                </c:pt>
                <c:pt idx="5">
                  <c:v>4564.007599999999</c:v>
                </c:pt>
                <c:pt idx="6">
                  <c:v>4400.2714799999994</c:v>
                </c:pt>
                <c:pt idx="7">
                  <c:v>4235.5353599999999</c:v>
                </c:pt>
                <c:pt idx="8">
                  <c:v>4071.7992399999989</c:v>
                </c:pt>
                <c:pt idx="9">
                  <c:v>3908.0631200000007</c:v>
                </c:pt>
                <c:pt idx="10">
                  <c:v>3744.3269999999993</c:v>
                </c:pt>
                <c:pt idx="11">
                  <c:v>3548.3931200000002</c:v>
                </c:pt>
                <c:pt idx="12">
                  <c:v>3352.459240000001</c:v>
                </c:pt>
                <c:pt idx="13">
                  <c:v>3156.5253599999983</c:v>
                </c:pt>
                <c:pt idx="14">
                  <c:v>2960.5914799999982</c:v>
                </c:pt>
                <c:pt idx="15">
                  <c:v>2763.6576</c:v>
                </c:pt>
                <c:pt idx="16">
                  <c:v>2622.0522599999999</c:v>
                </c:pt>
                <c:pt idx="17">
                  <c:v>2480.4469200000003</c:v>
                </c:pt>
                <c:pt idx="18">
                  <c:v>2338.8415799999989</c:v>
                </c:pt>
                <c:pt idx="19">
                  <c:v>2197.2362399999993</c:v>
                </c:pt>
                <c:pt idx="20">
                  <c:v>2055.6308999999997</c:v>
                </c:pt>
                <c:pt idx="21">
                  <c:v>1991.4825600000008</c:v>
                </c:pt>
                <c:pt idx="22">
                  <c:v>1926.3342200000006</c:v>
                </c:pt>
                <c:pt idx="23">
                  <c:v>1862.1858799999982</c:v>
                </c:pt>
                <c:pt idx="24">
                  <c:v>1798.0375399999971</c:v>
                </c:pt>
                <c:pt idx="25">
                  <c:v>1733.889200000001</c:v>
                </c:pt>
                <c:pt idx="26">
                  <c:v>1692.5565000000011</c:v>
                </c:pt>
                <c:pt idx="27">
                  <c:v>1651.2238000000007</c:v>
                </c:pt>
                <c:pt idx="28">
                  <c:v>1609.8911000000003</c:v>
                </c:pt>
                <c:pt idx="29">
                  <c:v>1568.5583999999999</c:v>
                </c:pt>
                <c:pt idx="30">
                  <c:v>1527.2257000000004</c:v>
                </c:pt>
              </c:numCache>
            </c:numRef>
          </c:val>
          <c:smooth val="0"/>
          <c:extLst>
            <c:ext xmlns:c16="http://schemas.microsoft.com/office/drawing/2014/chart" uri="{C3380CC4-5D6E-409C-BE32-E72D297353CC}">
              <c16:uniqueId val="{00000002-12BA-4AEB-8FD9-DC596DBF77AE}"/>
            </c:ext>
          </c:extLst>
        </c:ser>
        <c:ser>
          <c:idx val="2"/>
          <c:order val="2"/>
          <c:tx>
            <c:strRef>
              <c:f>Deforestation!$A$20</c:f>
              <c:strCache>
                <c:ptCount val="1"/>
                <c:pt idx="0">
                  <c:v>USD 10</c:v>
                </c:pt>
              </c:strCache>
            </c:strRef>
          </c:tx>
          <c:spPr>
            <a:ln w="28575" cap="rnd">
              <a:solidFill>
                <a:schemeClr val="accent3"/>
              </a:solidFill>
              <a:round/>
            </a:ln>
            <a:effectLst/>
          </c:spPr>
          <c:marker>
            <c:symbol val="none"/>
          </c:marker>
          <c:cat>
            <c:numRef>
              <c:f>Deforestation!$B$2:$AF$2</c:f>
              <c:numCache>
                <c:formatCode>General</c:formatCode>
                <c:ptCount val="31"/>
                <c:pt idx="0">
                  <c:v>2020</c:v>
                </c:pt>
                <c:pt idx="5">
                  <c:v>2025</c:v>
                </c:pt>
                <c:pt idx="10">
                  <c:v>2030</c:v>
                </c:pt>
                <c:pt idx="15">
                  <c:v>2035</c:v>
                </c:pt>
                <c:pt idx="20">
                  <c:v>2040</c:v>
                </c:pt>
                <c:pt idx="25">
                  <c:v>2045</c:v>
                </c:pt>
                <c:pt idx="30">
                  <c:v>2050</c:v>
                </c:pt>
              </c:numCache>
            </c:numRef>
          </c:cat>
          <c:val>
            <c:numRef>
              <c:f>Deforestation!$B$20:$AF$20</c:f>
              <c:numCache>
                <c:formatCode>0</c:formatCode>
                <c:ptCount val="31"/>
                <c:pt idx="0">
                  <c:v>3424.2151000000003</c:v>
                </c:pt>
                <c:pt idx="1">
                  <c:v>3236.2799399999994</c:v>
                </c:pt>
                <c:pt idx="2">
                  <c:v>3047.3447800000004</c:v>
                </c:pt>
                <c:pt idx="3">
                  <c:v>2859.4096199999985</c:v>
                </c:pt>
                <c:pt idx="4">
                  <c:v>2671.4744600000004</c:v>
                </c:pt>
                <c:pt idx="5">
                  <c:v>2482.5392999999995</c:v>
                </c:pt>
                <c:pt idx="6">
                  <c:v>2397.1713599999985</c:v>
                </c:pt>
                <c:pt idx="7">
                  <c:v>2309.8034199999993</c:v>
                </c:pt>
                <c:pt idx="8">
                  <c:v>2223.4354799999983</c:v>
                </c:pt>
                <c:pt idx="9">
                  <c:v>2137.0675400000009</c:v>
                </c:pt>
                <c:pt idx="10">
                  <c:v>2050.699599999999</c:v>
                </c:pt>
                <c:pt idx="11">
                  <c:v>1980.9507000000012</c:v>
                </c:pt>
                <c:pt idx="12">
                  <c:v>1911.2018000000016</c:v>
                </c:pt>
                <c:pt idx="13">
                  <c:v>1841.4528999999993</c:v>
                </c:pt>
                <c:pt idx="14">
                  <c:v>1771.7039999999997</c:v>
                </c:pt>
                <c:pt idx="15">
                  <c:v>1701.9550999999992</c:v>
                </c:pt>
                <c:pt idx="16">
                  <c:v>1632.1021800000008</c:v>
                </c:pt>
                <c:pt idx="17">
                  <c:v>1563.249260000001</c:v>
                </c:pt>
                <c:pt idx="18">
                  <c:v>1494.3963399999993</c:v>
                </c:pt>
                <c:pt idx="19">
                  <c:v>1426.5434199999995</c:v>
                </c:pt>
                <c:pt idx="20">
                  <c:v>1357.6905000000006</c:v>
                </c:pt>
                <c:pt idx="21">
                  <c:v>1295.8029400000005</c:v>
                </c:pt>
                <c:pt idx="22">
                  <c:v>1232.9153799999999</c:v>
                </c:pt>
                <c:pt idx="23">
                  <c:v>1171.0278199999998</c:v>
                </c:pt>
                <c:pt idx="24">
                  <c:v>1109.1402599999979</c:v>
                </c:pt>
                <c:pt idx="25">
                  <c:v>1047.2527000000014</c:v>
                </c:pt>
                <c:pt idx="26">
                  <c:v>1000.8860400000017</c:v>
                </c:pt>
                <c:pt idx="27">
                  <c:v>954.519380000002</c:v>
                </c:pt>
                <c:pt idx="28">
                  <c:v>908.15272000000186</c:v>
                </c:pt>
                <c:pt idx="29">
                  <c:v>861.78606000000036</c:v>
                </c:pt>
                <c:pt idx="30">
                  <c:v>815.41939999999977</c:v>
                </c:pt>
              </c:numCache>
            </c:numRef>
          </c:val>
          <c:smooth val="0"/>
          <c:extLst>
            <c:ext xmlns:c16="http://schemas.microsoft.com/office/drawing/2014/chart" uri="{C3380CC4-5D6E-409C-BE32-E72D297353CC}">
              <c16:uniqueId val="{00000003-12BA-4AEB-8FD9-DC596DBF77AE}"/>
            </c:ext>
          </c:extLst>
        </c:ser>
        <c:ser>
          <c:idx val="3"/>
          <c:order val="3"/>
          <c:tx>
            <c:strRef>
              <c:f>Deforestation!$A$21</c:f>
              <c:strCache>
                <c:ptCount val="1"/>
                <c:pt idx="0">
                  <c:v>USD 25</c:v>
                </c:pt>
              </c:strCache>
            </c:strRef>
          </c:tx>
          <c:spPr>
            <a:ln w="28575" cap="rnd">
              <a:solidFill>
                <a:schemeClr val="accent4"/>
              </a:solidFill>
              <a:round/>
            </a:ln>
            <a:effectLst/>
          </c:spPr>
          <c:marker>
            <c:symbol val="none"/>
          </c:marker>
          <c:cat>
            <c:numRef>
              <c:f>Deforestation!$B$2:$AF$2</c:f>
              <c:numCache>
                <c:formatCode>General</c:formatCode>
                <c:ptCount val="31"/>
                <c:pt idx="0">
                  <c:v>2020</c:v>
                </c:pt>
                <c:pt idx="5">
                  <c:v>2025</c:v>
                </c:pt>
                <c:pt idx="10">
                  <c:v>2030</c:v>
                </c:pt>
                <c:pt idx="15">
                  <c:v>2035</c:v>
                </c:pt>
                <c:pt idx="20">
                  <c:v>2040</c:v>
                </c:pt>
                <c:pt idx="25">
                  <c:v>2045</c:v>
                </c:pt>
                <c:pt idx="30">
                  <c:v>2050</c:v>
                </c:pt>
              </c:numCache>
            </c:numRef>
          </c:cat>
          <c:val>
            <c:numRef>
              <c:f>Deforestation!$B$21:$AF$21</c:f>
              <c:numCache>
                <c:formatCode>0</c:formatCode>
                <c:ptCount val="31"/>
                <c:pt idx="0">
                  <c:v>2154.4453999999996</c:v>
                </c:pt>
                <c:pt idx="1">
                  <c:v>2004.6431199999997</c:v>
                </c:pt>
                <c:pt idx="2">
                  <c:v>1853.8408400000008</c:v>
                </c:pt>
                <c:pt idx="3">
                  <c:v>1705.0385599999981</c:v>
                </c:pt>
                <c:pt idx="4">
                  <c:v>1555.2362800000001</c:v>
                </c:pt>
                <c:pt idx="5">
                  <c:v>1405.4340000000002</c:v>
                </c:pt>
                <c:pt idx="6">
                  <c:v>1345.0242399999997</c:v>
                </c:pt>
                <c:pt idx="7">
                  <c:v>1283.6144800000002</c:v>
                </c:pt>
                <c:pt idx="8">
                  <c:v>1224.2047200000015</c:v>
                </c:pt>
                <c:pt idx="9">
                  <c:v>1163.794960000002</c:v>
                </c:pt>
                <c:pt idx="10">
                  <c:v>1103.3852000000006</c:v>
                </c:pt>
                <c:pt idx="11">
                  <c:v>1059.3473000000013</c:v>
                </c:pt>
                <c:pt idx="12">
                  <c:v>1015.3093999999992</c:v>
                </c:pt>
                <c:pt idx="13">
                  <c:v>971.27149999999892</c:v>
                </c:pt>
                <c:pt idx="14">
                  <c:v>927.23359999999866</c:v>
                </c:pt>
                <c:pt idx="15">
                  <c:v>883.19569999999931</c:v>
                </c:pt>
                <c:pt idx="16">
                  <c:v>854.26120000000083</c:v>
                </c:pt>
                <c:pt idx="17">
                  <c:v>826.32670000000144</c:v>
                </c:pt>
                <c:pt idx="18">
                  <c:v>798.39220000000023</c:v>
                </c:pt>
                <c:pt idx="19">
                  <c:v>770.45769999999993</c:v>
                </c:pt>
                <c:pt idx="20">
                  <c:v>743.52319999999872</c:v>
                </c:pt>
                <c:pt idx="21">
                  <c:v>717.2538999999997</c:v>
                </c:pt>
                <c:pt idx="22">
                  <c:v>689.98459999999795</c:v>
                </c:pt>
                <c:pt idx="23">
                  <c:v>663.71529999999802</c:v>
                </c:pt>
                <c:pt idx="24">
                  <c:v>637.44599999999627</c:v>
                </c:pt>
                <c:pt idx="25">
                  <c:v>611.17670000000089</c:v>
                </c:pt>
                <c:pt idx="26">
                  <c:v>597.01664000000164</c:v>
                </c:pt>
                <c:pt idx="27">
                  <c:v>582.85658000000058</c:v>
                </c:pt>
                <c:pt idx="28">
                  <c:v>568.69652000000042</c:v>
                </c:pt>
                <c:pt idx="29">
                  <c:v>554.53646000000026</c:v>
                </c:pt>
                <c:pt idx="30">
                  <c:v>540.3764000000001</c:v>
                </c:pt>
              </c:numCache>
            </c:numRef>
          </c:val>
          <c:smooth val="0"/>
          <c:extLst>
            <c:ext xmlns:c16="http://schemas.microsoft.com/office/drawing/2014/chart" uri="{C3380CC4-5D6E-409C-BE32-E72D297353CC}">
              <c16:uniqueId val="{00000004-12BA-4AEB-8FD9-DC596DBF77AE}"/>
            </c:ext>
          </c:extLst>
        </c:ser>
        <c:ser>
          <c:idx val="4"/>
          <c:order val="4"/>
          <c:tx>
            <c:strRef>
              <c:f>Deforestation!$A$22</c:f>
              <c:strCache>
                <c:ptCount val="1"/>
                <c:pt idx="0">
                  <c:v>USD 50</c:v>
                </c:pt>
              </c:strCache>
            </c:strRef>
          </c:tx>
          <c:spPr>
            <a:ln w="28575" cap="rnd">
              <a:solidFill>
                <a:schemeClr val="accent5"/>
              </a:solidFill>
              <a:round/>
            </a:ln>
            <a:effectLst/>
          </c:spPr>
          <c:marker>
            <c:symbol val="none"/>
          </c:marker>
          <c:cat>
            <c:numRef>
              <c:f>Deforestation!$B$2:$AF$2</c:f>
              <c:numCache>
                <c:formatCode>General</c:formatCode>
                <c:ptCount val="31"/>
                <c:pt idx="0">
                  <c:v>2020</c:v>
                </c:pt>
                <c:pt idx="5">
                  <c:v>2025</c:v>
                </c:pt>
                <c:pt idx="10">
                  <c:v>2030</c:v>
                </c:pt>
                <c:pt idx="15">
                  <c:v>2035</c:v>
                </c:pt>
                <c:pt idx="20">
                  <c:v>2040</c:v>
                </c:pt>
                <c:pt idx="25">
                  <c:v>2045</c:v>
                </c:pt>
                <c:pt idx="30">
                  <c:v>2050</c:v>
                </c:pt>
              </c:numCache>
            </c:numRef>
          </c:cat>
          <c:val>
            <c:numRef>
              <c:f>Deforestation!$B$22:$AF$22</c:f>
              <c:numCache>
                <c:formatCode>0</c:formatCode>
                <c:ptCount val="31"/>
                <c:pt idx="0">
                  <c:v>1762.7110000000002</c:v>
                </c:pt>
                <c:pt idx="1">
                  <c:v>1632.5720799999999</c:v>
                </c:pt>
                <c:pt idx="2">
                  <c:v>1501.4331599999996</c:v>
                </c:pt>
                <c:pt idx="3">
                  <c:v>1372.2942399999984</c:v>
                </c:pt>
                <c:pt idx="4">
                  <c:v>1242.1553199999998</c:v>
                </c:pt>
                <c:pt idx="5">
                  <c:v>1112.0164000000013</c:v>
                </c:pt>
                <c:pt idx="6">
                  <c:v>1062.6790600000004</c:v>
                </c:pt>
                <c:pt idx="7">
                  <c:v>1012.3417200000022</c:v>
                </c:pt>
                <c:pt idx="8">
                  <c:v>964.00437999999849</c:v>
                </c:pt>
                <c:pt idx="9">
                  <c:v>914.66704000000209</c:v>
                </c:pt>
                <c:pt idx="10">
                  <c:v>865.32970000000023</c:v>
                </c:pt>
                <c:pt idx="11">
                  <c:v>834.84167999999954</c:v>
                </c:pt>
                <c:pt idx="12">
                  <c:v>804.35366000000158</c:v>
                </c:pt>
                <c:pt idx="13">
                  <c:v>773.86563999999908</c:v>
                </c:pt>
                <c:pt idx="14">
                  <c:v>743.37761999999839</c:v>
                </c:pt>
                <c:pt idx="15">
                  <c:v>712.88959999999952</c:v>
                </c:pt>
                <c:pt idx="16">
                  <c:v>693.59428000000025</c:v>
                </c:pt>
                <c:pt idx="17">
                  <c:v>675.29896000000008</c:v>
                </c:pt>
                <c:pt idx="18">
                  <c:v>657.003639999999</c:v>
                </c:pt>
                <c:pt idx="19">
                  <c:v>638.70831999999973</c:v>
                </c:pt>
                <c:pt idx="20">
                  <c:v>621.41299999999956</c:v>
                </c:pt>
                <c:pt idx="21">
                  <c:v>603.51685999999881</c:v>
                </c:pt>
                <c:pt idx="22">
                  <c:v>584.62071999999898</c:v>
                </c:pt>
                <c:pt idx="23">
                  <c:v>566.72458000000006</c:v>
                </c:pt>
                <c:pt idx="24">
                  <c:v>548.8284399999975</c:v>
                </c:pt>
                <c:pt idx="25">
                  <c:v>530.9323000000004</c:v>
                </c:pt>
                <c:pt idx="26">
                  <c:v>523.33971999999994</c:v>
                </c:pt>
                <c:pt idx="27">
                  <c:v>515.7471400000004</c:v>
                </c:pt>
                <c:pt idx="28">
                  <c:v>508.15455999999995</c:v>
                </c:pt>
                <c:pt idx="29">
                  <c:v>500.56198000000131</c:v>
                </c:pt>
                <c:pt idx="30">
                  <c:v>492.96940000000086</c:v>
                </c:pt>
              </c:numCache>
            </c:numRef>
          </c:val>
          <c:smooth val="0"/>
          <c:extLst>
            <c:ext xmlns:c16="http://schemas.microsoft.com/office/drawing/2014/chart" uri="{C3380CC4-5D6E-409C-BE32-E72D297353CC}">
              <c16:uniqueId val="{00000005-12BA-4AEB-8FD9-DC596DBF77AE}"/>
            </c:ext>
          </c:extLst>
        </c:ser>
        <c:ser>
          <c:idx val="5"/>
          <c:order val="5"/>
          <c:tx>
            <c:strRef>
              <c:f>Deforestation!$A$23</c:f>
              <c:strCache>
                <c:ptCount val="1"/>
                <c:pt idx="0">
                  <c:v>USD 100</c:v>
                </c:pt>
              </c:strCache>
            </c:strRef>
          </c:tx>
          <c:spPr>
            <a:ln w="28575" cap="rnd">
              <a:solidFill>
                <a:schemeClr val="accent6"/>
              </a:solidFill>
              <a:round/>
            </a:ln>
            <a:effectLst/>
          </c:spPr>
          <c:marker>
            <c:symbol val="none"/>
          </c:marker>
          <c:trendline>
            <c:spPr>
              <a:ln w="19050" cap="rnd">
                <a:solidFill>
                  <a:schemeClr val="accent6"/>
                </a:solidFill>
                <a:prstDash val="sysDot"/>
              </a:ln>
              <a:effectLst/>
            </c:spPr>
            <c:trendlineType val="linear"/>
            <c:dispRSqr val="1"/>
            <c:dispEq val="1"/>
            <c:trendlineLbl>
              <c:layout>
                <c:manualLayout>
                  <c:x val="-3.2883858267716538E-2"/>
                  <c:y val="-0.1004924905220180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trendlineLbl>
          </c:trendline>
          <c:cat>
            <c:numRef>
              <c:f>Deforestation!$B$2:$AF$2</c:f>
              <c:numCache>
                <c:formatCode>General</c:formatCode>
                <c:ptCount val="31"/>
                <c:pt idx="0">
                  <c:v>2020</c:v>
                </c:pt>
                <c:pt idx="5">
                  <c:v>2025</c:v>
                </c:pt>
                <c:pt idx="10">
                  <c:v>2030</c:v>
                </c:pt>
                <c:pt idx="15">
                  <c:v>2035</c:v>
                </c:pt>
                <c:pt idx="20">
                  <c:v>2040</c:v>
                </c:pt>
                <c:pt idx="25">
                  <c:v>2045</c:v>
                </c:pt>
                <c:pt idx="30">
                  <c:v>2050</c:v>
                </c:pt>
              </c:numCache>
            </c:numRef>
          </c:cat>
          <c:val>
            <c:numRef>
              <c:f>Deforestation!$B$23:$AF$23</c:f>
              <c:numCache>
                <c:formatCode>0</c:formatCode>
                <c:ptCount val="31"/>
                <c:pt idx="0">
                  <c:v>1608.1209999999992</c:v>
                </c:pt>
                <c:pt idx="1">
                  <c:v>1483.9741199999999</c:v>
                </c:pt>
                <c:pt idx="2">
                  <c:v>1358.8272399999996</c:v>
                </c:pt>
                <c:pt idx="3">
                  <c:v>1235.6803599999985</c:v>
                </c:pt>
                <c:pt idx="4">
                  <c:v>1111.5334799999982</c:v>
                </c:pt>
                <c:pt idx="5">
                  <c:v>987.38659999999982</c:v>
                </c:pt>
                <c:pt idx="6">
                  <c:v>946.02171999999973</c:v>
                </c:pt>
                <c:pt idx="7">
                  <c:v>903.65683999999965</c:v>
                </c:pt>
                <c:pt idx="8">
                  <c:v>863.29195999999956</c:v>
                </c:pt>
                <c:pt idx="9">
                  <c:v>821.9270800000013</c:v>
                </c:pt>
                <c:pt idx="10">
                  <c:v>780.56219999999939</c:v>
                </c:pt>
                <c:pt idx="11">
                  <c:v>756.78776000000016</c:v>
                </c:pt>
                <c:pt idx="12">
                  <c:v>733.01332000000184</c:v>
                </c:pt>
                <c:pt idx="13">
                  <c:v>709.23887999999988</c:v>
                </c:pt>
                <c:pt idx="14">
                  <c:v>685.46443999999701</c:v>
                </c:pt>
                <c:pt idx="15">
                  <c:v>661.68999999999869</c:v>
                </c:pt>
                <c:pt idx="16">
                  <c:v>650.05526000000009</c:v>
                </c:pt>
                <c:pt idx="17">
                  <c:v>639.42052000000149</c:v>
                </c:pt>
                <c:pt idx="18">
                  <c:v>628.78577999999925</c:v>
                </c:pt>
                <c:pt idx="19">
                  <c:v>618.15103999999883</c:v>
                </c:pt>
                <c:pt idx="20">
                  <c:v>608.51629999999932</c:v>
                </c:pt>
                <c:pt idx="21">
                  <c:v>593.34570000000076</c:v>
                </c:pt>
                <c:pt idx="22">
                  <c:v>577.17509999999857</c:v>
                </c:pt>
                <c:pt idx="23">
                  <c:v>562.00450000000001</c:v>
                </c:pt>
                <c:pt idx="24">
                  <c:v>546.83389999999963</c:v>
                </c:pt>
                <c:pt idx="25">
                  <c:v>531.66330000000107</c:v>
                </c:pt>
                <c:pt idx="26">
                  <c:v>525.78422000000046</c:v>
                </c:pt>
                <c:pt idx="27">
                  <c:v>519.90514000000076</c:v>
                </c:pt>
                <c:pt idx="28">
                  <c:v>514.02606000000014</c:v>
                </c:pt>
                <c:pt idx="29">
                  <c:v>508.14697999999953</c:v>
                </c:pt>
                <c:pt idx="30">
                  <c:v>502.26790000000165</c:v>
                </c:pt>
              </c:numCache>
            </c:numRef>
          </c:val>
          <c:smooth val="0"/>
          <c:extLst>
            <c:ext xmlns:c16="http://schemas.microsoft.com/office/drawing/2014/chart" uri="{C3380CC4-5D6E-409C-BE32-E72D297353CC}">
              <c16:uniqueId val="{00000007-12BA-4AEB-8FD9-DC596DBF77AE}"/>
            </c:ext>
          </c:extLst>
        </c:ser>
        <c:dLbls>
          <c:showLegendKey val="0"/>
          <c:showVal val="0"/>
          <c:showCatName val="0"/>
          <c:showSerName val="0"/>
          <c:showPercent val="0"/>
          <c:showBubbleSize val="0"/>
        </c:dLbls>
        <c:smooth val="0"/>
        <c:axId val="1488484623"/>
        <c:axId val="1328927487"/>
      </c:lineChart>
      <c:catAx>
        <c:axId val="1488484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328927487"/>
        <c:crosses val="autoZero"/>
        <c:auto val="1"/>
        <c:lblAlgn val="ctr"/>
        <c:lblOffset val="100"/>
        <c:noMultiLvlLbl val="0"/>
      </c:catAx>
      <c:valAx>
        <c:axId val="1328927487"/>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Mt CO2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0" sourceLinked="1"/>
        <c:majorTickMark val="none"/>
        <c:minorTickMark val="none"/>
        <c:tickLblPos val="nextTo"/>
        <c:crossAx val="1488484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EE86D-E9EF-4598-8D59-30685C8F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3895</Words>
  <Characters>24540</Characters>
  <Application>Microsoft Office Word</Application>
  <DocSecurity>0</DocSecurity>
  <Lines>204</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Golub</dc:creator>
  <cp:keywords/>
  <dc:description/>
  <cp:lastModifiedBy>Sabine Fuss</cp:lastModifiedBy>
  <cp:revision>2</cp:revision>
  <cp:lastPrinted>2020-08-04T16:59:00Z</cp:lastPrinted>
  <dcterms:created xsi:type="dcterms:W3CDTF">2020-11-24T19:37:00Z</dcterms:created>
  <dcterms:modified xsi:type="dcterms:W3CDTF">2020-11-24T19:37:00Z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http://www.zotero.org/styles/journal-of-climate</vt:lpwstr>
  </property>
  <property fmtid="{D5CDD505-2E9C-101B-9397-08002B2CF9AE}" pid="15" name="Mendeley Recent Style Name 6_1">
    <vt:lpwstr>Journal of Climate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65c77951-f0de-3769-b77c-03ed787a118f</vt:lpwstr>
  </property>
  <property fmtid="{D5CDD505-2E9C-101B-9397-08002B2CF9AE}" pid="24" name="Mendeley Citation Style_1">
    <vt:lpwstr>http://www.zotero.org/styles/apa</vt:lpwstr>
  </property>
</Properties>
</file>