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6BABB" w14:textId="77777777" w:rsidR="00D07572" w:rsidRPr="008E5A67" w:rsidRDefault="00D07572" w:rsidP="00D07572">
      <w:pPr>
        <w:rPr>
          <w:b/>
          <w:bCs/>
          <w:sz w:val="28"/>
          <w:szCs w:val="28"/>
          <w:lang w:eastAsia="de-DE"/>
        </w:rPr>
      </w:pPr>
      <w:bookmarkStart w:id="0" w:name="_Hlk497490072"/>
      <w:bookmarkStart w:id="1" w:name="_Hlk497490094"/>
      <w:r w:rsidRPr="008E5A67">
        <w:rPr>
          <w:b/>
          <w:bCs/>
          <w:sz w:val="28"/>
          <w:szCs w:val="28"/>
          <w:lang w:eastAsia="de-DE"/>
        </w:rPr>
        <w:t xml:space="preserve">Modelling </w:t>
      </w:r>
      <w:r>
        <w:rPr>
          <w:b/>
          <w:bCs/>
          <w:sz w:val="28"/>
          <w:szCs w:val="28"/>
          <w:lang w:eastAsia="de-DE"/>
        </w:rPr>
        <w:t>national transformations to achieve the SDGs within planetary boundaries</w:t>
      </w:r>
      <w:r w:rsidRPr="008E5A67">
        <w:rPr>
          <w:b/>
          <w:bCs/>
          <w:sz w:val="28"/>
          <w:szCs w:val="28"/>
          <w:lang w:eastAsia="de-DE"/>
        </w:rPr>
        <w:t xml:space="preserve"> in </w:t>
      </w:r>
      <w:r>
        <w:rPr>
          <w:b/>
          <w:bCs/>
          <w:sz w:val="28"/>
          <w:szCs w:val="28"/>
          <w:lang w:eastAsia="de-DE"/>
        </w:rPr>
        <w:t>small island developing</w:t>
      </w:r>
      <w:r w:rsidRPr="008E5A67">
        <w:rPr>
          <w:b/>
          <w:bCs/>
          <w:sz w:val="28"/>
          <w:szCs w:val="28"/>
          <w:lang w:eastAsia="de-DE"/>
        </w:rPr>
        <w:t xml:space="preserve"> States</w:t>
      </w:r>
    </w:p>
    <w:bookmarkEnd w:id="0"/>
    <w:p w14:paraId="49FE954C" w14:textId="3448FDF3" w:rsidR="00E92CE0" w:rsidRPr="00FA1E0D" w:rsidRDefault="00E92CE0" w:rsidP="00E92CE0">
      <w:pPr>
        <w:rPr>
          <w:b/>
          <w:color w:val="FF0000"/>
          <w:lang w:val="de-CH"/>
        </w:rPr>
      </w:pPr>
      <w:r w:rsidRPr="00111991">
        <w:rPr>
          <w:b/>
          <w:lang w:val="de-CH"/>
        </w:rPr>
        <w:t>Cameron Allen</w:t>
      </w:r>
      <w:r w:rsidR="00FA1E0D">
        <w:rPr>
          <w:b/>
          <w:szCs w:val="24"/>
          <w:lang w:val="de-CH"/>
        </w:rPr>
        <w:t>,</w:t>
      </w:r>
      <w:r w:rsidR="00F72CBF">
        <w:rPr>
          <w:b/>
          <w:szCs w:val="24"/>
          <w:lang w:val="de-CH"/>
        </w:rPr>
        <w:t xml:space="preserve"> Graciela Metternicht, Thomas Wiedmann, Matteo Pedercini</w:t>
      </w:r>
    </w:p>
    <w:bookmarkEnd w:id="1"/>
    <w:p w14:paraId="738B6F41" w14:textId="162C9300" w:rsidR="00E92CE0" w:rsidRDefault="00E92CE0" w:rsidP="00E92CE0">
      <w:pPr>
        <w:rPr>
          <w:b/>
        </w:rPr>
      </w:pPr>
      <w:r w:rsidRPr="00E92CE0">
        <w:rPr>
          <w:b/>
        </w:rPr>
        <w:t>Supplementary Information</w:t>
      </w:r>
    </w:p>
    <w:p w14:paraId="47102411" w14:textId="3ECD8B58" w:rsidR="00C04B10" w:rsidRDefault="00A9640E" w:rsidP="00E92CE0">
      <w:pPr>
        <w:rPr>
          <w:b/>
        </w:rPr>
      </w:pPr>
      <w:r>
        <w:rPr>
          <w:b/>
        </w:rPr>
        <w:t>_______________</w:t>
      </w:r>
    </w:p>
    <w:p w14:paraId="33663459" w14:textId="60BC993B" w:rsidR="00C04B10" w:rsidRPr="00AF0CC8" w:rsidRDefault="00C04B10">
      <w:pPr>
        <w:rPr>
          <w:b/>
          <w:caps/>
        </w:rPr>
      </w:pPr>
      <w:r w:rsidRPr="00AF0CC8">
        <w:rPr>
          <w:b/>
          <w:caps/>
        </w:rPr>
        <w:t>Supplementary Text 1</w:t>
      </w:r>
      <w:r w:rsidR="00AF0CC8">
        <w:rPr>
          <w:b/>
          <w:caps/>
        </w:rPr>
        <w:t>.</w:t>
      </w:r>
      <w:r w:rsidRPr="00AF0CC8">
        <w:rPr>
          <w:b/>
          <w:caps/>
        </w:rPr>
        <w:t xml:space="preserve"> Additional background on Fiji and SDGs priorities</w:t>
      </w:r>
    </w:p>
    <w:p w14:paraId="72F2FC6A" w14:textId="100F9E25" w:rsidR="00C04B10" w:rsidRDefault="00C04B10" w:rsidP="00C04B10">
      <w:r w:rsidRPr="00A52F66">
        <w:t xml:space="preserve">Fiji is an upper-middle income country which in 2018 had an estimated population of 883,483, aggregate GDP of US$5.5 billion, and GDP per capita of US$6,267 </w:t>
      </w:r>
      <w:r w:rsidRPr="00A52F66">
        <w:fldChar w:fldCharType="begin"/>
      </w:r>
      <w:r w:rsidRPr="00A52F66">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A52F66">
        <w:fldChar w:fldCharType="separate"/>
      </w:r>
      <w:r w:rsidRPr="00A52F66">
        <w:rPr>
          <w:noProof/>
        </w:rPr>
        <w:t>(The World Bank, 2018)</w:t>
      </w:r>
      <w:r w:rsidRPr="00A52F66">
        <w:fldChar w:fldCharType="end"/>
      </w:r>
      <w:r w:rsidRPr="00A52F66">
        <w:t xml:space="preserve">. Fiji’s annual GDP growth averaged 3.7% over the period 2010 to 2018, comprising 13.5% agriculture (mainly sugarcane), 17.4% industry, and 69.1% services in 2018 </w:t>
      </w:r>
      <w:r w:rsidRPr="00A52F66">
        <w:fldChar w:fldCharType="begin"/>
      </w:r>
      <w:r w:rsidRPr="00A52F66">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A52F66">
        <w:fldChar w:fldCharType="separate"/>
      </w:r>
      <w:r w:rsidRPr="00A52F66">
        <w:rPr>
          <w:noProof/>
        </w:rPr>
        <w:t>(The World Bank, 2018)</w:t>
      </w:r>
      <w:r w:rsidRPr="00A52F66">
        <w:fldChar w:fldCharType="end"/>
      </w:r>
      <w:r w:rsidRPr="00A52F66">
        <w:t>. Fiji’s largest industries</w:t>
      </w:r>
      <w:r>
        <w:t xml:space="preserve"> include tourism, sugar processing, clothing, mining and fisheries. E</w:t>
      </w:r>
      <w:r w:rsidRPr="00C410E2">
        <w:t>arnings from the tourism industry, with an estimated 842,884 tourists visiting in 2017, and remittances from Fijians working abroad are the country’s largest foreign exchange earners</w:t>
      </w:r>
      <w:r>
        <w:t xml:space="preserve"> </w:t>
      </w:r>
      <w:r w:rsidR="00E907FE">
        <w:fldChar w:fldCharType="begin"/>
      </w:r>
      <w:r w:rsidR="00E907FE">
        <w:instrText xml:space="preserve"> ADDIN EN.CITE &lt;EndNote&gt;&lt;Cite&gt;&lt;Author&gt;CIA&lt;/Author&gt;&lt;Year&gt;2017&lt;/Year&gt;&lt;RecNum&gt;1241&lt;/RecNum&gt;&lt;DisplayText&gt;(CIA, 2017)&lt;/DisplayText&gt;&lt;record&gt;&lt;rec-number&gt;1241&lt;/rec-number&gt;&lt;foreign-keys&gt;&lt;key app="EN" db-id="9vsrvaat7fadwtesfsrpw5w5t0x5v500ef25" timestamp="1581787066"&gt;1241&lt;/key&gt;&lt;/foreign-keys&gt;&lt;ref-type name="Generic"&gt;13&lt;/ref-type&gt;&lt;contributors&gt;&lt;authors&gt;&lt;author&gt;CIA,&lt;/author&gt;&lt;/authors&gt;&lt;/contributors&gt;&lt;titles&gt;&lt;title&gt;The World Factbook - Fiji&lt;/title&gt;&lt;/titles&gt;&lt;dates&gt;&lt;year&gt;2017&lt;/year&gt;&lt;/dates&gt;&lt;pub-location&gt;Washington DC&lt;/pub-location&gt;&lt;publisher&gt;Central Intelligence Agency&lt;/publisher&gt;&lt;urls&gt;&lt;related-urls&gt;&lt;url&gt;https://www.cia.gov/library/publications/the-world-factbook/geos/fj.html&lt;/url&gt;&lt;/related-urls&gt;&lt;/urls&gt;&lt;/record&gt;&lt;/Cite&gt;&lt;/EndNote&gt;</w:instrText>
      </w:r>
      <w:r w:rsidR="00E907FE">
        <w:fldChar w:fldCharType="separate"/>
      </w:r>
      <w:r w:rsidR="00E907FE">
        <w:rPr>
          <w:noProof/>
        </w:rPr>
        <w:t>(CIA, 2017)</w:t>
      </w:r>
      <w:r w:rsidR="00E907FE">
        <w:fldChar w:fldCharType="end"/>
      </w:r>
      <w:r w:rsidRPr="00C410E2">
        <w:t>.</w:t>
      </w:r>
      <w:r>
        <w:t xml:space="preserve"> Fiji’s major export sectors include food and beverages (sugar, bottled water), gold, animal products (fish), textiles and vegetable products </w:t>
      </w:r>
      <w:r>
        <w:fldChar w:fldCharType="begin"/>
      </w:r>
      <w:r>
        <w:instrText xml:space="preserve"> ADDIN EN.CITE &lt;EndNote&gt;&lt;Cite&gt;&lt;Author&gt;FBoS&lt;/Author&gt;&lt;Year&gt;2019&lt;/Year&gt;&lt;RecNum&gt;1195&lt;/RecNum&gt;&lt;DisplayText&gt;(FBoS, 2019, Lenzen et al., 2013)&lt;/DisplayText&gt;&lt;record&gt;&lt;rec-number&gt;1195&lt;/rec-number&gt;&lt;foreign-keys&gt;&lt;key app="EN" db-id="9vsrvaat7fadwtesfsrpw5w5t0x5v500ef25" timestamp="1576193477"&gt;1195&lt;/key&gt;&lt;/foreign-keys&gt;&lt;ref-type name="Dataset"&gt;59&lt;/ref-type&gt;&lt;contributors&gt;&lt;authors&gt;&lt;author&gt;FBoS&lt;/author&gt;&lt;/authors&gt;&lt;secondary-authors&gt;&lt;author&gt;Fiji Bureau of Statistics&lt;/author&gt;&lt;/secondary-authors&gt;&lt;/contributors&gt;&lt;titles&gt;&lt;title&gt;Merchandise Trade Statistics&lt;/title&gt;&lt;/titles&gt;&lt;dates&gt;&lt;year&gt;2019&lt;/year&gt;&lt;/dates&gt;&lt;pub-location&gt;Suva, Fiji&lt;/pub-location&gt;&lt;publisher&gt;Fiji Bureau of Statistics&lt;/publisher&gt;&lt;urls&gt;&lt;related-urls&gt;&lt;url&gt;https://www.statsfiji.gov.fj/index.php/statistics/economic-statistics/merchandise-trade-statistics&lt;/url&gt;&lt;/related-urls&gt;&lt;/urls&gt;&lt;/record&gt;&lt;/Cite&gt;&lt;Cite&gt;&lt;Author&gt;Lenzen&lt;/Author&gt;&lt;Year&gt;2013&lt;/Year&gt;&lt;RecNum&gt;329&lt;/RecNum&gt;&lt;record&gt;&lt;rec-number&gt;329&lt;/rec-number&gt;&lt;foreign-keys&gt;&lt;key app="EN" db-id="9vsrvaat7fadwtesfsrpw5w5t0x5v500ef25" timestamp="1470988512"&gt;329&lt;/key&gt;&lt;/foreign-keys&gt;&lt;ref-type name="Journal Article"&gt;17&lt;/ref-type&gt;&lt;contributors&gt;&lt;authors&gt;&lt;author&gt;Lenzen, Manfred&lt;/author&gt;&lt;author&gt;Moran, Daniel&lt;/author&gt;&lt;author&gt;Kanemoto, Keiichiro&lt;/author&gt;&lt;author&gt;Geschke, Arne&lt;/author&gt;&lt;/authors&gt;&lt;/contributors&gt;&lt;titles&gt;&lt;title&gt;BUILDING EORA: A GLOBAL MULTI-REGION INPUT–OUTPUT DATABASE AT HIGH COUNTRY AND SECTOR RESOLUTION&lt;/title&gt;&lt;secondary-title&gt;Economic Systems Research&lt;/secondary-title&gt;&lt;/titles&gt;&lt;periodical&gt;&lt;full-title&gt;Economic Systems Research&lt;/full-title&gt;&lt;/periodical&gt;&lt;pages&gt;20-49&lt;/pages&gt;&lt;volume&gt;25&lt;/volume&gt;&lt;number&gt;1&lt;/number&gt;&lt;dates&gt;&lt;year&gt;2013&lt;/year&gt;&lt;pub-dates&gt;&lt;date&gt;2013/03/01&lt;/date&gt;&lt;/pub-dates&gt;&lt;/dates&gt;&lt;publisher&gt;Routledge&lt;/publisher&gt;&lt;isbn&gt;0953-5314&lt;/isbn&gt;&lt;urls&gt;&lt;related-urls&gt;&lt;url&gt;http://dx.doi.org/10.1080/09535314.2013.769938&lt;/url&gt;&lt;/related-urls&gt;&lt;/urls&gt;&lt;electronic-resource-num&gt;10.1080/09535314.2013.769938&lt;/electronic-resource-num&gt;&lt;/record&gt;&lt;/Cite&gt;&lt;/EndNote&gt;</w:instrText>
      </w:r>
      <w:r>
        <w:fldChar w:fldCharType="separate"/>
      </w:r>
      <w:r>
        <w:rPr>
          <w:noProof/>
        </w:rPr>
        <w:t>(FBoS, 2019, Lenzen et al., 2013)</w:t>
      </w:r>
      <w:r>
        <w:fldChar w:fldCharType="end"/>
      </w:r>
      <w:r>
        <w:t xml:space="preserve">. Government debt as a proportion of GDP was 44% in 2017, reduced slightly from 48.4% in 2014, and the government has a national target of reducing debt to 35% GDP by 2036 </w:t>
      </w:r>
      <w:r>
        <w:fldChar w:fldCharType="begin"/>
      </w:r>
      <w:r>
        <w:instrText xml:space="preserve"> ADDIN EN.CITE &lt;EndNote&gt;&lt;Cite&gt;&lt;Author&gt;Government of Fiji&lt;/Author&gt;&lt;Year&gt;2017&lt;/Year&gt;&lt;RecNum&gt;1236&lt;/RecNum&gt;&lt;DisplayText&gt;(Government of Fiji, 2017c)&lt;/DisplayText&gt;&lt;record&gt;&lt;rec-number&gt;1236&lt;/rec-number&gt;&lt;foreign-keys&gt;&lt;key app="EN" db-id="9vsrvaat7fadwtesfsrpw5w5t0x5v500ef25" timestamp="1580844503"&gt;1236&lt;/key&gt;&lt;/foreign-keys&gt;&lt;ref-type name="Generic"&gt;13&lt;/ref-type&gt;&lt;contributors&gt;&lt;authors&gt;&lt;author&gt;Government of Fiji,&lt;/author&gt;&lt;/authors&gt;&lt;/contributors&gt;&lt;titles&gt;&lt;title&gt;Transforming Fiji: 5-Year and 20-Year National Development Plan&lt;/title&gt;&lt;/titles&gt;&lt;dates&gt;&lt;year&gt;2017&lt;/year&gt;&lt;/dates&gt;&lt;pub-location&gt;Suva, Fiji&lt;/pub-location&gt;&lt;publisher&gt;Government of Fiji&lt;/publisher&gt;&lt;urls&gt;&lt;/urls&gt;&lt;/record&gt;&lt;/Cite&gt;&lt;/EndNote&gt;</w:instrText>
      </w:r>
      <w:r>
        <w:fldChar w:fldCharType="separate"/>
      </w:r>
      <w:r>
        <w:rPr>
          <w:noProof/>
        </w:rPr>
        <w:t>(Government of Fiji, 2017c)</w:t>
      </w:r>
      <w:r>
        <w:fldChar w:fldCharType="end"/>
      </w:r>
      <w:r>
        <w:t>.</w:t>
      </w:r>
    </w:p>
    <w:p w14:paraId="6ECA76A6" w14:textId="1B2E6CEB" w:rsidR="00C04B10" w:rsidRDefault="00C04B10" w:rsidP="00C04B10">
      <w:r>
        <w:t xml:space="preserve">The 2019 SDG Index ranked Fiji as 62 out of 162 countries across a range of sustainable development indicators with an overall index score of 70.1 out of 100 </w:t>
      </w:r>
      <w:r>
        <w:fldChar w:fldCharType="begin"/>
      </w:r>
      <w:r w:rsidR="00190CD7">
        <w:instrText xml:space="preserve"> ADDIN EN.CITE &lt;EndNote&gt;&lt;Cite&gt;&lt;Author&gt;Sachs&lt;/Author&gt;&lt;Year&gt;2019&lt;/Year&gt;&lt;RecNum&gt;1219&lt;/RecNum&gt;&lt;DisplayText&gt;(Sachs et al., 2019)&lt;/DisplayText&gt;&lt;record&gt;&lt;rec-number&gt;1219&lt;/rec-number&gt;&lt;foreign-keys&gt;&lt;key app="EN" db-id="9vsrvaat7fadwtesfsrpw5w5t0x5v500ef25" timestamp="1578989341"&gt;1219&lt;/key&gt;&lt;/foreign-keys&gt;&lt;ref-type name="Generic"&gt;13&lt;/ref-type&gt;&lt;contributors&gt;&lt;authors&gt;&lt;author&gt;Sachs, J&lt;/author&gt;&lt;author&gt;Schmidt-Traub, G&lt;/author&gt;&lt;author&gt;Kroll, C&lt;/author&gt;&lt;author&gt;Lafortune, G&lt;/author&gt;&lt;author&gt;Fuller, G&lt;/author&gt;&lt;/authors&gt;&lt;/contributors&gt;&lt;titles&gt;&lt;title&gt;Sustainable Development Report 2019&lt;/title&gt;&lt;/titles&gt;&lt;dates&gt;&lt;year&gt;2019&lt;/year&gt;&lt;/dates&gt;&lt;pub-location&gt;New York&lt;/pub-location&gt;&lt;publisher&gt;Betelsmann Stiftung and Sustainable Development Solutions Network&lt;/publisher&gt;&lt;urls&gt;&lt;related-urls&gt;&lt;url&gt;https://www.sdgindex.org/reports/sustainable-development-report-2019&lt;/url&gt;&lt;/related-urls&gt;&lt;/urls&gt;&lt;/record&gt;&lt;/Cite&gt;&lt;/EndNote&gt;</w:instrText>
      </w:r>
      <w:r>
        <w:fldChar w:fldCharType="separate"/>
      </w:r>
      <w:r w:rsidR="00190CD7">
        <w:rPr>
          <w:noProof/>
        </w:rPr>
        <w:t>(Sachs et al., 2019)</w:t>
      </w:r>
      <w:r>
        <w:fldChar w:fldCharType="end"/>
      </w:r>
      <w:r>
        <w:t>.  Fiji performed better on goals relating to poverty (Goal 1), education (Goal 4), and sustainable cities (Goal 11), while performance lagged behind for goals relating to food and nutrition (Goal 2), gender (Goal 5), sustainable industry (Goal 9), life on land (Goal 15) and life under water (Goal 14). However, data was missing for a range of indicators.</w:t>
      </w:r>
    </w:p>
    <w:p w14:paraId="6836C027" w14:textId="77777777" w:rsidR="00C04B10" w:rsidRDefault="00C04B10" w:rsidP="00C04B10">
      <w:r>
        <w:t>Fiji has a robust long-term policy and planning framework including a medium- and long-term</w:t>
      </w:r>
      <w:r w:rsidRPr="002103E7">
        <w:t xml:space="preserve"> National</w:t>
      </w:r>
      <w:r>
        <w:t xml:space="preserve"> </w:t>
      </w:r>
      <w:r w:rsidRPr="002103E7">
        <w:t>Development Plan</w:t>
      </w:r>
      <w:r>
        <w:t xml:space="preserve"> (NDP) </w:t>
      </w:r>
      <w:r>
        <w:fldChar w:fldCharType="begin"/>
      </w:r>
      <w:r>
        <w:instrText xml:space="preserve"> ADDIN EN.CITE &lt;EndNote&gt;&lt;Cite&gt;&lt;Author&gt;Government of Fiji&lt;/Author&gt;&lt;Year&gt;2017&lt;/Year&gt;&lt;RecNum&gt;1236&lt;/RecNum&gt;&lt;DisplayText&gt;(Government of Fiji, 2017c)&lt;/DisplayText&gt;&lt;record&gt;&lt;rec-number&gt;1236&lt;/rec-number&gt;&lt;foreign-keys&gt;&lt;key app="EN" db-id="9vsrvaat7fadwtesfsrpw5w5t0x5v500ef25" timestamp="1580844503"&gt;1236&lt;/key&gt;&lt;/foreign-keys&gt;&lt;ref-type name="Generic"&gt;13&lt;/ref-type&gt;&lt;contributors&gt;&lt;authors&gt;&lt;author&gt;Government of Fiji,&lt;/author&gt;&lt;/authors&gt;&lt;/contributors&gt;&lt;titles&gt;&lt;title&gt;Transforming Fiji: 5-Year and 20-Year National Development Plan&lt;/title&gt;&lt;/titles&gt;&lt;dates&gt;&lt;year&gt;2017&lt;/year&gt;&lt;/dates&gt;&lt;pub-location&gt;Suva, Fiji&lt;/pub-location&gt;&lt;publisher&gt;Government of Fiji&lt;/publisher&gt;&lt;urls&gt;&lt;/urls&gt;&lt;/record&gt;&lt;/Cite&gt;&lt;/EndNote&gt;</w:instrText>
      </w:r>
      <w:r>
        <w:fldChar w:fldCharType="separate"/>
      </w:r>
      <w:r>
        <w:rPr>
          <w:noProof/>
        </w:rPr>
        <w:t>(Government of Fiji, 2017c)</w:t>
      </w:r>
      <w:r>
        <w:fldChar w:fldCharType="end"/>
      </w:r>
      <w:r>
        <w:t>, a</w:t>
      </w:r>
      <w:r w:rsidRPr="002103E7">
        <w:t xml:space="preserve"> Green Growth</w:t>
      </w:r>
      <w:r>
        <w:t xml:space="preserve"> </w:t>
      </w:r>
      <w:r w:rsidRPr="002103E7">
        <w:t>Framework</w:t>
      </w:r>
      <w:r>
        <w:t xml:space="preserve"> </w:t>
      </w:r>
      <w:r>
        <w:fldChar w:fldCharType="begin"/>
      </w:r>
      <w:r>
        <w:instrText xml:space="preserve"> ADDIN EN.CITE &lt;EndNote&gt;&lt;Cite&gt;&lt;Author&gt;Government of Fiji&lt;/Author&gt;&lt;Year&gt;2014&lt;/Year&gt;&lt;RecNum&gt;1237&lt;/RecNum&gt;&lt;DisplayText&gt;(Government of Fiji, 2014)&lt;/DisplayText&gt;&lt;record&gt;&lt;rec-number&gt;1237&lt;/rec-number&gt;&lt;foreign-keys&gt;&lt;key app="EN" db-id="9vsrvaat7fadwtesfsrpw5w5t0x5v500ef25" timestamp="1580845206"&gt;1237&lt;/key&gt;&lt;/foreign-keys&gt;&lt;ref-type name="Generic"&gt;13&lt;/ref-type&gt;&lt;contributors&gt;&lt;authors&gt;&lt;author&gt;Government of Fiji,&lt;/author&gt;&lt;/authors&gt;&lt;/contributors&gt;&lt;titles&gt;&lt;title&gt;A Green Growth Framework for Fiji&lt;/title&gt;&lt;/titles&gt;&lt;dates&gt;&lt;year&gt;2014&lt;/year&gt;&lt;/dates&gt;&lt;pub-location&gt;Suva, Fiji&lt;/pub-location&gt;&lt;publisher&gt;Government of Fiji&lt;/publisher&gt;&lt;urls&gt;&lt;/urls&gt;&lt;/record&gt;&lt;/Cite&gt;&lt;/EndNote&gt;</w:instrText>
      </w:r>
      <w:r>
        <w:fldChar w:fldCharType="separate"/>
      </w:r>
      <w:r>
        <w:rPr>
          <w:noProof/>
        </w:rPr>
        <w:t>(Government of Fiji, 2014)</w:t>
      </w:r>
      <w:r>
        <w:fldChar w:fldCharType="end"/>
      </w:r>
      <w:r>
        <w:t xml:space="preserve">, and a range of sectoral strategies which set out both economy-wide and sector-specific development targets for Fiji.  Addressing climate change is a strategic priority and Fiji adopted an ambitious National Determined Contribution Implementation Roadmap </w:t>
      </w:r>
      <w:r>
        <w:fldChar w:fldCharType="begin"/>
      </w:r>
      <w:r>
        <w:instrText xml:space="preserve"> ADDIN EN.CITE &lt;EndNote&gt;&lt;Cite&gt;&lt;Author&gt;Government of Fiji&lt;/Author&gt;&lt;Year&gt;2017&lt;/Year&gt;&lt;RecNum&gt;1188&lt;/RecNum&gt;&lt;DisplayText&gt;(Government of Fiji, 2017b)&lt;/DisplayText&gt;&lt;record&gt;&lt;rec-number&gt;1188&lt;/rec-number&gt;&lt;foreign-keys&gt;&lt;key app="EN" db-id="9vsrvaat7fadwtesfsrpw5w5t0x5v500ef25" timestamp="1575336677"&gt;1188&lt;/key&gt;&lt;/foreign-keys&gt;&lt;ref-type name="Generic"&gt;13&lt;/ref-type&gt;&lt;contributors&gt;&lt;authors&gt;&lt;author&gt;Government of Fiji,&lt;/author&gt;&lt;/authors&gt;&lt;/contributors&gt;&lt;titles&gt;&lt;title&gt;Fiji NDC Implementation Roadmap 2017-2030&lt;/title&gt;&lt;/titles&gt;&lt;dates&gt;&lt;year&gt;2017&lt;/year&gt;&lt;/dates&gt;&lt;pub-location&gt;Suva, Fiji&lt;/pub-location&gt;&lt;publisher&gt;Government of Fiji&lt;/publisher&gt;&lt;urls&gt;&lt;related-urls&gt;&lt;url&gt;https://cop23.com.fj/wp-content/uploads/2018/03/FIJI-NDC-IMPLEMENTATION-ROADMAP_LOWRES.pdf&lt;/url&gt;&lt;/related-urls&gt;&lt;/urls&gt;&lt;/record&gt;&lt;/Cite&gt;&lt;/EndNote&gt;</w:instrText>
      </w:r>
      <w:r>
        <w:fldChar w:fldCharType="separate"/>
      </w:r>
      <w:r>
        <w:rPr>
          <w:noProof/>
        </w:rPr>
        <w:t>(Government of Fiji, 2017b)</w:t>
      </w:r>
      <w:r>
        <w:fldChar w:fldCharType="end"/>
      </w:r>
      <w:r>
        <w:t xml:space="preserve"> followed by a Low Emissions Development Strategy (LEDS) which sets out a vision for a net zero emission Fiji by 2050 </w:t>
      </w:r>
      <w:r>
        <w:fldChar w:fldCharType="begin"/>
      </w:r>
      <w: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fldChar w:fldCharType="separate"/>
      </w:r>
      <w:r>
        <w:rPr>
          <w:noProof/>
        </w:rPr>
        <w:t>(Government of Fiji, 2018a)</w:t>
      </w:r>
      <w:r>
        <w:fldChar w:fldCharType="end"/>
      </w:r>
      <w:r>
        <w:t xml:space="preserve">. The LEDS estimates that Fiji’s emissions would more than double under a BAU scenario. Fiji also has a detailed climate change vulnerability assessment and national adaptation plan </w:t>
      </w:r>
      <w:r>
        <w:fldChar w:fldCharType="begin"/>
      </w:r>
      <w:r>
        <w:instrText xml:space="preserve"> ADDIN EN.CITE &lt;EndNote&gt;&lt;Cite&gt;&lt;Author&gt;Government of Fiji&lt;/Author&gt;&lt;Year&gt;2018&lt;/Year&gt;&lt;RecNum&gt;1161&lt;/RecNum&gt;&lt;DisplayText&gt;(Government of Fiji, 2018b, Government of Fiji, 2017a)&lt;/DisplayText&gt;&lt;record&gt;&lt;rec-number&gt;1161&lt;/rec-number&gt;&lt;foreign-keys&gt;&lt;key app="EN" db-id="9vsrvaat7fadwtesfsrpw5w5t0x5v500ef25" timestamp="1574318990"&gt;1161&lt;/key&gt;&lt;/foreign-keys&gt;&lt;ref-type name="Generic"&gt;13&lt;/ref-type&gt;&lt;contributors&gt;&lt;authors&gt;&lt;author&gt;Government of Fiji,&lt;/author&gt;&lt;/authors&gt;&lt;/contributors&gt;&lt;titles&gt;&lt;title&gt;National Adaptation Plan&lt;/title&gt;&lt;/titles&gt;&lt;dates&gt;&lt;year&gt;2018&lt;/year&gt;&lt;/dates&gt;&lt;pub-location&gt;Fiji&lt;/pub-location&gt;&lt;publisher&gt;Government of Fiji&lt;/publisher&gt;&lt;urls&gt;&lt;related-urls&gt;&lt;url&gt;https://www4.unfccc.int/sites/NAPC/Documents/Parties/National%20Adaptation%20Plan_Fiji.pdf&lt;/url&gt;&lt;/related-urls&gt;&lt;/urls&gt;&lt;/record&gt;&lt;/Cite&gt;&lt;Cite&gt;&lt;Author&gt;Government of Fiji&lt;/Author&gt;&lt;Year&gt;2017&lt;/Year&gt;&lt;RecNum&gt;1162&lt;/RecNum&gt;&lt;record&gt;&lt;rec-number&gt;1162&lt;/rec-number&gt;&lt;foreign-keys&gt;&lt;key app="EN" db-id="9vsrvaat7fadwtesfsrpw5w5t0x5v500ef25" timestamp="1574319115"&gt;1162&lt;/key&gt;&lt;/foreign-keys&gt;&lt;ref-type name="Generic"&gt;13&lt;/ref-type&gt;&lt;contributors&gt;&lt;authors&gt;&lt;author&gt;Government of Fiji,&lt;/author&gt;&lt;/authors&gt;&lt;/contributors&gt;&lt;titles&gt;&lt;title&gt;Climate Vulnerability Assessment&lt;/title&gt;&lt;/titles&gt;&lt;dates&gt;&lt;year&gt;2017&lt;/year&gt;&lt;/dates&gt;&lt;pub-location&gt;Fiji&lt;/pub-location&gt;&lt;publisher&gt;Government of Fiji&lt;/publisher&gt;&lt;urls&gt;&lt;related-urls&gt;&lt;url&gt;https://reliefweb.int/report/fiji/climate-vulnerability-assessment-making-fiji-climate-resilient&lt;/url&gt;&lt;/related-urls&gt;&lt;/urls&gt;&lt;/record&gt;&lt;/Cite&gt;&lt;/EndNote&gt;</w:instrText>
      </w:r>
      <w:r>
        <w:fldChar w:fldCharType="separate"/>
      </w:r>
      <w:r>
        <w:rPr>
          <w:noProof/>
        </w:rPr>
        <w:t>(Government of Fiji, 2018b, Government of Fiji, 2017a)</w:t>
      </w:r>
      <w:r>
        <w:fldChar w:fldCharType="end"/>
      </w:r>
    </w:p>
    <w:p w14:paraId="17769022" w14:textId="77777777" w:rsidR="00C04B10" w:rsidRDefault="00C04B10" w:rsidP="00C04B10">
      <w:r w:rsidRPr="00D53233">
        <w:t xml:space="preserve">To achieve the goals and targets set out in NDPs and SDGs, Fiji </w:t>
      </w:r>
      <w:r>
        <w:t xml:space="preserve">has flagged the need for </w:t>
      </w:r>
      <w:r w:rsidRPr="00D53233">
        <w:t>significant public investment</w:t>
      </w:r>
      <w:r>
        <w:t>,</w:t>
      </w:r>
      <w:r w:rsidRPr="00D53233">
        <w:t xml:space="preserve"> private investment </w:t>
      </w:r>
      <w:r>
        <w:t xml:space="preserve">and financial contributions. Investment requirements for Fiji’s NDP through to 2036 are expected to reach FJD50 billion including both capital expenditures and provision of social services. </w:t>
      </w:r>
      <w:r w:rsidRPr="00C56CC1">
        <w:t>As a subset of</w:t>
      </w:r>
      <w:r>
        <w:t xml:space="preserve"> </w:t>
      </w:r>
      <w:r w:rsidRPr="00C56CC1">
        <w:t>these investments, the government</w:t>
      </w:r>
      <w:r>
        <w:t xml:space="preserve"> </w:t>
      </w:r>
      <w:r w:rsidRPr="00C56CC1">
        <w:t>estimates that the total cost of implementing Fiji’s NDC</w:t>
      </w:r>
      <w:r>
        <w:t xml:space="preserve"> </w:t>
      </w:r>
      <w:r w:rsidRPr="00C56CC1">
        <w:t xml:space="preserve">Implementation Roadmap </w:t>
      </w:r>
      <w:r>
        <w:t>at FJD6.3</w:t>
      </w:r>
      <w:r w:rsidRPr="00C56CC1">
        <w:t xml:space="preserve"> billion.</w:t>
      </w:r>
      <w:r>
        <w:t xml:space="preserve"> Fiji’s climate change vulnerability assessment estimates additional required resources of FJD9.3 billion over 10 years. </w:t>
      </w:r>
      <w:r w:rsidRPr="00C56CC1">
        <w:t>The Fijian Government</w:t>
      </w:r>
      <w:r>
        <w:t xml:space="preserve"> </w:t>
      </w:r>
      <w:r w:rsidRPr="00C56CC1">
        <w:t>envisions mobilising both domestic revenues (tax and</w:t>
      </w:r>
      <w:r>
        <w:t xml:space="preserve"> </w:t>
      </w:r>
      <w:r w:rsidRPr="00C56CC1">
        <w:t>non-tax) and international financial resources, including</w:t>
      </w:r>
      <w:r>
        <w:t xml:space="preserve"> </w:t>
      </w:r>
      <w:r w:rsidRPr="00C56CC1">
        <w:t>funding from multilateral development partners, as well</w:t>
      </w:r>
      <w:r>
        <w:t xml:space="preserve"> </w:t>
      </w:r>
      <w:r w:rsidRPr="00C56CC1">
        <w:t>as an increasing financing from private</w:t>
      </w:r>
      <w:r>
        <w:t xml:space="preserve"> </w:t>
      </w:r>
      <w:r w:rsidRPr="00C56CC1">
        <w:t>sector and climate finance sources</w:t>
      </w:r>
      <w:r>
        <w:t xml:space="preserve"> </w:t>
      </w:r>
      <w:r>
        <w:fldChar w:fldCharType="begin"/>
      </w:r>
      <w:r>
        <w:instrText xml:space="preserve"> ADDIN EN.CITE &lt;EndNote&gt;&lt;Cite&gt;&lt;Author&gt;Government of Fiji&lt;/Author&gt;&lt;Year&gt;2017&lt;/Year&gt;&lt;RecNum&gt;1236&lt;/RecNum&gt;&lt;DisplayText&gt;(Government of Fiji, 2017c)&lt;/DisplayText&gt;&lt;record&gt;&lt;rec-number&gt;1236&lt;/rec-number&gt;&lt;foreign-keys&gt;&lt;key app="EN" db-id="9vsrvaat7fadwtesfsrpw5w5t0x5v500ef25" timestamp="1580844503"&gt;1236&lt;/key&gt;&lt;/foreign-keys&gt;&lt;ref-type name="Generic"&gt;13&lt;/ref-type&gt;&lt;contributors&gt;&lt;authors&gt;&lt;author&gt;Government of Fiji,&lt;/author&gt;&lt;/authors&gt;&lt;/contributors&gt;&lt;titles&gt;&lt;title&gt;Transforming Fiji: 5-Year and 20-Year National Development Plan&lt;/title&gt;&lt;/titles&gt;&lt;dates&gt;&lt;year&gt;2017&lt;/year&gt;&lt;/dates&gt;&lt;pub-location&gt;Suva, Fiji&lt;/pub-location&gt;&lt;publisher&gt;Government of Fiji&lt;/publisher&gt;&lt;urls&gt;&lt;/urls&gt;&lt;/record&gt;&lt;/Cite&gt;&lt;/EndNote&gt;</w:instrText>
      </w:r>
      <w:r>
        <w:fldChar w:fldCharType="separate"/>
      </w:r>
      <w:r>
        <w:rPr>
          <w:noProof/>
        </w:rPr>
        <w:t>(Government of Fiji, 2017c)</w:t>
      </w:r>
      <w:r>
        <w:fldChar w:fldCharType="end"/>
      </w:r>
      <w:r>
        <w:t>.</w:t>
      </w:r>
    </w:p>
    <w:p w14:paraId="3A841469" w14:textId="77777777" w:rsidR="00C04B10" w:rsidRDefault="00C04B10" w:rsidP="00C04B10">
      <w:r>
        <w:lastRenderedPageBreak/>
        <w:t xml:space="preserve">Fiji submitted its first Voluntary National Review on the SDGs to the High Level Political Forum for Sustainable Development in 2019 </w:t>
      </w:r>
      <w:r>
        <w:fldChar w:fldCharType="begin"/>
      </w:r>
      <w:r>
        <w:instrText xml:space="preserve"> ADDIN EN.CITE &lt;EndNote&gt;&lt;Cite&gt;&lt;Author&gt;Government of Fiji&lt;/Author&gt;&lt;Year&gt;2019&lt;/Year&gt;&lt;RecNum&gt;1175&lt;/RecNum&gt;&lt;DisplayText&gt;(Government of Fiji, 2019)&lt;/DisplayText&gt;&lt;record&gt;&lt;rec-number&gt;1175&lt;/rec-number&gt;&lt;foreign-keys&gt;&lt;key app="EN" db-id="9vsrvaat7fadwtesfsrpw5w5t0x5v500ef25" timestamp="1575254201"&gt;1175&lt;/key&gt;&lt;/foreign-keys&gt;&lt;ref-type name="Generic"&gt;13&lt;/ref-type&gt;&lt;contributors&gt;&lt;authors&gt;&lt;author&gt;Government of Fiji,&lt;/author&gt;&lt;/authors&gt;&lt;/contributors&gt;&lt;titles&gt;&lt;title&gt;Voluntary National Review: Fiji&amp;apos;s Progress in the Implementation of the Sustainable Development Goals&lt;/title&gt;&lt;/titles&gt;&lt;dates&gt;&lt;year&gt;2019&lt;/year&gt;&lt;/dates&gt;&lt;pub-location&gt;Suva, Fiji&lt;/pub-location&gt;&lt;publisher&gt;Government of Fiji&lt;/publisher&gt;&lt;urls&gt;&lt;related-urls&gt;&lt;url&gt;https://sustainabledevelopment.un.org/memberstates/fiji&lt;/url&gt;&lt;/related-urls&gt;&lt;/urls&gt;&lt;/record&gt;&lt;/Cite&gt;&lt;/EndNote&gt;</w:instrText>
      </w:r>
      <w:r>
        <w:fldChar w:fldCharType="separate"/>
      </w:r>
      <w:r>
        <w:rPr>
          <w:noProof/>
        </w:rPr>
        <w:t>(Government of Fiji, 2019)</w:t>
      </w:r>
      <w:r>
        <w:fldChar w:fldCharType="end"/>
      </w:r>
      <w:r>
        <w:t xml:space="preserve">. The Government reports that priority goals and targets have been mainstreamed into its NDP and implementation of the SDGs will be driven through the national planning processes led by the Ministry of Economy. Fiji’s NDP addresses many of the cross-cutting themes of the SDGs, and many targets have been localised into the plan. Based on Fiji’s VNR, 15 SDGs are explicitly integrated into the corresponding 29 strategic priorities of the NDP, </w:t>
      </w:r>
      <w:r w:rsidRPr="002118D2">
        <w:t>while SDG 10 (reduce inequalities), SDG 12 (responsible consumption and production) and SDG 13 (climate action) are treated as cross-cutting issues across the NDP.</w:t>
      </w:r>
      <w:r>
        <w:t xml:space="preserve"> </w:t>
      </w:r>
      <w:r w:rsidRPr="002118D2">
        <w:t>Consequently, the SDG implementation and its monitoring hinge on the NDP processes including the overall monitoring and evaluation.</w:t>
      </w:r>
      <w:r>
        <w:t xml:space="preserve"> </w:t>
      </w:r>
    </w:p>
    <w:p w14:paraId="780FD27D" w14:textId="77777777" w:rsidR="00C04B10" w:rsidRDefault="00C04B10" w:rsidP="00C04B10">
      <w:r w:rsidRPr="00A77EC8">
        <w:t xml:space="preserve">The Fijian Government recognises that economic development, climate change adaptation and mitigation, disaster risk reduction, and environmental protection objectives are deeply inter-woven and that without increased effort to address these linkages, trade-offs will become increasingly difficult to manage. </w:t>
      </w:r>
      <w:r>
        <w:t xml:space="preserve">Fiji reports that its capacity to achieve the SDGs will depend entirely on global action to address climate change, and that improved capabilities for strategic foresight, managing interdependencies between social dynamics, environmental hazards, economic risks, development impacts and climate change and evidence-based decision making will be critical </w:t>
      </w:r>
      <w:r>
        <w:fldChar w:fldCharType="begin"/>
      </w:r>
      <w:r>
        <w:instrText xml:space="preserve"> ADDIN EN.CITE &lt;EndNote&gt;&lt;Cite&gt;&lt;Author&gt;Government of Fiji&lt;/Author&gt;&lt;Year&gt;2019&lt;/Year&gt;&lt;RecNum&gt;1175&lt;/RecNum&gt;&lt;DisplayText&gt;(Government of Fiji, 2019)&lt;/DisplayText&gt;&lt;record&gt;&lt;rec-number&gt;1175&lt;/rec-number&gt;&lt;foreign-keys&gt;&lt;key app="EN" db-id="9vsrvaat7fadwtesfsrpw5w5t0x5v500ef25" timestamp="1575254201"&gt;1175&lt;/key&gt;&lt;/foreign-keys&gt;&lt;ref-type name="Generic"&gt;13&lt;/ref-type&gt;&lt;contributors&gt;&lt;authors&gt;&lt;author&gt;Government of Fiji,&lt;/author&gt;&lt;/authors&gt;&lt;/contributors&gt;&lt;titles&gt;&lt;title&gt;Voluntary National Review: Fiji&amp;apos;s Progress in the Implementation of the Sustainable Development Goals&lt;/title&gt;&lt;/titles&gt;&lt;dates&gt;&lt;year&gt;2019&lt;/year&gt;&lt;/dates&gt;&lt;pub-location&gt;Suva, Fiji&lt;/pub-location&gt;&lt;publisher&gt;Government of Fiji&lt;/publisher&gt;&lt;urls&gt;&lt;related-urls&gt;&lt;url&gt;https://sustainabledevelopment.un.org/memberstates/fiji&lt;/url&gt;&lt;/related-urls&gt;&lt;/urls&gt;&lt;/record&gt;&lt;/Cite&gt;&lt;/EndNote&gt;</w:instrText>
      </w:r>
      <w:r>
        <w:fldChar w:fldCharType="separate"/>
      </w:r>
      <w:r>
        <w:rPr>
          <w:noProof/>
        </w:rPr>
        <w:t>(Government of Fiji, 2019)</w:t>
      </w:r>
      <w:r>
        <w:fldChar w:fldCharType="end"/>
      </w:r>
      <w:r>
        <w:t>.</w:t>
      </w:r>
    </w:p>
    <w:p w14:paraId="120AF728" w14:textId="3A09D6C6" w:rsidR="00C04B10" w:rsidRDefault="00C04B10" w:rsidP="00C04B10">
      <w:r>
        <w:t xml:space="preserve">There have been a range of modelling studies undertaken in Fiji for various purposes, including investment and exports </w:t>
      </w:r>
      <w:r>
        <w:fldChar w:fldCharType="begin">
          <w:fldData xml:space="preserve">PEVuZE5vdGU+PENpdGU+PEF1dGhvcj5OYXJheWFuPC9BdXRob3I+PFllYXI+MjAxMzwvWWVhcj48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</w:fldData>
        </w:fldChar>
      </w:r>
      <w:r>
        <w:instrText xml:space="preserve"> ADDIN EN.CITE </w:instrText>
      </w:r>
      <w:r>
        <w:fldChar w:fldCharType="begin">
          <w:fldData xml:space="preserve">PEVuZE5vdGU+PENpdGU+PEF1dGhvcj5OYXJheWFuPC9BdXRob3I+PFllYXI+MjAxMzwvWWVhcj48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</w:fldData>
        </w:fldChar>
      </w:r>
      <w:r>
        <w:instrText xml:space="preserve"> ADDIN EN.CITE.DATA </w:instrText>
      </w:r>
      <w:r>
        <w:fldChar w:fldCharType="end"/>
      </w:r>
      <w:r>
        <w:fldChar w:fldCharType="separate"/>
      </w:r>
      <w:r>
        <w:rPr>
          <w:noProof/>
        </w:rPr>
        <w:t>(Narayan, 2013, Narayan et al., 2007, Narayan and Narayan, 2006)</w:t>
      </w:r>
      <w:r>
        <w:fldChar w:fldCharType="end"/>
      </w:r>
      <w:r>
        <w:t xml:space="preserve">, exchange rates </w:t>
      </w:r>
      <w:r>
        <w:fldChar w:fldCharType="begin"/>
      </w:r>
      <w:r>
        <w:instrText xml:space="preserve"> ADDIN EN.CITE &lt;EndNote&gt;&lt;Cite&gt;&lt;Author&gt;Narayan&lt;/Author&gt;&lt;Year&gt;2009&lt;/Year&gt;&lt;RecNum&gt;1179&lt;/RecNum&gt;&lt;DisplayText&gt;(Narayan et al., 2009)&lt;/DisplayText&gt;&lt;record&gt;&lt;rec-number&gt;1179&lt;/rec-number&gt;&lt;foreign-keys&gt;&lt;key app="EN" db-id="9vsrvaat7fadwtesfsrpw5w5t0x5v500ef25" timestamp="1575257283"&gt;1179&lt;/key&gt;&lt;/foreign-keys&gt;&lt;ref-type name="Journal Article"&gt;17&lt;/ref-type&gt;&lt;contributors&gt;&lt;authors&gt;&lt;author&gt;Narayan, Paresh Kumar&lt;/author&gt;&lt;author&gt;Narayan, Seema&lt;/author&gt;&lt;author&gt;Prasad, Arti&lt;/author&gt;&lt;/authors&gt;&lt;/contributors&gt;&lt;titles&gt;&lt;title&gt;Modelling Fiji–US exchange rate volatility&lt;/title&gt;&lt;secondary-title&gt;Applied Economics Letters&lt;/secondary-title&gt;&lt;/titles&gt;&lt;periodical&gt;&lt;full-title&gt;Applied Economics Letters&lt;/full-title&gt;&lt;/periodical&gt;&lt;pages&gt;831-834&lt;/pages&gt;&lt;volume&gt;16&lt;/volume&gt;&lt;number&gt;8&lt;/number&gt;&lt;dates&gt;&lt;year&gt;2009&lt;/year&gt;&lt;pub-dates&gt;&lt;date&gt;2009/05/14&lt;/date&gt;&lt;/pub-dates&gt;&lt;/dates&gt;&lt;publisher&gt;Routledge&lt;/publisher&gt;&lt;isbn&gt;1350-4851&lt;/isbn&gt;&lt;urls&gt;&lt;related-urls&gt;&lt;url&gt;https://doi.org/10.1080/13504850701222004&lt;/url&gt;&lt;/related-urls&gt;&lt;/urls&gt;&lt;electronic-resource-num&gt;10.1080/13504850701222004&lt;/electronic-resource-num&gt;&lt;/record&gt;&lt;/Cite&gt;&lt;/EndNote&gt;</w:instrText>
      </w:r>
      <w:r>
        <w:fldChar w:fldCharType="separate"/>
      </w:r>
      <w:r>
        <w:rPr>
          <w:noProof/>
        </w:rPr>
        <w:t>(Narayan et al., 2009)</w:t>
      </w:r>
      <w:r>
        <w:fldChar w:fldCharType="end"/>
      </w:r>
      <w:r>
        <w:t xml:space="preserve">, tourism </w:t>
      </w:r>
      <w:r>
        <w:fldChar w:fldCharType="begin"/>
      </w:r>
      <w:r>
        <w:instrText xml:space="preserve"> ADDIN EN.CITE &lt;EndNote&gt;&lt;Cite&gt;&lt;Author&gt;Pratt&lt;/Author&gt;&lt;Year&gt;2015&lt;/Year&gt;&lt;RecNum&gt;1181&lt;/RecNum&gt;&lt;DisplayText&gt;(Pratt, 2015, Pratt, 2014)&lt;/DisplayText&gt;&lt;record&gt;&lt;rec-number&gt;1181&lt;/rec-number&gt;&lt;foreign-keys&gt;&lt;key app="EN" db-id="9vsrvaat7fadwtesfsrpw5w5t0x5v500ef25" timestamp="1575257921"&gt;1181&lt;/key&gt;&lt;/foreign-keys&gt;&lt;ref-type name="Journal Article"&gt;17&lt;/ref-type&gt;&lt;contributors&gt;&lt;authors&gt;&lt;author&gt;Pratt, Stephen&lt;/author&gt;&lt;/authors&gt;&lt;/contributors&gt;&lt;titles&gt;&lt;title&gt;The economic impact of tourism in SIDS&lt;/title&gt;&lt;secondary-title&gt;Annals of Tourism Research&lt;/secondary-title&gt;&lt;/titles&gt;&lt;periodical&gt;&lt;full-title&gt;Annals of Tourism Research&lt;/full-title&gt;&lt;/periodical&gt;&lt;pages&gt;148-160&lt;/pages&gt;&lt;volume&gt;52&lt;/volume&gt;&lt;dates&gt;&lt;year&gt;2015&lt;/year&gt;&lt;/dates&gt;&lt;isbn&gt;0160-7383&lt;/isbn&gt;&lt;urls&gt;&lt;/urls&gt;&lt;/record&gt;&lt;/Cite&gt;&lt;Cite&gt;&lt;Author&gt;Pratt&lt;/Author&gt;&lt;Year&gt;2014&lt;/Year&gt;&lt;RecNum&gt;1177&lt;/RecNum&gt;&lt;record&gt;&lt;rec-number&gt;1177&lt;/rec-number&gt;&lt;foreign-keys&gt;&lt;key app="EN" db-id="9vsrvaat7fadwtesfsrpw5w5t0x5v500ef25" timestamp="1575256538"&gt;1177&lt;/key&gt;&lt;/foreign-keys&gt;&lt;ref-type name="Journal Article"&gt;17&lt;/ref-type&gt;&lt;contributors&gt;&lt;authors&gt;&lt;author&gt;Pratt, Stephen&lt;/author&gt;&lt;/authors&gt;&lt;/contributors&gt;&lt;titles&gt;&lt;title&gt;A general equilibrium analysis of the economic impact of a devaluation on tourism: The case of Fiji&lt;/title&gt;&lt;secondary-title&gt;Tourism Economics&lt;/secondary-title&gt;&lt;/titles&gt;&lt;periodical&gt;&lt;full-title&gt;Tourism Economics&lt;/full-title&gt;&lt;/periodical&gt;&lt;pages&gt;389-405&lt;/pages&gt;&lt;volume&gt;20&lt;/volume&gt;&lt;number&gt;2&lt;/number&gt;&lt;dates&gt;&lt;year&gt;2014&lt;/year&gt;&lt;/dates&gt;&lt;isbn&gt;1354-8166&lt;/isbn&gt;&lt;urls&gt;&lt;/urls&gt;&lt;/record&gt;&lt;/Cite&gt;&lt;/EndNote&gt;</w:instrText>
      </w:r>
      <w:r>
        <w:fldChar w:fldCharType="separate"/>
      </w:r>
      <w:r>
        <w:rPr>
          <w:noProof/>
        </w:rPr>
        <w:t>(Pratt, 2015, Pratt, 2014)</w:t>
      </w:r>
      <w:r>
        <w:fldChar w:fldCharType="end"/>
      </w:r>
      <w:r>
        <w:t xml:space="preserve">, energy </w:t>
      </w:r>
      <w:r>
        <w:fldChar w:fldCharType="begin"/>
      </w:r>
      <w:r>
        <w:instrText xml:space="preserve"> ADDIN EN.CITE &lt;EndNote&gt;&lt;Cite&gt;&lt;Author&gt;Lal&lt;/Author&gt;&lt;Year&gt;2012&lt;/Year&gt;&lt;RecNum&gt;1154&lt;/RecNum&gt;&lt;DisplayText&gt;(Lal and Raturi, 2012)&lt;/DisplayText&gt;&lt;record&gt;&lt;rec-number&gt;1154&lt;/rec-number&gt;&lt;foreign-keys&gt;&lt;key app="EN" db-id="9vsrvaat7fadwtesfsrpw5w5t0x5v500ef25" timestamp="1574210163"&gt;1154&lt;/key&gt;&lt;/foreign-keys&gt;&lt;ref-type name="Journal Article"&gt;17&lt;/ref-type&gt;&lt;contributors&gt;&lt;authors&gt;&lt;author&gt;Lal, Sandeep&lt;/author&gt;&lt;author&gt;Raturi, Atul&lt;/author&gt;&lt;/authors&gt;&lt;/contributors&gt;&lt;titles&gt;&lt;title&gt;Techno-economic analysis of a hybrid mini-grid system for Fiji islands&lt;/title&gt;&lt;secondary-title&gt;International Journal of Energy and Environmental Engineering&lt;/secondary-title&gt;&lt;/titles&gt;&lt;periodical&gt;&lt;full-title&gt;International Journal of Energy and Environmental Engineering&lt;/full-title&gt;&lt;/periodical&gt;&lt;pages&gt;10&lt;/pages&gt;&lt;volume&gt;3&lt;/volume&gt;&lt;number&gt;1&lt;/number&gt;&lt;dates&gt;&lt;year&gt;2012&lt;/year&gt;&lt;/dates&gt;&lt;isbn&gt;2008-9163&lt;/isbn&gt;&lt;urls&gt;&lt;/urls&gt;&lt;/record&gt;&lt;/Cite&gt;&lt;/EndNote&gt;</w:instrText>
      </w:r>
      <w:r>
        <w:fldChar w:fldCharType="separate"/>
      </w:r>
      <w:r>
        <w:rPr>
          <w:noProof/>
        </w:rPr>
        <w:t>(Lal and Raturi, 2012)</w:t>
      </w:r>
      <w:r>
        <w:fldChar w:fldCharType="end"/>
      </w:r>
      <w:r>
        <w:t xml:space="preserve">, water </w:t>
      </w:r>
      <w:r>
        <w:fldChar w:fldCharType="begin"/>
      </w:r>
      <w:r>
        <w:instrText xml:space="preserve"> ADDIN EN.CITE &lt;EndNote&gt;&lt;Cite&gt;&lt;Author&gt;Senokonoko&lt;/Author&gt;&lt;Year&gt;2014&lt;/Year&gt;&lt;RecNum&gt;1156&lt;/RecNum&gt;&lt;DisplayText&gt;(Senokonoko, 2014)&lt;/DisplayText&gt;&lt;record&gt;&lt;rec-number&gt;1156&lt;/rec-number&gt;&lt;foreign-keys&gt;&lt;key app="EN" db-id="9vsrvaat7fadwtesfsrpw5w5t0x5v500ef25" timestamp="1574211051"&gt;1156&lt;/key&gt;&lt;/foreign-keys&gt;&lt;ref-type name="Generic"&gt;13&lt;/ref-type&gt;&lt;contributors&gt;&lt;authors&gt;&lt;author&gt;Senokonoko, Kemueli Bainivalu&lt;/author&gt;&lt;/authors&gt;&lt;/contributors&gt;&lt;titles&gt;&lt;title&gt;Hydraulic modelling of the water distribution system of Tavua-Vatukoula, Fiji&lt;/title&gt;&lt;/titles&gt;&lt;dates&gt;&lt;year&gt;2014&lt;/year&gt;&lt;/dates&gt;&lt;pub-location&gt;Brisbane&lt;/pub-location&gt;&lt;publisher&gt;University of Queensland&lt;/publisher&gt;&lt;urls&gt;&lt;related-urls&gt;&lt;url&gt;https://eprints.usq.edu.au/27261/&lt;/url&gt;&lt;/related-urls&gt;&lt;/urls&gt;&lt;/record&gt;&lt;/Cite&gt;&lt;/EndNote&gt;</w:instrText>
      </w:r>
      <w:r>
        <w:fldChar w:fldCharType="separate"/>
      </w:r>
      <w:r>
        <w:rPr>
          <w:noProof/>
        </w:rPr>
        <w:t>(Senokonoko, 2014)</w:t>
      </w:r>
      <w:r>
        <w:fldChar w:fldCharType="end"/>
      </w:r>
      <w:r>
        <w:t xml:space="preserve">, food and health </w:t>
      </w:r>
      <w:r>
        <w:fldChar w:fldCharType="begin"/>
      </w:r>
      <w:r>
        <w:instrText xml:space="preserve"> ADDIN EN.CITE &lt;EndNote&gt;&lt;Cite&gt;&lt;Author&gt;Snowdon&lt;/Author&gt;&lt;Year&gt;2011&lt;/Year&gt;&lt;RecNum&gt;1163&lt;/RecNum&gt;&lt;DisplayText&gt;(Snowdon et al., 2011)&lt;/DisplayText&gt;&lt;record&gt;&lt;rec-number&gt;1163&lt;/rec-number&gt;&lt;foreign-keys&gt;&lt;key app="EN" db-id="9vsrvaat7fadwtesfsrpw5w5t0x5v500ef25" timestamp="1575240597"&gt;1163&lt;/key&gt;&lt;/foreign-keys&gt;&lt;ref-type name="Journal Article"&gt;17&lt;/ref-type&gt;&lt;contributors&gt;&lt;authors&gt;&lt;author&gt;Snowdon, Wendy&lt;/author&gt;&lt;author&gt;Moodie, Marj&lt;/author&gt;&lt;author&gt;Schultz, Jimaima&lt;/author&gt;&lt;author&gt;Swinburn, Boyd&lt;/author&gt;&lt;/authors&gt;&lt;/contributors&gt;&lt;titles&gt;&lt;title&gt;Modelling of potential food policy interventions in Fiji and Tonga and their impacts on noncommunicable disease mortality&lt;/title&gt;&lt;secondary-title&gt;Food Policy&lt;/secondary-title&gt;&lt;/titles&gt;&lt;periodical&gt;&lt;full-title&gt;Food Policy&lt;/full-title&gt;&lt;/periodical&gt;&lt;pages&gt;597-605&lt;/pages&gt;&lt;volume&gt;36&lt;/volume&gt;&lt;number&gt;5&lt;/number&gt;&lt;dates&gt;&lt;year&gt;2011&lt;/year&gt;&lt;/dates&gt;&lt;isbn&gt;0306-9192&lt;/isbn&gt;&lt;urls&gt;&lt;/urls&gt;&lt;/record&gt;&lt;/Cite&gt;&lt;/EndNote&gt;</w:instrText>
      </w:r>
      <w:r>
        <w:fldChar w:fldCharType="separate"/>
      </w:r>
      <w:r>
        <w:rPr>
          <w:noProof/>
        </w:rPr>
        <w:t>(Snowdon et al., 2011)</w:t>
      </w:r>
      <w:r>
        <w:fldChar w:fldCharType="end"/>
      </w:r>
      <w:r>
        <w:t xml:space="preserve">, climate </w:t>
      </w:r>
      <w:r>
        <w:fldChar w:fldCharType="begin"/>
      </w:r>
      <w:r>
        <w:instrText xml:space="preserve"> ADDIN EN.CITE &lt;EndNote&gt;&lt;Cite&gt;&lt;Author&gt;Lal&lt;/Author&gt;&lt;Year&gt;2008&lt;/Year&gt;&lt;RecNum&gt;1170&lt;/RecNum&gt;&lt;DisplayText&gt;(Lal et al., 2008)&lt;/DisplayText&gt;&lt;record&gt;&lt;rec-number&gt;1170&lt;/rec-number&gt;&lt;foreign-keys&gt;&lt;key app="EN" db-id="9vsrvaat7fadwtesfsrpw5w5t0x5v500ef25" timestamp="1575241426"&gt;1170&lt;/key&gt;&lt;/foreign-keys&gt;&lt;ref-type name="Journal Article"&gt;17&lt;/ref-type&gt;&lt;contributors&gt;&lt;authors&gt;&lt;author&gt;Lal, Murari&lt;/author&gt;&lt;author&gt;McGregor, John L&lt;/author&gt;&lt;author&gt;Nguyen, Kim C&lt;/author&gt;&lt;/authors&gt;&lt;/contributors&gt;&lt;titles&gt;&lt;title&gt;Very high-resolution climate simulation over Fiji using a global variable-resolution model&lt;/title&gt;&lt;secondary-title&gt;Climate Dynamics&lt;/secondary-title&gt;&lt;/titles&gt;&lt;periodical&gt;&lt;full-title&gt;Climate Dynamics&lt;/full-title&gt;&lt;/periodical&gt;&lt;pages&gt;293-305&lt;/pages&gt;&lt;volume&gt;30&lt;/volume&gt;&lt;number&gt;2-3&lt;/number&gt;&lt;dates&gt;&lt;year&gt;2008&lt;/year&gt;&lt;/dates&gt;&lt;isbn&gt;0930-7575&lt;/isbn&gt;&lt;urls&gt;&lt;/urls&gt;&lt;/record&gt;&lt;/Cite&gt;&lt;/EndNote&gt;</w:instrText>
      </w:r>
      <w:r>
        <w:fldChar w:fldCharType="separate"/>
      </w:r>
      <w:r>
        <w:rPr>
          <w:noProof/>
        </w:rPr>
        <w:t>(Lal et al., 2008)</w:t>
      </w:r>
      <w:r>
        <w:fldChar w:fldCharType="end"/>
      </w:r>
      <w:r>
        <w:t xml:space="preserve">, and coastal inundation </w:t>
      </w:r>
      <w:r>
        <w:fldChar w:fldCharType="begin"/>
      </w:r>
      <w:r>
        <w:instrText xml:space="preserve"> ADDIN EN.CITE &lt;EndNote&gt;&lt;Cite&gt;&lt;Author&gt;McInnes&lt;/Author&gt;&lt;Year&gt;2014&lt;/Year&gt;&lt;RecNum&gt;1157&lt;/RecNum&gt;&lt;DisplayText&gt;(McInnes et al., 2014)&lt;/DisplayText&gt;&lt;record&gt;&lt;rec-number&gt;1157&lt;/rec-number&gt;&lt;foreign-keys&gt;&lt;key app="EN" db-id="9vsrvaat7fadwtesfsrpw5w5t0x5v500ef25" timestamp="1574211245"&gt;1157&lt;/key&gt;&lt;/foreign-keys&gt;&lt;ref-type name="Journal Article"&gt;17&lt;/ref-type&gt;&lt;contributors&gt;&lt;authors&gt;&lt;author&gt;McInnes, Kathleen L&lt;/author&gt;&lt;author&gt;Walsh, Kevin JE&lt;/author&gt;&lt;author&gt;Hoeke, Ron K&lt;/author&gt;&lt;author&gt;O’Grady, Julian G&lt;/author&gt;&lt;author&gt;Colberg, Frank&lt;/author&gt;&lt;author&gt;Hubbert, Graeme D&lt;/author&gt;&lt;/authors&gt;&lt;/contributors&gt;&lt;titles&gt;&lt;title&gt;Quantifying storm tide risk in Fiji due to climate variability and change&lt;/title&gt;&lt;secondary-title&gt;Global and Planetary Change&lt;/secondary-title&gt;&lt;/titles&gt;&lt;periodical&gt;&lt;full-title&gt;Global and Planetary Change&lt;/full-title&gt;&lt;/periodical&gt;&lt;pages&gt;115-129&lt;/pages&gt;&lt;volume&gt;116&lt;/volume&gt;&lt;dates&gt;&lt;year&gt;2014&lt;/year&gt;&lt;/dates&gt;&lt;isbn&gt;0921-8181&lt;/isbn&gt;&lt;urls&gt;&lt;related-urls&gt;&lt;url&gt;https://doi.org/10.1016/j.gloplacha.2014.02.004&lt;/url&gt;&lt;/related-urls&gt;&lt;/urls&gt;&lt;/record&gt;&lt;/Cite&gt;&lt;/EndNote&gt;</w:instrText>
      </w:r>
      <w:r>
        <w:fldChar w:fldCharType="separate"/>
      </w:r>
      <w:r>
        <w:rPr>
          <w:noProof/>
        </w:rPr>
        <w:t>(McInnes et al., 2014)</w:t>
      </w:r>
      <w:r>
        <w:fldChar w:fldCharType="end"/>
      </w:r>
      <w:r>
        <w:t xml:space="preserve">.  A range of sectoral models were also used to support the development of Fiji’s LEDS </w:t>
      </w:r>
      <w:r>
        <w:fldChar w:fldCharType="begin"/>
      </w:r>
      <w: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fldChar w:fldCharType="separate"/>
      </w:r>
      <w:r>
        <w:rPr>
          <w:noProof/>
        </w:rPr>
        <w:t>(Government of Fiji, 2018a)</w:t>
      </w:r>
      <w:r>
        <w:fldChar w:fldCharType="end"/>
      </w:r>
      <w:r>
        <w:t xml:space="preserve">. However, there has not yet been any integrated assessment modelling focused on SDGs. </w:t>
      </w:r>
    </w:p>
    <w:p w14:paraId="6E678C1A" w14:textId="10D4163F" w:rsidR="00C04B10" w:rsidRDefault="00C04B10">
      <w:pPr>
        <w:rPr>
          <w:b/>
        </w:rPr>
      </w:pPr>
      <w:r>
        <w:rPr>
          <w:b/>
        </w:rPr>
        <w:br w:type="page"/>
      </w:r>
    </w:p>
    <w:p w14:paraId="5715BD29" w14:textId="77777777" w:rsidR="00190CD7" w:rsidRDefault="00AF0CC8">
      <w:pPr>
        <w:rPr>
          <w:b/>
        </w:rPr>
      </w:pPr>
      <w:r>
        <w:rPr>
          <w:b/>
        </w:rPr>
        <w:lastRenderedPageBreak/>
        <w:t xml:space="preserve">SUPPLEMENTARY TEXT 2. </w:t>
      </w:r>
      <w:r w:rsidR="00190CD7">
        <w:rPr>
          <w:b/>
        </w:rPr>
        <w:t>ADDITIONAL DESCRIPTION OF THE ISDG-FIJI MODEL</w:t>
      </w:r>
    </w:p>
    <w:p w14:paraId="4D1E26D8" w14:textId="77777777" w:rsidR="00190CD7" w:rsidRDefault="00190CD7">
      <w:pPr>
        <w:rPr>
          <w:b/>
        </w:rPr>
      </w:pPr>
      <w:r w:rsidRPr="000E1837">
        <w:rPr>
          <w:noProof/>
        </w:rPr>
        <w:drawing>
          <wp:inline distT="0" distB="0" distL="0" distR="0" wp14:anchorId="32C196DC" wp14:editId="32514803">
            <wp:extent cx="5731510" cy="563499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634990"/>
                    </a:xfrm>
                    <a:prstGeom prst="rect">
                      <a:avLst/>
                    </a:prstGeom>
                  </pic:spPr>
                </pic:pic>
              </a:graphicData>
            </a:graphic>
          </wp:inline>
        </w:drawing>
      </w:r>
    </w:p>
    <w:p w14:paraId="18C50124" w14:textId="27626BCC" w:rsidR="00190CD7" w:rsidRDefault="00190CD7" w:rsidP="00190CD7">
      <w:pPr>
        <w:rPr>
          <w:b/>
          <w:bCs/>
          <w:sz w:val="20"/>
          <w:szCs w:val="20"/>
          <w:lang w:val="en-AU"/>
        </w:rPr>
      </w:pPr>
      <w:r w:rsidRPr="003736C6">
        <w:rPr>
          <w:b/>
          <w:bCs/>
          <w:sz w:val="20"/>
          <w:szCs w:val="20"/>
          <w:lang w:val="en-AU"/>
        </w:rPr>
        <w:t>Brief description of</w:t>
      </w:r>
      <w:r w:rsidR="00373308">
        <w:rPr>
          <w:b/>
          <w:bCs/>
          <w:sz w:val="20"/>
          <w:szCs w:val="20"/>
          <w:lang w:val="en-AU"/>
        </w:rPr>
        <w:t xml:space="preserve"> the iSDG model and </w:t>
      </w:r>
      <w:r>
        <w:rPr>
          <w:b/>
          <w:bCs/>
          <w:sz w:val="20"/>
          <w:szCs w:val="20"/>
          <w:lang w:val="en-AU"/>
        </w:rPr>
        <w:t xml:space="preserve">key </w:t>
      </w:r>
      <w:r w:rsidRPr="003736C6">
        <w:rPr>
          <w:b/>
          <w:bCs/>
          <w:sz w:val="20"/>
          <w:szCs w:val="20"/>
          <w:lang w:val="en-AU"/>
        </w:rPr>
        <w:t>modules</w:t>
      </w:r>
    </w:p>
    <w:p w14:paraId="05CE44CF" w14:textId="509CDF84" w:rsidR="00373308" w:rsidRPr="00373308" w:rsidRDefault="00373308" w:rsidP="00190CD7">
      <w:pPr>
        <w:rPr>
          <w:sz w:val="20"/>
          <w:szCs w:val="20"/>
          <w:lang w:val="en-AU"/>
        </w:rPr>
      </w:pPr>
      <w:r>
        <w:t xml:space="preserve">The </w:t>
      </w:r>
      <w:r w:rsidRPr="00CB7CDE">
        <w:rPr>
          <w:i/>
          <w:iCs/>
        </w:rPr>
        <w:t>iSDG</w:t>
      </w:r>
      <w:r>
        <w:t xml:space="preserve"> tool is an integrated macroeconomic model that is built in the system dynamics modelling language in both Vensim </w:t>
      </w:r>
      <w:r>
        <w:fldChar w:fldCharType="begin"/>
      </w:r>
      <w:r>
        <w:instrText xml:space="preserve"> ADDIN EN.CITE &lt;EndNote&gt;&lt;Cite&gt;&lt;Author&gt;Inc.&lt;/Author&gt;&lt;Year&gt;2018&lt;/Year&gt;&lt;RecNum&gt;1125&lt;/RecNum&gt;&lt;DisplayText&gt;(Ventana Systems Inc., 2018)&lt;/DisplayText&gt;&lt;record&gt;&lt;rec-number&gt;1125&lt;/rec-number&gt;&lt;foreign-keys&gt;&lt;key app="EN" db-id="9vsrvaat7fadwtesfsrpw5w5t0x5v500ef25" timestamp="1565424765"&gt;1125&lt;/key&gt;&lt;/foreign-keys&gt;&lt;ref-type name="Computer Program"&gt;9&lt;/ref-type&gt;&lt;contributors&gt;&lt;authors&gt;&lt;author&gt;Ventana Systems Inc.,&lt;/author&gt;&lt;/authors&gt;&lt;/contributors&gt;&lt;titles&gt;&lt;title&gt;Vensim DSS 7.3&lt;/title&gt;&lt;/titles&gt;&lt;dates&gt;&lt;year&gt;2018&lt;/year&gt;&lt;/dates&gt;&lt;pub-location&gt;Harvard, USA&lt;/pub-location&gt;&lt;publisher&gt;Ventana Systems Inc&lt;/publisher&gt;&lt;urls&gt;&lt;related-urls&gt;&lt;url&gt;https://vensim.com/vensim-software/&lt;/url&gt;&lt;/related-urls&gt;&lt;/urls&gt;&lt;/record&gt;&lt;/Cite&gt;&lt;/EndNote&gt;</w:instrText>
      </w:r>
      <w:r>
        <w:fldChar w:fldCharType="separate"/>
      </w:r>
      <w:r>
        <w:rPr>
          <w:noProof/>
        </w:rPr>
        <w:t>(Ventana Systems Inc., 2018)</w:t>
      </w:r>
      <w:r>
        <w:fldChar w:fldCharType="end"/>
      </w:r>
      <w:r>
        <w:t xml:space="preserve"> and Stella Architect </w:t>
      </w:r>
      <w:r>
        <w:fldChar w:fldCharType="begin"/>
      </w:r>
      <w:r>
        <w:instrText xml:space="preserve"> ADDIN EN.CITE &lt;EndNote&gt;&lt;Cite&gt;&lt;Author&gt;ISEE Systems&lt;/Author&gt;&lt;Year&gt;2018&lt;/Year&gt;&lt;RecNum&gt;1126&lt;/RecNum&gt;&lt;DisplayText&gt;(ISEE Systems, 2018)&lt;/DisplayText&gt;&lt;record&gt;&lt;rec-number&gt;1126&lt;/rec-number&gt;&lt;foreign-keys&gt;&lt;key app="EN" db-id="9vsrvaat7fadwtesfsrpw5w5t0x5v500ef25" timestamp="1565424881"&gt;1126&lt;/key&gt;&lt;/foreign-keys&gt;&lt;ref-type name="Computer Program"&gt;9&lt;/ref-type&gt;&lt;contributors&gt;&lt;authors&gt;&lt;author&gt;ISEE Systems,&lt;/author&gt;&lt;/authors&gt;&lt;/contributors&gt;&lt;titles&gt;&lt;title&gt;Stella Architect&lt;/title&gt;&lt;/titles&gt;&lt;dates&gt;&lt;year&gt;2018&lt;/year&gt;&lt;/dates&gt;&lt;pub-location&gt;Lebanon, USA&lt;/pub-location&gt;&lt;publisher&gt;ISEE Systems&lt;/publisher&gt;&lt;urls&gt;&lt;related-urls&gt;&lt;url&gt;https://www.iseesystems.com&lt;/url&gt;&lt;/related-urls&gt;&lt;/urls&gt;&lt;/record&gt;&lt;/Cite&gt;&lt;/EndNote&gt;</w:instrText>
      </w:r>
      <w:r>
        <w:fldChar w:fldCharType="separate"/>
      </w:r>
      <w:r>
        <w:rPr>
          <w:noProof/>
        </w:rPr>
        <w:t>(ISEE Systems, 2018)</w:t>
      </w:r>
      <w:r>
        <w:fldChar w:fldCharType="end"/>
      </w:r>
      <w:r>
        <w:t xml:space="preserve"> software. </w:t>
      </w:r>
      <w:r>
        <w:rPr>
          <w:bCs/>
          <w:iCs/>
        </w:rPr>
        <w:t xml:space="preserve">The base </w:t>
      </w:r>
      <w:r w:rsidRPr="00D51096">
        <w:rPr>
          <w:bCs/>
          <w:i/>
        </w:rPr>
        <w:t>iSDG</w:t>
      </w:r>
      <w:r>
        <w:rPr>
          <w:bCs/>
          <w:iCs/>
        </w:rPr>
        <w:t xml:space="preserve"> model has a stock and flow structure and is formulated as a system of differential equations comprising approximately 3,000 variables organised across 30 sectors, covering key economic, social and environmental domains. A description of each of the sectoral modules along with their assumptions and source literature is available in the model documentation </w:t>
      </w:r>
      <w:r>
        <w:rPr>
          <w:bCs/>
          <w:iCs/>
        </w:rPr>
        <w:fldChar w:fldCharType="begin"/>
      </w:r>
      <w:r>
        <w:rPr>
          <w:bCs/>
          <w:iCs/>
        </w:rPr>
        <w:instrText xml:space="preserve"> ADDIN EN.CITE &lt;EndNote&gt;&lt;Cite&gt;&lt;Author&gt;Millennium Institute&lt;/Author&gt;&lt;Year&gt;2017&lt;/Year&gt;&lt;RecNum&gt;993&lt;/RecNum&gt;&lt;DisplayText&gt;(Millennium Institute, 2017)&lt;/DisplayText&gt;&lt;record&gt;&lt;rec-number&gt;993&lt;/rec-number&gt;&lt;foreign-keys&gt;&lt;key app="EN" db-id="9vsrvaat7fadwtesfsrpw5w5t0x5v500ef25" timestamp="1554175499"&gt;993&lt;/key&gt;&lt;/foreign-keys&gt;&lt;ref-type name="Generic"&gt;13&lt;/ref-type&gt;&lt;contributors&gt;&lt;authors&gt;&lt;author&gt;Millennium Institute,&lt;/author&gt;&lt;/authors&gt;&lt;/contributors&gt;&lt;titles&gt;&lt;title&gt;iSDG Model Documentation&lt;/title&gt;&lt;/titles&gt;&lt;dates&gt;&lt;year&gt;2017&lt;/year&gt;&lt;/dates&gt;&lt;pub-location&gt;Washington D.C.&lt;/pub-location&gt;&lt;publisher&gt;Millennium Institute&lt;/publisher&gt;&lt;urls&gt;&lt;related-urls&gt;&lt;url&gt;https://www.millennium-institute.org/documentation &lt;/url&gt;&lt;/related-urls&gt;&lt;/urls&gt;&lt;/record&gt;&lt;/Cite&gt;&lt;/EndNote&gt;</w:instrText>
      </w:r>
      <w:r>
        <w:rPr>
          <w:bCs/>
          <w:iCs/>
        </w:rPr>
        <w:fldChar w:fldCharType="separate"/>
      </w:r>
      <w:r>
        <w:rPr>
          <w:bCs/>
          <w:iCs/>
          <w:noProof/>
        </w:rPr>
        <w:t>(Millennium Institute, 2017)</w:t>
      </w:r>
      <w:r>
        <w:rPr>
          <w:bCs/>
          <w:iCs/>
        </w:rPr>
        <w:fldChar w:fldCharType="end"/>
      </w:r>
      <w:r>
        <w:rPr>
          <w:bCs/>
          <w:iCs/>
        </w:rPr>
        <w:t xml:space="preserve">.  Further description of the model and some of the key modules is provided in </w:t>
      </w:r>
      <w:r>
        <w:rPr>
          <w:bCs/>
          <w:iCs/>
        </w:rPr>
        <w:fldChar w:fldCharType="begin"/>
      </w:r>
      <w:r w:rsidR="003F7175">
        <w:rPr>
          <w:bCs/>
          <w:iCs/>
        </w:rPr>
        <w:instrText xml:space="preserve"> ADDIN EN.CITE &lt;EndNote&gt;&lt;Cite AuthorYear="1"&gt;&lt;Author&gt;Allen&lt;/Author&gt;&lt;Year&gt;2019&lt;/Year&gt;&lt;RecNum&gt;1153&lt;/RecNum&gt;&lt;DisplayText&gt;Allen et al. (2019)&lt;/DisplayText&gt;&lt;record&gt;&lt;rec-number&gt;1153&lt;/rec-number&gt;&lt;foreign-keys&gt;&lt;key app="EN" db-id="9vsrvaat7fadwtesfsrpw5w5t0x5v500ef25" timestamp="1572757955"&gt;1153&lt;/key&gt;&lt;/foreign-keys&gt;&lt;ref-type name="Journal Article"&gt;17&lt;/ref-type&gt;&lt;contributors&gt;&lt;authors&gt;&lt;author&gt;Allen, C&lt;/author&gt;&lt;author&gt;Metternicht, G&lt;/author&gt;&lt;author&gt;Wiedmann, T&lt;/author&gt;&lt;author&gt;Pedercini, M&lt;/author&gt;&lt;/authors&gt;&lt;/contributors&gt;&lt;titles&gt;&lt;title&gt;Greater gains for Australia by tackling all SDGs but the final steps will be the most challenging&lt;/title&gt;&lt;secondary-title&gt;Nature Sustainability&lt;/secondary-title&gt;&lt;/titles&gt;&lt;periodical&gt;&lt;full-title&gt;Nature Sustainability&lt;/full-title&gt;&lt;/periodical&gt;&lt;pages&gt;1041-1050&lt;/pages&gt;&lt;volume&gt;2&lt;/volume&gt;&lt;dates&gt;&lt;year&gt;2019&lt;/year&gt;&lt;/dates&gt;&lt;urls&gt;&lt;/urls&gt;&lt;electronic-resource-num&gt;https://doi.org/10.1038/s41893-019-0409-9&lt;/electronic-resource-num&gt;&lt;/record&gt;&lt;/Cite&gt;&lt;/EndNote&gt;</w:instrText>
      </w:r>
      <w:r>
        <w:rPr>
          <w:bCs/>
          <w:iCs/>
        </w:rPr>
        <w:fldChar w:fldCharType="separate"/>
      </w:r>
      <w:r>
        <w:rPr>
          <w:bCs/>
          <w:iCs/>
          <w:noProof/>
        </w:rPr>
        <w:t>Allen et al. (2019)</w:t>
      </w:r>
      <w:r>
        <w:rPr>
          <w:bCs/>
          <w:iCs/>
        </w:rPr>
        <w:fldChar w:fldCharType="end"/>
      </w:r>
      <w:r>
        <w:rPr>
          <w:bCs/>
          <w:iCs/>
        </w:rPr>
        <w:t>.</w:t>
      </w:r>
    </w:p>
    <w:p w14:paraId="58C97F4B" w14:textId="77777777" w:rsidR="00190CD7" w:rsidRPr="003736C6" w:rsidRDefault="00190CD7" w:rsidP="00190CD7">
      <w:pPr>
        <w:rPr>
          <w:bCs/>
          <w:iCs/>
          <w:sz w:val="20"/>
          <w:szCs w:val="20"/>
        </w:rPr>
      </w:pPr>
      <w:r w:rsidRPr="003736C6">
        <w:rPr>
          <w:bCs/>
          <w:iCs/>
          <w:sz w:val="20"/>
          <w:szCs w:val="20"/>
        </w:rPr>
        <w:t xml:space="preserve">A description of each of the sectoral modules, assumptions and source literature is available in the model documentation </w:t>
      </w:r>
      <w:r w:rsidRPr="003736C6">
        <w:rPr>
          <w:bCs/>
          <w:iCs/>
          <w:sz w:val="20"/>
          <w:szCs w:val="20"/>
        </w:rPr>
        <w:fldChar w:fldCharType="begin"/>
      </w:r>
      <w:r w:rsidRPr="003736C6">
        <w:rPr>
          <w:bCs/>
          <w:iCs/>
          <w:sz w:val="20"/>
          <w:szCs w:val="20"/>
        </w:rPr>
        <w:instrText xml:space="preserve"> ADDIN EN.CITE &lt;EndNote&gt;&lt;Cite&gt;&lt;Author&gt;Millennium Institute&lt;/Author&gt;&lt;Year&gt;2017&lt;/Year&gt;&lt;RecNum&gt;993&lt;/RecNum&gt;&lt;DisplayText&gt;(Millennium Institute, 2017)&lt;/DisplayText&gt;&lt;record&gt;&lt;rec-number&gt;993&lt;/rec-number&gt;&lt;foreign-keys&gt;&lt;key app="EN" db-id="9vsrvaat7fadwtesfsrpw5w5t0x5v500ef25" timestamp="1554175499"&gt;993&lt;/key&gt;&lt;/foreign-keys&gt;&lt;ref-type name="Generic"&gt;13&lt;/ref-type&gt;&lt;contributors&gt;&lt;authors&gt;&lt;author&gt;Millennium Institute,&lt;/author&gt;&lt;/authors&gt;&lt;/contributors&gt;&lt;titles&gt;&lt;title&gt;iSDG Model Documentation&lt;/title&gt;&lt;/titles&gt;&lt;dates&gt;&lt;year&gt;2017&lt;/year&gt;&lt;/dates&gt;&lt;pub-location&gt;Washington D.C.&lt;/pub-location&gt;&lt;publisher&gt;Millennium Institute&lt;/publisher&gt;&lt;urls&gt;&lt;related-urls&gt;&lt;url&gt;https://www.millennium-institute.org/documentation &lt;/url&gt;&lt;/related-urls&gt;&lt;/urls&gt;&lt;/record&gt;&lt;/Cite&gt;&lt;/EndNote&gt;</w:instrText>
      </w:r>
      <w:r w:rsidRPr="003736C6">
        <w:rPr>
          <w:bCs/>
          <w:iCs/>
          <w:sz w:val="20"/>
          <w:szCs w:val="20"/>
        </w:rPr>
        <w:fldChar w:fldCharType="separate"/>
      </w:r>
      <w:r w:rsidRPr="003736C6">
        <w:rPr>
          <w:bCs/>
          <w:iCs/>
          <w:noProof/>
          <w:sz w:val="20"/>
          <w:szCs w:val="20"/>
        </w:rPr>
        <w:t>(Millennium Institute, 2017)</w:t>
      </w:r>
      <w:r w:rsidRPr="003736C6">
        <w:rPr>
          <w:bCs/>
          <w:iCs/>
          <w:sz w:val="20"/>
          <w:szCs w:val="20"/>
        </w:rPr>
        <w:fldChar w:fldCharType="end"/>
      </w:r>
      <w:r w:rsidRPr="003736C6">
        <w:rPr>
          <w:bCs/>
          <w:iCs/>
          <w:sz w:val="20"/>
          <w:szCs w:val="20"/>
        </w:rPr>
        <w:t xml:space="preserve">.  In brief, economic production in the core of the model is divided into agriculture, industry and services (which are further disaggregated by sub-sector) and production is based on Cobb-Douglas production functions which are expanded to include effects of education, health, climate change, governance, infrastructure and other factors on total factor productivity. Investment is endogenously </w:t>
      </w:r>
      <w:r w:rsidRPr="003736C6">
        <w:rPr>
          <w:bCs/>
          <w:iCs/>
          <w:sz w:val="20"/>
          <w:szCs w:val="20"/>
        </w:rPr>
        <w:lastRenderedPageBreak/>
        <w:t xml:space="preserve">based on public investment, private savings and foreign investment and is allocated across sectors based on the rate of return on investment </w:t>
      </w:r>
      <w:r w:rsidRPr="003736C6">
        <w:rPr>
          <w:bCs/>
          <w:iCs/>
          <w:sz w:val="20"/>
          <w:szCs w:val="20"/>
        </w:rPr>
        <w:fldChar w:fldCharType="begin"/>
      </w:r>
      <w:r w:rsidRPr="003736C6">
        <w:rPr>
          <w:bCs/>
          <w:iCs/>
          <w:sz w:val="20"/>
          <w:szCs w:val="20"/>
        </w:rPr>
        <w:instrText xml:space="preserve"> ADDIN EN.CITE &lt;EndNote&gt;&lt;Cite&gt;&lt;Author&gt;Arrow&lt;/Author&gt;&lt;Year&gt;1964&lt;/Year&gt;&lt;RecNum&gt;1135&lt;/RecNum&gt;&lt;DisplayText&gt;(Arrow, 1964)&lt;/DisplayText&gt;&lt;record&gt;&lt;rec-number&gt;1135&lt;/rec-number&gt;&lt;foreign-keys&gt;&lt;key app="EN" db-id="9vsrvaat7fadwtesfsrpw5w5t0x5v500ef25" timestamp="1565664485"&gt;1135&lt;/key&gt;&lt;/foreign-keys&gt;&lt;ref-type name="Journal Article"&gt;17&lt;/ref-type&gt;&lt;contributors&gt;&lt;authors&gt;&lt;author&gt;Arrow, Kenneth J&lt;/author&gt;&lt;/authors&gt;&lt;/contributors&gt;&lt;titles&gt;&lt;title&gt;Optimal capital policy, the cost of capital, and myopic decision rules&lt;/title&gt;&lt;secondary-title&gt;Annals of the Institute of Statistical Mathematics&lt;/secondary-title&gt;&lt;/titles&gt;&lt;periodical&gt;&lt;full-title&gt;Annals of the Institute of Statistical Mathematics&lt;/full-title&gt;&lt;/periodical&gt;&lt;pages&gt;21-30&lt;/pages&gt;&lt;volume&gt;16&lt;/volume&gt;&lt;number&gt;1&lt;/number&gt;&lt;dates&gt;&lt;year&gt;1964&lt;/year&gt;&lt;/dates&gt;&lt;isbn&gt;0020-3157&lt;/isbn&gt;&lt;urls&gt;&lt;/urls&gt;&lt;electronic-resource-num&gt;https://doi.org/10.1007/BF02868559&lt;/electronic-resource-num&gt;&lt;/record&gt;&lt;/Cite&gt;&lt;/EndNote&gt;</w:instrText>
      </w:r>
      <w:r w:rsidRPr="003736C6">
        <w:rPr>
          <w:bCs/>
          <w:iCs/>
          <w:sz w:val="20"/>
          <w:szCs w:val="20"/>
        </w:rPr>
        <w:fldChar w:fldCharType="separate"/>
      </w:r>
      <w:r w:rsidRPr="003736C6">
        <w:rPr>
          <w:bCs/>
          <w:iCs/>
          <w:noProof/>
          <w:sz w:val="20"/>
          <w:szCs w:val="20"/>
        </w:rPr>
        <w:t>(Arrow, 1964)</w:t>
      </w:r>
      <w:r w:rsidRPr="003736C6">
        <w:rPr>
          <w:bCs/>
          <w:iCs/>
          <w:sz w:val="20"/>
          <w:szCs w:val="20"/>
        </w:rPr>
        <w:fldChar w:fldCharType="end"/>
      </w:r>
      <w:r w:rsidRPr="003736C6">
        <w:rPr>
          <w:bCs/>
          <w:iCs/>
          <w:sz w:val="20"/>
          <w:szCs w:val="20"/>
        </w:rPr>
        <w:t xml:space="preserve">. Conventional closing rules are used to assure consistency of the macroeconomic framework </w:t>
      </w:r>
      <w:r w:rsidRPr="003736C6">
        <w:rPr>
          <w:bCs/>
          <w:iCs/>
          <w:sz w:val="20"/>
          <w:szCs w:val="20"/>
        </w:rPr>
        <w:fldChar w:fldCharType="begin"/>
      </w:r>
      <w:r w:rsidRPr="003736C6">
        <w:rPr>
          <w:bCs/>
          <w:iCs/>
          <w:sz w:val="20"/>
          <w:szCs w:val="20"/>
        </w:rPr>
        <w:instrText xml:space="preserve"> ADDIN EN.CITE &lt;EndNote&gt;&lt;Cite&gt;&lt;Author&gt;Lofgren&lt;/Author&gt;&lt;Year&gt;2002&lt;/Year&gt;&lt;RecNum&gt;1136&lt;/RecNum&gt;&lt;DisplayText&gt;(Lofgren et al., 2002)&lt;/DisplayText&gt;&lt;record&gt;&lt;rec-number&gt;1136&lt;/rec-number&gt;&lt;foreign-keys&gt;&lt;key app="EN" db-id="9vsrvaat7fadwtesfsrpw5w5t0x5v500ef25" timestamp="1565664691"&gt;1136&lt;/key&gt;&lt;/foreign-keys&gt;&lt;ref-type name="Book"&gt;6&lt;/ref-type&gt;&lt;contributors&gt;&lt;authors&gt;&lt;author&gt;Lofgren, Hans&lt;/author&gt;&lt;author&gt;Harris, Rebecca Lee&lt;/author&gt;&lt;author&gt;Robinson, Sherman&lt;/author&gt;&lt;/authors&gt;&lt;/contributors&gt;&lt;titles&gt;&lt;title&gt;A standard computable general equilibrium (CGE) model in GAMS&lt;/title&gt;&lt;/titles&gt;&lt;dates&gt;&lt;year&gt;2002&lt;/year&gt;&lt;/dates&gt;&lt;pub-location&gt;Washington DC, USA&lt;/pub-location&gt;&lt;publisher&gt;International Food Policy Research Institute&lt;/publisher&gt;&lt;isbn&gt;0896297209&lt;/isbn&gt;&lt;urls&gt;&lt;/urls&gt;&lt;/record&gt;&lt;/Cite&gt;&lt;/EndNote&gt;</w:instrText>
      </w:r>
      <w:r w:rsidRPr="003736C6">
        <w:rPr>
          <w:bCs/>
          <w:iCs/>
          <w:sz w:val="20"/>
          <w:szCs w:val="20"/>
        </w:rPr>
        <w:fldChar w:fldCharType="separate"/>
      </w:r>
      <w:r w:rsidRPr="003736C6">
        <w:rPr>
          <w:bCs/>
          <w:iCs/>
          <w:noProof/>
          <w:sz w:val="20"/>
          <w:szCs w:val="20"/>
        </w:rPr>
        <w:t>(Lofgren et al., 2002)</w:t>
      </w:r>
      <w:r w:rsidRPr="003736C6">
        <w:rPr>
          <w:bCs/>
          <w:iCs/>
          <w:sz w:val="20"/>
          <w:szCs w:val="20"/>
        </w:rPr>
        <w:fldChar w:fldCharType="end"/>
      </w:r>
      <w:r w:rsidRPr="003736C6">
        <w:rPr>
          <w:bCs/>
          <w:iCs/>
          <w:sz w:val="20"/>
          <w:szCs w:val="20"/>
        </w:rPr>
        <w:t xml:space="preserve">. </w:t>
      </w:r>
    </w:p>
    <w:p w14:paraId="45254972" w14:textId="77777777" w:rsidR="00190CD7" w:rsidRPr="003736C6" w:rsidRDefault="00190CD7" w:rsidP="00190CD7">
      <w:pPr>
        <w:rPr>
          <w:bCs/>
          <w:iCs/>
          <w:sz w:val="20"/>
          <w:szCs w:val="20"/>
        </w:rPr>
      </w:pPr>
      <w:r w:rsidRPr="003736C6">
        <w:rPr>
          <w:bCs/>
          <w:iCs/>
          <w:sz w:val="20"/>
          <w:szCs w:val="20"/>
        </w:rPr>
        <w:t xml:space="preserve">The population module includes endogenous treatment of fertility and mortality along with dynamics for the main factors that influence these variables, while migration is set exogenously. Population is disaggregated into 100 age cohorts and by gender. Births are based on the size of the reproductive age of the population and total fertility rate, while mortality rates are based on income, health, education, exposure to risks and other factors.  This also enables estimation of life expectancy.  </w:t>
      </w:r>
    </w:p>
    <w:p w14:paraId="427F7527" w14:textId="77777777" w:rsidR="00190CD7" w:rsidRPr="003736C6" w:rsidRDefault="00190CD7" w:rsidP="00190CD7">
      <w:pPr>
        <w:rPr>
          <w:bCs/>
          <w:iCs/>
          <w:sz w:val="20"/>
          <w:szCs w:val="20"/>
        </w:rPr>
      </w:pPr>
      <w:r w:rsidRPr="003736C6">
        <w:rPr>
          <w:bCs/>
          <w:iCs/>
          <w:sz w:val="20"/>
          <w:szCs w:val="20"/>
        </w:rPr>
        <w:t xml:space="preserve">The government sector is structured according to a standard accounting framework </w:t>
      </w:r>
      <w:r w:rsidRPr="003736C6">
        <w:rPr>
          <w:bCs/>
          <w:iCs/>
          <w:sz w:val="20"/>
          <w:szCs w:val="20"/>
        </w:rPr>
        <w:fldChar w:fldCharType="begin"/>
      </w:r>
      <w:r w:rsidRPr="003736C6">
        <w:rPr>
          <w:bCs/>
          <w:iCs/>
          <w:sz w:val="20"/>
          <w:szCs w:val="20"/>
        </w:rPr>
        <w:instrText xml:space="preserve"> ADDIN EN.CITE &lt;EndNote&gt;&lt;Cite&gt;&lt;Author&gt;International Monetary Fund&lt;/Author&gt;&lt;Year&gt;2014&lt;/Year&gt;&lt;RecNum&gt;1137&lt;/RecNum&gt;&lt;DisplayText&gt;(International Monetary Fund, 2014)&lt;/DisplayText&gt;&lt;record&gt;&lt;rec-number&gt;1137&lt;/rec-number&gt;&lt;foreign-keys&gt;&lt;key app="EN" db-id="9vsrvaat7fadwtesfsrpw5w5t0x5v500ef25" timestamp="1565665151"&gt;1137&lt;/key&gt;&lt;/foreign-keys&gt;&lt;ref-type name="Generic"&gt;13&lt;/ref-type&gt;&lt;contributors&gt;&lt;authors&gt;&lt;author&gt;International Monetary Fund,&lt;/author&gt;&lt;/authors&gt;&lt;/contributors&gt;&lt;titles&gt;&lt;title&gt;Government finance statistics manual&lt;/title&gt;&lt;/titles&gt;&lt;dates&gt;&lt;year&gt;2014&lt;/year&gt;&lt;/dates&gt;&lt;pub-location&gt;Washington DC, USA&lt;/pub-location&gt;&lt;publisher&gt;International Monetary Fund&lt;/publisher&gt;&lt;urls&gt;&lt;/urls&gt;&lt;/record&gt;&lt;/Cite&gt;&lt;/EndNote&gt;</w:instrText>
      </w:r>
      <w:r w:rsidRPr="003736C6">
        <w:rPr>
          <w:bCs/>
          <w:iCs/>
          <w:sz w:val="20"/>
          <w:szCs w:val="20"/>
        </w:rPr>
        <w:fldChar w:fldCharType="separate"/>
      </w:r>
      <w:r w:rsidRPr="003736C6">
        <w:rPr>
          <w:bCs/>
          <w:iCs/>
          <w:noProof/>
          <w:sz w:val="20"/>
          <w:szCs w:val="20"/>
        </w:rPr>
        <w:t>(International Monetary Fund, 2014)</w:t>
      </w:r>
      <w:r w:rsidRPr="003736C6">
        <w:rPr>
          <w:bCs/>
          <w:iCs/>
          <w:sz w:val="20"/>
          <w:szCs w:val="20"/>
        </w:rPr>
        <w:fldChar w:fldCharType="end"/>
      </w:r>
      <w:r w:rsidRPr="003736C6">
        <w:rPr>
          <w:bCs/>
          <w:iCs/>
          <w:sz w:val="20"/>
          <w:szCs w:val="20"/>
        </w:rPr>
        <w:t xml:space="preserve">, with tax and non-tax revenues from the households and private sector used for public consumption, investment and transfers. At a functional level, expenditure is allocated for education, health, agriculture, infrastructure, etc. which represent key policy variables that the analyst can set as a desired proportion of GDP or per capita level. Additional financing needs of government are met through domestic and foreign financing. </w:t>
      </w:r>
    </w:p>
    <w:p w14:paraId="2EBE31BC" w14:textId="77777777" w:rsidR="00190CD7" w:rsidRPr="003736C6" w:rsidRDefault="00190CD7" w:rsidP="00190CD7">
      <w:pPr>
        <w:rPr>
          <w:bCs/>
          <w:iCs/>
          <w:sz w:val="20"/>
          <w:szCs w:val="20"/>
        </w:rPr>
      </w:pPr>
      <w:r w:rsidRPr="003736C6">
        <w:rPr>
          <w:bCs/>
          <w:iCs/>
          <w:sz w:val="20"/>
          <w:szCs w:val="20"/>
        </w:rPr>
        <w:t xml:space="preserve">The land sector simulates land use for different purposes based on standard land cover classifications </w:t>
      </w:r>
      <w:r w:rsidRPr="003736C6">
        <w:rPr>
          <w:bCs/>
          <w:iCs/>
          <w:sz w:val="20"/>
          <w:szCs w:val="20"/>
        </w:rPr>
        <w:fldChar w:fldCharType="begin"/>
      </w:r>
      <w:r w:rsidRPr="003736C6">
        <w:rPr>
          <w:bCs/>
          <w:iCs/>
          <w:sz w:val="20"/>
          <w:szCs w:val="20"/>
        </w:rPr>
        <w:instrText xml:space="preserve"> ADDIN EN.CITE &lt;EndNote&gt;&lt;Cite&gt;&lt;Author&gt;FAO&lt;/Author&gt;&lt;Year&gt;1998&lt;/Year&gt;&lt;RecNum&gt;1138&lt;/RecNum&gt;&lt;DisplayText&gt;(FAO, 1998)&lt;/DisplayText&gt;&lt;record&gt;&lt;rec-number&gt;1138&lt;/rec-number&gt;&lt;foreign-keys&gt;&lt;key app="EN" db-id="9vsrvaat7fadwtesfsrpw5w5t0x5v500ef25" timestamp="1565666629"&gt;1138&lt;/key&gt;&lt;/foreign-keys&gt;&lt;ref-type name="Generic"&gt;13&lt;/ref-type&gt;&lt;contributors&gt;&lt;authors&gt;&lt;author&gt;FAO,&lt;/author&gt;&lt;/authors&gt;&lt;/contributors&gt;&lt;titles&gt;&lt;title&gt;Land Cover Classification System: Classification Concepts and User Manual&lt;/title&gt;&lt;/titles&gt;&lt;dates&gt;&lt;year&gt;1998&lt;/year&gt;&lt;/dates&gt;&lt;pub-location&gt;Rome, Italy&lt;/pub-location&gt;&lt;publisher&gt;Food and Agriculture Organisation of the United Nations&lt;/publisher&gt;&lt;urls&gt;&lt;/urls&gt;&lt;/record&gt;&lt;/Cite&gt;&lt;/EndNote&gt;</w:instrText>
      </w:r>
      <w:r w:rsidRPr="003736C6">
        <w:rPr>
          <w:bCs/>
          <w:iCs/>
          <w:sz w:val="20"/>
          <w:szCs w:val="20"/>
        </w:rPr>
        <w:fldChar w:fldCharType="separate"/>
      </w:r>
      <w:r w:rsidRPr="003736C6">
        <w:rPr>
          <w:bCs/>
          <w:iCs/>
          <w:noProof/>
          <w:sz w:val="20"/>
          <w:szCs w:val="20"/>
        </w:rPr>
        <w:t>(FAO, 1998)</w:t>
      </w:r>
      <w:r w:rsidRPr="003736C6">
        <w:rPr>
          <w:bCs/>
          <w:iCs/>
          <w:sz w:val="20"/>
          <w:szCs w:val="20"/>
        </w:rPr>
        <w:fldChar w:fldCharType="end"/>
      </w:r>
      <w:r w:rsidRPr="003736C6">
        <w:rPr>
          <w:bCs/>
          <w:iCs/>
          <w:sz w:val="20"/>
          <w:szCs w:val="20"/>
        </w:rPr>
        <w:t xml:space="preserve"> and includes endogenous representation of the main factors that shift land between categories (e.g. capital, labour, population growth, protection/restoration)</w:t>
      </w:r>
      <w:r>
        <w:rPr>
          <w:bCs/>
          <w:iCs/>
          <w:sz w:val="20"/>
          <w:szCs w:val="20"/>
        </w:rPr>
        <w:t>; and the soil sector keeps track of macro nutrients and organic carbon density in the soil based on natural nutrients cycles and agriculture production.</w:t>
      </w:r>
      <w:r w:rsidRPr="003736C6">
        <w:rPr>
          <w:bCs/>
          <w:iCs/>
          <w:sz w:val="20"/>
          <w:szCs w:val="20"/>
        </w:rPr>
        <w:t xml:space="preserve"> The water demand sector simulates medium- to long-term trends in water withdrawal by major category (industry, agriculture, domestic), which is met through water supply from renewable sources in the water supply module. The energy consumption module represents major drivers of national final energy demand from economic sectors, residential, transportation and other uses.  Electricity demand is met through the electricity generation module which simulates total electricity production from fossil fuels, nuclear and renewables, with capacity expanding to meet expected future demand. The energy supply sector represents primary energy supply of gas, oil, coal, biomass and electricity based on the International Energy Agency’s energy balances </w:t>
      </w:r>
      <w:r w:rsidRPr="003736C6">
        <w:rPr>
          <w:bCs/>
          <w:iCs/>
          <w:sz w:val="20"/>
          <w:szCs w:val="20"/>
        </w:rPr>
        <w:fldChar w:fldCharType="begin"/>
      </w:r>
      <w:r w:rsidRPr="003736C6">
        <w:rPr>
          <w:bCs/>
          <w:iCs/>
          <w:sz w:val="20"/>
          <w:szCs w:val="20"/>
        </w:rPr>
        <w:instrText xml:space="preserve"> ADDIN EN.CITE &lt;EndNote&gt;&lt;Cite&gt;&lt;Author&gt;International Energy Agency&lt;/Author&gt;&lt;Year&gt;2016&lt;/Year&gt;&lt;RecNum&gt;1049&lt;/RecNum&gt;&lt;DisplayText&gt;(International Energy Agency, 2016)&lt;/DisplayText&gt;&lt;record&gt;&lt;rec-number&gt;1049&lt;/rec-number&gt;&lt;foreign-keys&gt;&lt;key app="EN" db-id="9vsrvaat7fadwtesfsrpw5w5t0x5v500ef25" timestamp="1565085520"&gt;1049&lt;/key&gt;&lt;/foreign-keys&gt;&lt;ref-type name="Dataset"&gt;59&lt;/ref-type&gt;&lt;contributors&gt;&lt;authors&gt;&lt;author&gt;International Energy Agency,&lt;/author&gt;&lt;/authors&gt;&lt;/contributors&gt;&lt;titles&gt;&lt;title&gt;Global energy database&lt;/title&gt;&lt;/titles&gt;&lt;dates&gt;&lt;year&gt;2016&lt;/year&gt;&lt;/dates&gt;&lt;pub-location&gt;Paris, France&lt;/pub-location&gt;&lt;urls&gt;&lt;related-urls&gt;&lt;url&gt;https://www.iea.org/statistics/?country=AUSTRALI&amp;amp;year=2016&amp;amp;category=Energy%20supply&amp;amp;indicator=TPESbySource&amp;amp;mode=chart&amp;amp;dataTable=BALANCES&lt;/url&gt;&lt;/related-urls&gt;&lt;/urls&gt;&lt;access-date&gt;05/02/17&lt;/access-date&gt;&lt;/record&gt;&lt;/Cite&gt;&lt;/EndNote&gt;</w:instrText>
      </w:r>
      <w:r w:rsidRPr="003736C6">
        <w:rPr>
          <w:bCs/>
          <w:iCs/>
          <w:sz w:val="20"/>
          <w:szCs w:val="20"/>
        </w:rPr>
        <w:fldChar w:fldCharType="separate"/>
      </w:r>
      <w:r w:rsidRPr="003736C6">
        <w:rPr>
          <w:bCs/>
          <w:iCs/>
          <w:noProof/>
          <w:sz w:val="20"/>
          <w:szCs w:val="20"/>
        </w:rPr>
        <w:t>(International Energy Agency, 2016)</w:t>
      </w:r>
      <w:r w:rsidRPr="003736C6">
        <w:rPr>
          <w:bCs/>
          <w:iCs/>
          <w:sz w:val="20"/>
          <w:szCs w:val="20"/>
        </w:rPr>
        <w:fldChar w:fldCharType="end"/>
      </w:r>
      <w:r w:rsidRPr="003736C6">
        <w:rPr>
          <w:bCs/>
          <w:iCs/>
          <w:sz w:val="20"/>
          <w:szCs w:val="20"/>
        </w:rPr>
        <w:t>.</w:t>
      </w:r>
      <w:r>
        <w:rPr>
          <w:bCs/>
          <w:iCs/>
          <w:sz w:val="20"/>
          <w:szCs w:val="20"/>
        </w:rPr>
        <w:t xml:space="preserve"> Demographic and economic growth and energy consumption are then used to calculate material consumption, emissions, and waste.</w:t>
      </w:r>
    </w:p>
    <w:p w14:paraId="5186C799" w14:textId="77777777" w:rsidR="00190CD7" w:rsidRPr="003736C6" w:rsidRDefault="00190CD7" w:rsidP="00190CD7">
      <w:pPr>
        <w:rPr>
          <w:bCs/>
          <w:iCs/>
          <w:sz w:val="20"/>
          <w:szCs w:val="20"/>
        </w:rPr>
      </w:pPr>
      <w:r w:rsidRPr="003736C6">
        <w:rPr>
          <w:bCs/>
          <w:iCs/>
          <w:sz w:val="20"/>
          <w:szCs w:val="20"/>
        </w:rPr>
        <w:t xml:space="preserve">Finally, SDG expenditure, financing and performance modules are used to introduce additional SDG expenditure and financing interventions, as well as calculating SDG performance at the indicator and aggregated levels. </w:t>
      </w:r>
    </w:p>
    <w:p w14:paraId="14EE6765" w14:textId="5977344C" w:rsidR="00190CD7" w:rsidRDefault="00190CD7">
      <w:pPr>
        <w:rPr>
          <w:b/>
        </w:rPr>
      </w:pPr>
      <w:r>
        <w:rPr>
          <w:b/>
        </w:rPr>
        <w:br w:type="page"/>
      </w:r>
    </w:p>
    <w:p w14:paraId="225DBD67" w14:textId="77777777" w:rsidR="001D1322" w:rsidRDefault="001D1322" w:rsidP="00E92CE0">
      <w:pPr>
        <w:rPr>
          <w:b/>
        </w:rPr>
        <w:sectPr w:rsidR="001D1322" w:rsidSect="00A37C5B">
          <w:footerReference w:type="default" r:id="rId8"/>
          <w:pgSz w:w="11906" w:h="16838"/>
          <w:pgMar w:top="1440" w:right="1440" w:bottom="1440" w:left="1440" w:header="708" w:footer="708" w:gutter="0"/>
          <w:lnNumType w:countBy="1" w:restart="continuous"/>
          <w:cols w:space="708"/>
          <w:docGrid w:linePitch="360"/>
        </w:sectPr>
      </w:pPr>
    </w:p>
    <w:p w14:paraId="6A183C48" w14:textId="409C2AF6" w:rsidR="00C71EB7" w:rsidRDefault="00CC6A21" w:rsidP="00E92CE0">
      <w:pPr>
        <w:rPr>
          <w:b/>
        </w:rPr>
      </w:pPr>
      <w:r>
        <w:rPr>
          <w:b/>
        </w:rPr>
        <w:lastRenderedPageBreak/>
        <w:t>SUPPLEMENTARY TABLE 1. SCENARIO SETTINGS</w:t>
      </w:r>
      <w:r w:rsidR="001D1322">
        <w:rPr>
          <w:b/>
        </w:rPr>
        <w:t xml:space="preserve"> – MAIN DRIVERS/ENTRY POINTS AND QUALITATIVE AND QUA</w:t>
      </w:r>
      <w:r w:rsidR="006D44BB">
        <w:rPr>
          <w:b/>
        </w:rPr>
        <w:t>NTI</w:t>
      </w:r>
      <w:r w:rsidR="001D1322">
        <w:rPr>
          <w:b/>
        </w:rPr>
        <w:t>TATIVE ASSUMPTIONS AND SETTINGS</w:t>
      </w:r>
    </w:p>
    <w:tbl>
      <w:tblPr>
        <w:tblStyle w:val="TableGrid1"/>
        <w:tblW w:w="15964" w:type="dxa"/>
        <w:tblInd w:w="-9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31"/>
        <w:gridCol w:w="1186"/>
        <w:gridCol w:w="1848"/>
        <w:gridCol w:w="1950"/>
        <w:gridCol w:w="1804"/>
        <w:gridCol w:w="1890"/>
        <w:gridCol w:w="1841"/>
        <w:gridCol w:w="1701"/>
        <w:gridCol w:w="2213"/>
      </w:tblGrid>
      <w:tr w:rsidR="00D82082" w:rsidRPr="005403DD" w14:paraId="23EEE0EF" w14:textId="77777777" w:rsidTr="00C04DFB">
        <w:trPr>
          <w:tblHeader/>
        </w:trPr>
        <w:tc>
          <w:tcPr>
            <w:tcW w:w="1531" w:type="dxa"/>
            <w:tcBorders>
              <w:top w:val="single" w:sz="4" w:space="0" w:color="auto"/>
              <w:left w:val="single" w:sz="4" w:space="0" w:color="auto"/>
              <w:bottom w:val="single" w:sz="4" w:space="0" w:color="auto"/>
              <w:right w:val="nil"/>
            </w:tcBorders>
            <w:shd w:val="clear" w:color="auto" w:fill="E7E6E6"/>
          </w:tcPr>
          <w:p w14:paraId="72C86218" w14:textId="77777777" w:rsidR="001D1322" w:rsidRPr="00755492" w:rsidRDefault="001D1322" w:rsidP="00C04DFB">
            <w:pPr>
              <w:rPr>
                <w:rFonts w:ascii="Corbel" w:eastAsia="Calibri" w:hAnsi="Corbel" w:cs="Times New Roman"/>
                <w:b/>
                <w:color w:val="000000"/>
                <w:sz w:val="16"/>
                <w:szCs w:val="16"/>
                <w:lang w:val="en-AU"/>
              </w:rPr>
            </w:pPr>
          </w:p>
        </w:tc>
        <w:tc>
          <w:tcPr>
            <w:tcW w:w="1186" w:type="dxa"/>
            <w:tcBorders>
              <w:top w:val="single" w:sz="4" w:space="0" w:color="auto"/>
              <w:left w:val="nil"/>
              <w:bottom w:val="single" w:sz="4" w:space="0" w:color="auto"/>
              <w:right w:val="nil"/>
            </w:tcBorders>
            <w:shd w:val="clear" w:color="auto" w:fill="E7E6E6"/>
          </w:tcPr>
          <w:p w14:paraId="0C6829EF" w14:textId="77777777" w:rsidR="001D1322" w:rsidRPr="00755492" w:rsidRDefault="001D1322" w:rsidP="00C04DFB">
            <w:pPr>
              <w:rPr>
                <w:rFonts w:ascii="Corbel" w:eastAsia="Calibri" w:hAnsi="Corbel" w:cs="Times New Roman"/>
                <w:b/>
                <w:color w:val="000000"/>
                <w:sz w:val="16"/>
                <w:szCs w:val="16"/>
                <w:lang w:val="en-AU"/>
              </w:rPr>
            </w:pPr>
          </w:p>
        </w:tc>
        <w:tc>
          <w:tcPr>
            <w:tcW w:w="1848" w:type="dxa"/>
            <w:tcBorders>
              <w:top w:val="single" w:sz="4" w:space="0" w:color="auto"/>
              <w:left w:val="nil"/>
              <w:bottom w:val="single" w:sz="4" w:space="0" w:color="auto"/>
              <w:right w:val="nil"/>
            </w:tcBorders>
            <w:shd w:val="clear" w:color="auto" w:fill="E7E6E6"/>
          </w:tcPr>
          <w:p w14:paraId="131D7764" w14:textId="77777777" w:rsidR="001D1322" w:rsidRPr="00755492" w:rsidRDefault="001D1322" w:rsidP="00C04DFB">
            <w:pPr>
              <w:rPr>
                <w:rFonts w:ascii="Corbel" w:eastAsia="Calibri" w:hAnsi="Corbel" w:cs="Times New Roman"/>
                <w:b/>
                <w:color w:val="000000"/>
                <w:sz w:val="16"/>
                <w:szCs w:val="16"/>
                <w:lang w:val="en-AU"/>
              </w:rPr>
            </w:pPr>
          </w:p>
        </w:tc>
        <w:tc>
          <w:tcPr>
            <w:tcW w:w="1950" w:type="dxa"/>
            <w:tcBorders>
              <w:top w:val="single" w:sz="4" w:space="0" w:color="auto"/>
              <w:left w:val="nil"/>
              <w:bottom w:val="single" w:sz="4" w:space="0" w:color="auto"/>
              <w:right w:val="nil"/>
            </w:tcBorders>
            <w:shd w:val="clear" w:color="auto" w:fill="E7E6E6"/>
          </w:tcPr>
          <w:p w14:paraId="6C79E854" w14:textId="77777777" w:rsidR="001D1322" w:rsidRPr="00755492" w:rsidRDefault="001D1322" w:rsidP="00C04DFB">
            <w:pPr>
              <w:jc w:val="center"/>
              <w:rPr>
                <w:rFonts w:ascii="Corbel" w:eastAsia="Calibri" w:hAnsi="Corbel" w:cs="Times New Roman"/>
                <w:b/>
                <w:color w:val="000000"/>
                <w:sz w:val="16"/>
                <w:szCs w:val="16"/>
                <w:lang w:val="en-AU"/>
              </w:rPr>
            </w:pPr>
          </w:p>
        </w:tc>
        <w:tc>
          <w:tcPr>
            <w:tcW w:w="1804" w:type="dxa"/>
            <w:tcBorders>
              <w:top w:val="single" w:sz="4" w:space="0" w:color="auto"/>
              <w:left w:val="nil"/>
              <w:bottom w:val="single" w:sz="4" w:space="0" w:color="auto"/>
              <w:right w:val="nil"/>
            </w:tcBorders>
            <w:shd w:val="clear" w:color="auto" w:fill="E7E6E6"/>
          </w:tcPr>
          <w:p w14:paraId="1BD2D6C7" w14:textId="77777777" w:rsidR="001D1322" w:rsidRPr="00755492" w:rsidRDefault="001D1322" w:rsidP="00C04DFB">
            <w:pPr>
              <w:jc w:val="center"/>
              <w:rPr>
                <w:rFonts w:ascii="Corbel" w:eastAsia="Calibri" w:hAnsi="Corbel" w:cs="Times New Roman"/>
                <w:b/>
                <w:color w:val="000000"/>
                <w:sz w:val="16"/>
                <w:szCs w:val="16"/>
                <w:lang w:val="en-AU"/>
              </w:rPr>
            </w:pPr>
          </w:p>
        </w:tc>
        <w:tc>
          <w:tcPr>
            <w:tcW w:w="1890" w:type="dxa"/>
            <w:tcBorders>
              <w:top w:val="single" w:sz="4" w:space="0" w:color="auto"/>
              <w:left w:val="nil"/>
              <w:bottom w:val="single" w:sz="4" w:space="0" w:color="auto"/>
              <w:right w:val="nil"/>
            </w:tcBorders>
            <w:shd w:val="clear" w:color="auto" w:fill="E7E6E6"/>
          </w:tcPr>
          <w:p w14:paraId="0286584E" w14:textId="77777777" w:rsidR="001D1322" w:rsidRPr="005403DD" w:rsidRDefault="001D1322" w:rsidP="00C04DFB">
            <w:pPr>
              <w:jc w:val="center"/>
              <w:rPr>
                <w:rFonts w:ascii="Corbel" w:eastAsia="Calibri" w:hAnsi="Corbel" w:cs="Times New Roman"/>
                <w:b/>
                <w:color w:val="000000"/>
                <w:sz w:val="16"/>
                <w:szCs w:val="16"/>
                <w:lang w:val="en-AU"/>
              </w:rPr>
            </w:pPr>
            <w:r w:rsidRPr="005403DD">
              <w:rPr>
                <w:rFonts w:ascii="Corbel" w:eastAsia="Calibri" w:hAnsi="Corbel" w:cs="Times New Roman"/>
                <w:b/>
                <w:color w:val="000000"/>
                <w:sz w:val="16"/>
                <w:szCs w:val="16"/>
                <w:lang w:val="en-AU"/>
              </w:rPr>
              <w:t>SCENARIOS</w:t>
            </w:r>
          </w:p>
        </w:tc>
        <w:tc>
          <w:tcPr>
            <w:tcW w:w="1841" w:type="dxa"/>
            <w:tcBorders>
              <w:top w:val="single" w:sz="4" w:space="0" w:color="auto"/>
              <w:left w:val="nil"/>
              <w:bottom w:val="single" w:sz="4" w:space="0" w:color="auto"/>
              <w:right w:val="nil"/>
            </w:tcBorders>
            <w:shd w:val="clear" w:color="auto" w:fill="E7E6E6"/>
          </w:tcPr>
          <w:p w14:paraId="76F64ACD" w14:textId="77777777" w:rsidR="001D1322" w:rsidRPr="005403DD" w:rsidRDefault="001D1322" w:rsidP="00C04DFB">
            <w:pPr>
              <w:jc w:val="center"/>
              <w:rPr>
                <w:rFonts w:ascii="Corbel" w:eastAsia="Calibri" w:hAnsi="Corbel" w:cs="Times New Roman"/>
                <w:b/>
                <w:color w:val="000000"/>
                <w:sz w:val="16"/>
                <w:szCs w:val="16"/>
                <w:lang w:val="en-AU"/>
              </w:rPr>
            </w:pPr>
          </w:p>
        </w:tc>
        <w:tc>
          <w:tcPr>
            <w:tcW w:w="1701" w:type="dxa"/>
            <w:tcBorders>
              <w:top w:val="single" w:sz="4" w:space="0" w:color="auto"/>
              <w:left w:val="nil"/>
              <w:bottom w:val="single" w:sz="4" w:space="0" w:color="auto"/>
              <w:right w:val="nil"/>
            </w:tcBorders>
            <w:shd w:val="clear" w:color="auto" w:fill="E7E6E6"/>
          </w:tcPr>
          <w:p w14:paraId="61A08998" w14:textId="77777777" w:rsidR="001D1322" w:rsidRPr="005403DD" w:rsidRDefault="001D1322" w:rsidP="00C04DFB">
            <w:pPr>
              <w:jc w:val="center"/>
              <w:rPr>
                <w:rFonts w:ascii="Corbel" w:eastAsia="Calibri" w:hAnsi="Corbel" w:cs="Times New Roman"/>
                <w:b/>
                <w:color w:val="000000"/>
                <w:sz w:val="16"/>
                <w:szCs w:val="16"/>
                <w:lang w:val="en-AU"/>
              </w:rPr>
            </w:pPr>
          </w:p>
        </w:tc>
        <w:tc>
          <w:tcPr>
            <w:tcW w:w="2213" w:type="dxa"/>
            <w:tcBorders>
              <w:top w:val="single" w:sz="4" w:space="0" w:color="auto"/>
              <w:left w:val="nil"/>
              <w:bottom w:val="single" w:sz="4" w:space="0" w:color="auto"/>
              <w:right w:val="single" w:sz="4" w:space="0" w:color="auto"/>
            </w:tcBorders>
            <w:shd w:val="clear" w:color="auto" w:fill="E7E6E6"/>
          </w:tcPr>
          <w:p w14:paraId="66CB6502" w14:textId="77777777" w:rsidR="001D1322" w:rsidRPr="005403DD" w:rsidRDefault="001D1322" w:rsidP="00C04DFB">
            <w:pPr>
              <w:jc w:val="center"/>
              <w:rPr>
                <w:rFonts w:ascii="Corbel" w:eastAsia="Calibri" w:hAnsi="Corbel" w:cs="Times New Roman"/>
                <w:b/>
                <w:color w:val="000000"/>
                <w:sz w:val="16"/>
                <w:szCs w:val="16"/>
                <w:lang w:val="en-AU"/>
              </w:rPr>
            </w:pPr>
          </w:p>
        </w:tc>
      </w:tr>
      <w:tr w:rsidR="00D82082" w:rsidRPr="005403DD" w14:paraId="1962CE28" w14:textId="77777777" w:rsidTr="00C04DFB">
        <w:trPr>
          <w:tblHeader/>
        </w:trPr>
        <w:tc>
          <w:tcPr>
            <w:tcW w:w="1531" w:type="dxa"/>
            <w:tcBorders>
              <w:top w:val="single" w:sz="4" w:space="0" w:color="auto"/>
              <w:left w:val="single" w:sz="4" w:space="0" w:color="auto"/>
              <w:bottom w:val="nil"/>
            </w:tcBorders>
            <w:shd w:val="clear" w:color="auto" w:fill="E7E6E6"/>
          </w:tcPr>
          <w:p w14:paraId="1E37F72F" w14:textId="77777777" w:rsidR="001D1322" w:rsidRPr="005403DD" w:rsidRDefault="001D1322" w:rsidP="00C04DFB">
            <w:pPr>
              <w:rPr>
                <w:rFonts w:ascii="Corbel" w:eastAsia="Calibri" w:hAnsi="Corbel" w:cs="Times New Roman"/>
                <w:b/>
                <w:sz w:val="16"/>
                <w:szCs w:val="16"/>
                <w:lang w:val="en-AU"/>
              </w:rPr>
            </w:pPr>
          </w:p>
        </w:tc>
        <w:tc>
          <w:tcPr>
            <w:tcW w:w="1186" w:type="dxa"/>
            <w:tcBorders>
              <w:top w:val="single" w:sz="4" w:space="0" w:color="auto"/>
              <w:bottom w:val="nil"/>
            </w:tcBorders>
            <w:shd w:val="clear" w:color="auto" w:fill="E7E6E6"/>
          </w:tcPr>
          <w:p w14:paraId="64128F0D" w14:textId="77777777" w:rsidR="001D1322" w:rsidRPr="005403DD" w:rsidRDefault="001D1322" w:rsidP="00C04DFB">
            <w:pPr>
              <w:rPr>
                <w:rFonts w:ascii="Corbel" w:eastAsia="Calibri" w:hAnsi="Corbel" w:cs="Times New Roman"/>
                <w:b/>
                <w:sz w:val="16"/>
                <w:szCs w:val="16"/>
                <w:lang w:val="en-AU"/>
              </w:rPr>
            </w:pPr>
          </w:p>
        </w:tc>
        <w:tc>
          <w:tcPr>
            <w:tcW w:w="1848" w:type="dxa"/>
            <w:tcBorders>
              <w:top w:val="single" w:sz="4" w:space="0" w:color="auto"/>
              <w:bottom w:val="nil"/>
              <w:right w:val="single" w:sz="4" w:space="0" w:color="auto"/>
            </w:tcBorders>
            <w:shd w:val="clear" w:color="auto" w:fill="E7E6E6"/>
          </w:tcPr>
          <w:p w14:paraId="3706E2C7" w14:textId="77777777" w:rsidR="001D1322" w:rsidRPr="005403DD" w:rsidRDefault="001D1322" w:rsidP="00C04DFB">
            <w:pPr>
              <w:rPr>
                <w:rFonts w:ascii="Corbel" w:eastAsia="Calibri" w:hAnsi="Corbel" w:cs="Times New Roman"/>
                <w:b/>
                <w:sz w:val="16"/>
                <w:szCs w:val="16"/>
                <w:lang w:val="en-AU"/>
              </w:rPr>
            </w:pPr>
          </w:p>
        </w:tc>
        <w:tc>
          <w:tcPr>
            <w:tcW w:w="1950" w:type="dxa"/>
            <w:tcBorders>
              <w:top w:val="single" w:sz="4" w:space="0" w:color="auto"/>
              <w:left w:val="single" w:sz="4" w:space="0" w:color="auto"/>
            </w:tcBorders>
            <w:shd w:val="clear" w:color="auto" w:fill="E7E6E6"/>
          </w:tcPr>
          <w:p w14:paraId="1E36CC34" w14:textId="77777777"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SSP5, SSP4</w:t>
            </w:r>
          </w:p>
        </w:tc>
        <w:tc>
          <w:tcPr>
            <w:tcW w:w="1804" w:type="dxa"/>
            <w:tcBorders>
              <w:top w:val="single" w:sz="4" w:space="0" w:color="auto"/>
            </w:tcBorders>
            <w:shd w:val="clear" w:color="auto" w:fill="E7E6E6"/>
          </w:tcPr>
          <w:p w14:paraId="3744AD8D" w14:textId="77777777"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SSP2 + SSP1 (ENV)</w:t>
            </w:r>
          </w:p>
        </w:tc>
        <w:tc>
          <w:tcPr>
            <w:tcW w:w="1890" w:type="dxa"/>
            <w:tcBorders>
              <w:top w:val="single" w:sz="4" w:space="0" w:color="auto"/>
            </w:tcBorders>
            <w:shd w:val="clear" w:color="auto" w:fill="E7E6E6"/>
          </w:tcPr>
          <w:p w14:paraId="60C2B8B6" w14:textId="77777777" w:rsidR="001D1322" w:rsidRPr="005403DD" w:rsidRDefault="001D1322" w:rsidP="00C04DFB">
            <w:pPr>
              <w:jc w:val="center"/>
              <w:rPr>
                <w:rFonts w:ascii="Corbel" w:eastAsia="Calibri" w:hAnsi="Corbel" w:cs="Times New Roman"/>
                <w:b/>
                <w:color w:val="000000"/>
                <w:sz w:val="16"/>
                <w:szCs w:val="16"/>
                <w:lang w:val="en-AU"/>
              </w:rPr>
            </w:pPr>
            <w:r w:rsidRPr="005403DD">
              <w:rPr>
                <w:rFonts w:ascii="Corbel" w:eastAsia="Calibri" w:hAnsi="Corbel" w:cs="Times New Roman"/>
                <w:b/>
                <w:color w:val="000000"/>
                <w:sz w:val="16"/>
                <w:szCs w:val="16"/>
                <w:lang w:val="en-AU"/>
              </w:rPr>
              <w:t>BAU (SSP2)</w:t>
            </w:r>
          </w:p>
        </w:tc>
        <w:tc>
          <w:tcPr>
            <w:tcW w:w="1841" w:type="dxa"/>
            <w:tcBorders>
              <w:top w:val="single" w:sz="4" w:space="0" w:color="auto"/>
            </w:tcBorders>
            <w:shd w:val="clear" w:color="auto" w:fill="E7E6E6"/>
          </w:tcPr>
          <w:p w14:paraId="29350AB1" w14:textId="77777777"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SSP5 + SSP1(EQUALITY)</w:t>
            </w:r>
          </w:p>
        </w:tc>
        <w:tc>
          <w:tcPr>
            <w:tcW w:w="1701" w:type="dxa"/>
            <w:tcBorders>
              <w:top w:val="single" w:sz="4" w:space="0" w:color="auto"/>
              <w:right w:val="single" w:sz="4" w:space="0" w:color="auto"/>
            </w:tcBorders>
            <w:shd w:val="clear" w:color="auto" w:fill="E7E6E6"/>
          </w:tcPr>
          <w:p w14:paraId="72E7E357" w14:textId="77777777"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SSP1</w:t>
            </w:r>
          </w:p>
        </w:tc>
        <w:tc>
          <w:tcPr>
            <w:tcW w:w="2213" w:type="dxa"/>
            <w:tcBorders>
              <w:top w:val="single" w:sz="4" w:space="0" w:color="auto"/>
              <w:left w:val="single" w:sz="4" w:space="0" w:color="auto"/>
              <w:bottom w:val="nil"/>
              <w:right w:val="single" w:sz="4" w:space="0" w:color="auto"/>
            </w:tcBorders>
            <w:shd w:val="clear" w:color="auto" w:fill="E7E6E6"/>
          </w:tcPr>
          <w:p w14:paraId="450985E7" w14:textId="77777777" w:rsidR="001D1322" w:rsidRPr="005403DD" w:rsidRDefault="001D1322" w:rsidP="00C04DFB">
            <w:pPr>
              <w:jc w:val="center"/>
              <w:rPr>
                <w:rFonts w:ascii="Corbel" w:eastAsia="Calibri" w:hAnsi="Corbel" w:cs="Times New Roman"/>
                <w:b/>
                <w:sz w:val="16"/>
                <w:szCs w:val="16"/>
                <w:lang w:val="en-AU"/>
              </w:rPr>
            </w:pPr>
          </w:p>
        </w:tc>
      </w:tr>
      <w:tr w:rsidR="00D82082" w:rsidRPr="005403DD" w14:paraId="2BAEF32A" w14:textId="77777777" w:rsidTr="00C04DFB">
        <w:trPr>
          <w:tblHeader/>
        </w:trPr>
        <w:tc>
          <w:tcPr>
            <w:tcW w:w="1531" w:type="dxa"/>
            <w:tcBorders>
              <w:top w:val="nil"/>
              <w:left w:val="single" w:sz="4" w:space="0" w:color="auto"/>
            </w:tcBorders>
            <w:shd w:val="clear" w:color="auto" w:fill="E7E6E6"/>
          </w:tcPr>
          <w:p w14:paraId="7E8B82D5" w14:textId="77777777" w:rsidR="001D1322" w:rsidRPr="005403DD" w:rsidRDefault="001D1322" w:rsidP="00C04DFB">
            <w:pPr>
              <w:rPr>
                <w:rFonts w:ascii="Corbel" w:eastAsia="Calibri" w:hAnsi="Corbel" w:cs="Times New Roman"/>
                <w:b/>
                <w:sz w:val="16"/>
                <w:szCs w:val="16"/>
                <w:lang w:val="en-AU"/>
              </w:rPr>
            </w:pPr>
            <w:r w:rsidRPr="005403DD">
              <w:rPr>
                <w:rFonts w:ascii="Corbel" w:eastAsia="Calibri" w:hAnsi="Corbel" w:cs="Times New Roman"/>
                <w:b/>
                <w:sz w:val="16"/>
                <w:szCs w:val="16"/>
                <w:lang w:val="en-AU"/>
              </w:rPr>
              <w:t>Drivers</w:t>
            </w:r>
          </w:p>
        </w:tc>
        <w:tc>
          <w:tcPr>
            <w:tcW w:w="1186" w:type="dxa"/>
            <w:tcBorders>
              <w:top w:val="nil"/>
            </w:tcBorders>
            <w:shd w:val="clear" w:color="auto" w:fill="E7E6E6"/>
          </w:tcPr>
          <w:p w14:paraId="49272F52" w14:textId="77777777" w:rsidR="001D1322" w:rsidRPr="005403DD" w:rsidRDefault="001D1322" w:rsidP="00C04DFB">
            <w:pPr>
              <w:rPr>
                <w:rFonts w:ascii="Corbel" w:eastAsia="Calibri" w:hAnsi="Corbel" w:cs="Times New Roman"/>
                <w:b/>
                <w:sz w:val="16"/>
                <w:szCs w:val="16"/>
                <w:lang w:val="en-AU"/>
              </w:rPr>
            </w:pPr>
            <w:r w:rsidRPr="005403DD">
              <w:rPr>
                <w:rFonts w:ascii="Corbel" w:eastAsia="Calibri" w:hAnsi="Corbel" w:cs="Times New Roman"/>
                <w:b/>
                <w:sz w:val="16"/>
                <w:szCs w:val="16"/>
                <w:lang w:val="en-AU"/>
              </w:rPr>
              <w:t>Assumption/ Policy</w:t>
            </w:r>
          </w:p>
        </w:tc>
        <w:tc>
          <w:tcPr>
            <w:tcW w:w="1848" w:type="dxa"/>
            <w:tcBorders>
              <w:top w:val="nil"/>
              <w:right w:val="single" w:sz="4" w:space="0" w:color="auto"/>
            </w:tcBorders>
            <w:shd w:val="clear" w:color="auto" w:fill="E7E6E6"/>
          </w:tcPr>
          <w:p w14:paraId="7F4F460F" w14:textId="77777777" w:rsidR="001D1322" w:rsidRPr="005403DD" w:rsidRDefault="001D1322" w:rsidP="00C04DFB">
            <w:pPr>
              <w:rPr>
                <w:rFonts w:ascii="Corbel" w:eastAsia="Calibri" w:hAnsi="Corbel" w:cs="Times New Roman"/>
                <w:b/>
                <w:sz w:val="16"/>
                <w:szCs w:val="16"/>
                <w:lang w:val="en-AU"/>
              </w:rPr>
            </w:pPr>
            <w:r w:rsidRPr="005403DD">
              <w:rPr>
                <w:rFonts w:ascii="Corbel" w:eastAsia="Calibri" w:hAnsi="Corbel" w:cs="Times New Roman"/>
                <w:b/>
                <w:sz w:val="16"/>
                <w:szCs w:val="16"/>
                <w:lang w:val="en-AU"/>
              </w:rPr>
              <w:t>Attributes</w:t>
            </w:r>
          </w:p>
        </w:tc>
        <w:tc>
          <w:tcPr>
            <w:tcW w:w="1950" w:type="dxa"/>
            <w:tcBorders>
              <w:left w:val="single" w:sz="4" w:space="0" w:color="auto"/>
            </w:tcBorders>
            <w:shd w:val="clear" w:color="auto" w:fill="E7E6E6"/>
          </w:tcPr>
          <w:p w14:paraId="1F3FB585" w14:textId="77777777"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1. Growth at all Cost</w:t>
            </w:r>
          </w:p>
        </w:tc>
        <w:tc>
          <w:tcPr>
            <w:tcW w:w="1804" w:type="dxa"/>
            <w:shd w:val="clear" w:color="auto" w:fill="E7E6E6"/>
          </w:tcPr>
          <w:p w14:paraId="6A2383C2" w14:textId="77777777"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2. Green Economy</w:t>
            </w:r>
          </w:p>
        </w:tc>
        <w:tc>
          <w:tcPr>
            <w:tcW w:w="1890" w:type="dxa"/>
            <w:shd w:val="clear" w:color="auto" w:fill="E7E6E6"/>
          </w:tcPr>
          <w:p w14:paraId="6F829E83" w14:textId="77777777" w:rsidR="001D1322" w:rsidRPr="005403DD" w:rsidRDefault="001D1322" w:rsidP="00C04DFB">
            <w:pPr>
              <w:jc w:val="center"/>
              <w:rPr>
                <w:rFonts w:ascii="Corbel" w:eastAsia="Calibri" w:hAnsi="Corbel" w:cs="Times New Roman"/>
                <w:b/>
                <w:color w:val="000000"/>
                <w:sz w:val="16"/>
                <w:szCs w:val="16"/>
                <w:lang w:val="en-AU"/>
              </w:rPr>
            </w:pPr>
            <w:r w:rsidRPr="005403DD">
              <w:rPr>
                <w:rFonts w:ascii="Corbel" w:eastAsia="Calibri" w:hAnsi="Corbel" w:cs="Times New Roman"/>
                <w:b/>
                <w:color w:val="000000"/>
                <w:sz w:val="16"/>
                <w:szCs w:val="16"/>
                <w:lang w:val="en-AU"/>
              </w:rPr>
              <w:t xml:space="preserve"> BAU projected values for 2030</w:t>
            </w:r>
          </w:p>
        </w:tc>
        <w:tc>
          <w:tcPr>
            <w:tcW w:w="1841" w:type="dxa"/>
            <w:shd w:val="clear" w:color="auto" w:fill="E7E6E6"/>
          </w:tcPr>
          <w:p w14:paraId="0107FD28" w14:textId="77777777"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3. Inclusive Growth</w:t>
            </w:r>
          </w:p>
        </w:tc>
        <w:tc>
          <w:tcPr>
            <w:tcW w:w="1701" w:type="dxa"/>
            <w:tcBorders>
              <w:right w:val="single" w:sz="4" w:space="0" w:color="auto"/>
            </w:tcBorders>
            <w:shd w:val="clear" w:color="auto" w:fill="E7E6E6"/>
          </w:tcPr>
          <w:p w14:paraId="7C4CB2D4" w14:textId="77777777" w:rsidR="000F19A6"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 xml:space="preserve">4. Sustainability Transition; </w:t>
            </w:r>
          </w:p>
          <w:p w14:paraId="259A44B2" w14:textId="77777777" w:rsidR="000F19A6"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 xml:space="preserve">5. </w:t>
            </w:r>
            <w:r w:rsidRPr="00DE5D4D">
              <w:rPr>
                <w:rFonts w:ascii="Corbel" w:eastAsia="Calibri" w:hAnsi="Corbel" w:cs="Times New Roman"/>
                <w:b/>
                <w:sz w:val="16"/>
                <w:szCs w:val="16"/>
                <w:shd w:val="clear" w:color="auto" w:fill="ED7D31" w:themeFill="accent2"/>
                <w:lang w:val="en-AU"/>
              </w:rPr>
              <w:t>ST_CLIMATE</w:t>
            </w:r>
            <w:r w:rsidRPr="005403DD">
              <w:rPr>
                <w:rFonts w:ascii="Corbel" w:eastAsia="Calibri" w:hAnsi="Corbel" w:cs="Times New Roman"/>
                <w:b/>
                <w:sz w:val="16"/>
                <w:szCs w:val="16"/>
                <w:lang w:val="en-AU"/>
              </w:rPr>
              <w:t xml:space="preserve">; </w:t>
            </w:r>
          </w:p>
          <w:p w14:paraId="2A879ADC" w14:textId="257571C4"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sz w:val="16"/>
                <w:szCs w:val="16"/>
                <w:lang w:val="en-AU"/>
              </w:rPr>
              <w:t xml:space="preserve">6. </w:t>
            </w:r>
            <w:r w:rsidRPr="00DE5D4D">
              <w:rPr>
                <w:rFonts w:ascii="Corbel" w:eastAsia="Calibri" w:hAnsi="Corbel" w:cs="Times New Roman"/>
                <w:b/>
                <w:sz w:val="16"/>
                <w:szCs w:val="16"/>
                <w:shd w:val="clear" w:color="auto" w:fill="B4C6E7" w:themeFill="accent1" w:themeFillTint="66"/>
                <w:lang w:val="en-AU"/>
              </w:rPr>
              <w:t>ST_SDG</w:t>
            </w:r>
          </w:p>
        </w:tc>
        <w:tc>
          <w:tcPr>
            <w:tcW w:w="2213" w:type="dxa"/>
            <w:tcBorders>
              <w:top w:val="nil"/>
              <w:left w:val="single" w:sz="4" w:space="0" w:color="auto"/>
              <w:bottom w:val="single" w:sz="4" w:space="0" w:color="auto"/>
              <w:right w:val="single" w:sz="4" w:space="0" w:color="auto"/>
            </w:tcBorders>
            <w:shd w:val="clear" w:color="auto" w:fill="E7E6E6"/>
          </w:tcPr>
          <w:p w14:paraId="2F4CADA9" w14:textId="77777777" w:rsidR="001D1322" w:rsidRPr="005403DD" w:rsidRDefault="001D1322" w:rsidP="00C04DFB">
            <w:pPr>
              <w:jc w:val="center"/>
              <w:rPr>
                <w:rFonts w:ascii="Corbel" w:eastAsia="Calibri" w:hAnsi="Corbel" w:cs="Times New Roman"/>
                <w:b/>
                <w:sz w:val="16"/>
                <w:szCs w:val="16"/>
                <w:lang w:val="en-AU"/>
              </w:rPr>
            </w:pPr>
            <w:r w:rsidRPr="005403DD">
              <w:rPr>
                <w:rFonts w:ascii="Corbel" w:eastAsia="Calibri" w:hAnsi="Corbel" w:cs="Times New Roman"/>
                <w:b/>
                <w:color w:val="000000"/>
                <w:sz w:val="16"/>
                <w:szCs w:val="16"/>
                <w:lang w:val="en-AU"/>
              </w:rPr>
              <w:t>Source/Notes for Quantitative Settings</w:t>
            </w:r>
          </w:p>
        </w:tc>
      </w:tr>
      <w:tr w:rsidR="001D1322" w:rsidRPr="005403DD" w14:paraId="3A197E37" w14:textId="77777777" w:rsidTr="00C04DFB">
        <w:tc>
          <w:tcPr>
            <w:tcW w:w="1531" w:type="dxa"/>
            <w:tcBorders>
              <w:left w:val="single" w:sz="4" w:space="0" w:color="auto"/>
            </w:tcBorders>
          </w:tcPr>
          <w:p w14:paraId="71B36E6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b/>
                <w:sz w:val="16"/>
                <w:szCs w:val="16"/>
                <w:lang w:val="en-AU"/>
              </w:rPr>
              <w:t>1. Demographics</w:t>
            </w:r>
          </w:p>
        </w:tc>
        <w:tc>
          <w:tcPr>
            <w:tcW w:w="1186" w:type="dxa"/>
          </w:tcPr>
          <w:p w14:paraId="0B9E78D0"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598D7F47"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Population growth</w:t>
            </w:r>
          </w:p>
        </w:tc>
        <w:tc>
          <w:tcPr>
            <w:tcW w:w="1950" w:type="dxa"/>
            <w:tcBorders>
              <w:left w:val="single" w:sz="4" w:space="0" w:color="auto"/>
            </w:tcBorders>
          </w:tcPr>
          <w:p w14:paraId="2458BE1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04" w:type="dxa"/>
          </w:tcPr>
          <w:p w14:paraId="7B80E5B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90" w:type="dxa"/>
            <w:shd w:val="clear" w:color="auto" w:fill="E7E6E6"/>
          </w:tcPr>
          <w:p w14:paraId="1AF8D51A" w14:textId="77777777" w:rsidR="001D1322" w:rsidRPr="005403DD" w:rsidRDefault="001D1322" w:rsidP="00C04DFB">
            <w:pPr>
              <w:jc w:val="center"/>
              <w:rPr>
                <w:rFonts w:ascii="Corbel" w:eastAsia="Calibri" w:hAnsi="Corbel" w:cs="Times New Roman"/>
                <w:color w:val="000000"/>
                <w:sz w:val="16"/>
                <w:szCs w:val="16"/>
                <w:lang w:val="en-AU"/>
              </w:rPr>
            </w:pPr>
            <w:r w:rsidRPr="005403DD">
              <w:rPr>
                <w:rFonts w:ascii="Corbel" w:eastAsia="Calibri" w:hAnsi="Corbel" w:cs="Times New Roman"/>
                <w:color w:val="000000"/>
                <w:sz w:val="16"/>
                <w:szCs w:val="16"/>
                <w:lang w:val="en-AU"/>
              </w:rPr>
              <w:t>Existing trends</w:t>
            </w:r>
          </w:p>
          <w:p w14:paraId="57140E9A" w14:textId="77777777" w:rsidR="001D1322" w:rsidRPr="005403DD" w:rsidRDefault="001D1322" w:rsidP="00C04DFB">
            <w:pPr>
              <w:jc w:val="center"/>
              <w:rPr>
                <w:rFonts w:ascii="Corbel" w:eastAsia="Calibri" w:hAnsi="Corbel" w:cs="Times New Roman"/>
                <w:color w:val="000000"/>
                <w:sz w:val="16"/>
                <w:szCs w:val="16"/>
                <w:lang w:val="en-AU"/>
              </w:rPr>
            </w:pPr>
            <w:r w:rsidRPr="005403DD">
              <w:rPr>
                <w:rFonts w:ascii="Corbel" w:eastAsia="Calibri" w:hAnsi="Corbel" w:cs="Times New Roman"/>
                <w:color w:val="000000"/>
                <w:sz w:val="16"/>
                <w:szCs w:val="16"/>
                <w:lang w:val="en-AU"/>
              </w:rPr>
              <w:t>[971,306]</w:t>
            </w:r>
          </w:p>
        </w:tc>
        <w:tc>
          <w:tcPr>
            <w:tcW w:w="1841" w:type="dxa"/>
          </w:tcPr>
          <w:p w14:paraId="378100B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701" w:type="dxa"/>
            <w:tcBorders>
              <w:right w:val="single" w:sz="4" w:space="0" w:color="auto"/>
            </w:tcBorders>
          </w:tcPr>
          <w:p w14:paraId="6B052CF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2213" w:type="dxa"/>
            <w:tcBorders>
              <w:top w:val="single" w:sz="4" w:space="0" w:color="auto"/>
              <w:left w:val="single" w:sz="4" w:space="0" w:color="auto"/>
              <w:bottom w:val="single" w:sz="4" w:space="0" w:color="auto"/>
              <w:right w:val="single" w:sz="4" w:space="0" w:color="auto"/>
            </w:tcBorders>
          </w:tcPr>
          <w:p w14:paraId="409BF52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78071D88" w14:textId="77777777" w:rsidTr="00C04DFB">
        <w:tc>
          <w:tcPr>
            <w:tcW w:w="1531" w:type="dxa"/>
            <w:tcBorders>
              <w:left w:val="single" w:sz="4" w:space="0" w:color="auto"/>
            </w:tcBorders>
          </w:tcPr>
          <w:p w14:paraId="7F0BC6AA" w14:textId="77777777" w:rsidR="001D1322" w:rsidRPr="005403DD" w:rsidRDefault="001D1322" w:rsidP="00C04DFB">
            <w:pPr>
              <w:rPr>
                <w:rFonts w:ascii="Corbel" w:eastAsia="Calibri" w:hAnsi="Corbel" w:cs="Times New Roman"/>
                <w:sz w:val="16"/>
                <w:szCs w:val="16"/>
                <w:lang w:val="en-AU"/>
              </w:rPr>
            </w:pPr>
          </w:p>
        </w:tc>
        <w:tc>
          <w:tcPr>
            <w:tcW w:w="1186" w:type="dxa"/>
          </w:tcPr>
          <w:p w14:paraId="01D15AED"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5799F09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Fertility</w:t>
            </w:r>
          </w:p>
        </w:tc>
        <w:tc>
          <w:tcPr>
            <w:tcW w:w="1950" w:type="dxa"/>
            <w:tcBorders>
              <w:left w:val="single" w:sz="4" w:space="0" w:color="auto"/>
            </w:tcBorders>
          </w:tcPr>
          <w:p w14:paraId="47B0B1E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 (~2.7)</w:t>
            </w:r>
          </w:p>
        </w:tc>
        <w:tc>
          <w:tcPr>
            <w:tcW w:w="1804" w:type="dxa"/>
          </w:tcPr>
          <w:p w14:paraId="60A6710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 (~2.7)</w:t>
            </w:r>
          </w:p>
        </w:tc>
        <w:tc>
          <w:tcPr>
            <w:tcW w:w="1890" w:type="dxa"/>
            <w:shd w:val="clear" w:color="auto" w:fill="E7E6E6"/>
          </w:tcPr>
          <w:p w14:paraId="6C4A8ED3" w14:textId="77777777" w:rsidR="001D1322" w:rsidRPr="005403DD" w:rsidRDefault="001D1322" w:rsidP="00C04DFB">
            <w:pPr>
              <w:jc w:val="center"/>
              <w:rPr>
                <w:rFonts w:ascii="Corbel" w:eastAsia="Calibri" w:hAnsi="Corbel" w:cs="Times New Roman"/>
                <w:color w:val="000000"/>
                <w:sz w:val="16"/>
                <w:szCs w:val="16"/>
                <w:lang w:val="en-AU"/>
              </w:rPr>
            </w:pPr>
            <w:r w:rsidRPr="005403DD">
              <w:rPr>
                <w:rFonts w:ascii="Corbel" w:eastAsia="Calibri" w:hAnsi="Corbel" w:cs="Times New Roman"/>
                <w:color w:val="000000"/>
                <w:sz w:val="16"/>
                <w:szCs w:val="16"/>
                <w:lang w:val="en-AU"/>
              </w:rPr>
              <w:t>Existing trends</w:t>
            </w:r>
          </w:p>
          <w:p w14:paraId="035635D5" w14:textId="77777777" w:rsidR="001D1322" w:rsidRPr="005403DD" w:rsidRDefault="001D1322" w:rsidP="00C04DFB">
            <w:pPr>
              <w:jc w:val="center"/>
              <w:rPr>
                <w:rFonts w:ascii="Corbel" w:eastAsia="Calibri" w:hAnsi="Corbel" w:cs="Times New Roman"/>
                <w:color w:val="000000"/>
                <w:sz w:val="16"/>
                <w:szCs w:val="16"/>
                <w:lang w:val="en-AU"/>
              </w:rPr>
            </w:pPr>
            <w:r w:rsidRPr="005403DD">
              <w:rPr>
                <w:rFonts w:ascii="Corbel" w:eastAsia="Calibri" w:hAnsi="Corbel" w:cs="Times New Roman"/>
                <w:color w:val="000000"/>
                <w:sz w:val="16"/>
                <w:szCs w:val="16"/>
                <w:lang w:val="en-AU"/>
              </w:rPr>
              <w:t>[2.7]</w:t>
            </w:r>
          </w:p>
        </w:tc>
        <w:tc>
          <w:tcPr>
            <w:tcW w:w="1841" w:type="dxa"/>
          </w:tcPr>
          <w:p w14:paraId="1D5BE58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 (~2.7)</w:t>
            </w:r>
          </w:p>
        </w:tc>
        <w:tc>
          <w:tcPr>
            <w:tcW w:w="1701" w:type="dxa"/>
            <w:tcBorders>
              <w:right w:val="single" w:sz="4" w:space="0" w:color="auto"/>
            </w:tcBorders>
          </w:tcPr>
          <w:p w14:paraId="69821C6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 (2.7)</w:t>
            </w:r>
          </w:p>
        </w:tc>
        <w:tc>
          <w:tcPr>
            <w:tcW w:w="2213" w:type="dxa"/>
            <w:tcBorders>
              <w:top w:val="single" w:sz="4" w:space="0" w:color="auto"/>
              <w:left w:val="single" w:sz="4" w:space="0" w:color="auto"/>
              <w:bottom w:val="single" w:sz="4" w:space="0" w:color="auto"/>
              <w:right w:val="single" w:sz="4" w:space="0" w:color="auto"/>
            </w:tcBorders>
          </w:tcPr>
          <w:p w14:paraId="3F886E8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UN population</w:t>
            </w:r>
          </w:p>
          <w:p w14:paraId="7004824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fertility data for Fiji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&lt;EndNote&gt;&lt;Cite&gt;&lt;Author&gt;United Nations&lt;/Author&gt;&lt;Year&gt;2019&lt;/Year&gt;&lt;RecNum&gt;1159&lt;/RecNum&gt;&lt;DisplayText&gt;(United Nations, 2019)&lt;/DisplayText&gt;&lt;record&gt;&lt;rec-number&gt;1159&lt;/rec-number&gt;&lt;foreign-keys&gt;&lt;key app="EN" db-id="9vsrvaat7fadwtesfsrpw5w5t0x5v500ef25" timestamp="1574310366"&gt;1159&lt;/key&gt;&lt;/foreign-keys&gt;&lt;ref-type name="Dataset"&gt;59&lt;/ref-type&gt;&lt;contributors&gt;&lt;authors&gt;&lt;author&gt;United Nations,&lt;/author&gt;&lt;/authors&gt;&lt;secondary-authors&gt;&lt;author&gt;UNDESA Population Division&lt;/author&gt;&lt;/secondary-authors&gt;&lt;/contributors&gt;&lt;titles&gt;&lt;title&gt;World Population Prospects&lt;/title&gt;&lt;/titles&gt;&lt;dates&gt;&lt;year&gt;2019&lt;/year&gt;&lt;/dates&gt;&lt;pub-location&gt;New York&lt;/pub-location&gt;&lt;publisher&gt;UN Population Division&lt;/publisher&gt;&lt;urls&gt;&lt;related-urls&gt;&lt;url&gt;https://population.un.org/wpp/&lt;/url&gt;&lt;/related-urls&gt;&lt;/urls&gt;&lt;/record&gt;&lt;/Cite&gt;&lt;/EndNote&gt;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(United Nations, 2019)</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parameterised based on historic values (max 3.5; min 2.75).</w:t>
            </w:r>
          </w:p>
        </w:tc>
      </w:tr>
      <w:tr w:rsidR="001D1322" w:rsidRPr="005403DD" w14:paraId="4B6168BB" w14:textId="77777777" w:rsidTr="00C04DFB">
        <w:tc>
          <w:tcPr>
            <w:tcW w:w="1531" w:type="dxa"/>
            <w:tcBorders>
              <w:left w:val="single" w:sz="4" w:space="0" w:color="auto"/>
            </w:tcBorders>
          </w:tcPr>
          <w:p w14:paraId="4404E3B7" w14:textId="77777777" w:rsidR="001D1322" w:rsidRPr="005403DD" w:rsidRDefault="001D1322" w:rsidP="00C04DFB">
            <w:pPr>
              <w:rPr>
                <w:rFonts w:ascii="Corbel" w:eastAsia="Calibri" w:hAnsi="Corbel" w:cs="Times New Roman"/>
                <w:sz w:val="16"/>
                <w:szCs w:val="16"/>
                <w:lang w:val="en-AU"/>
              </w:rPr>
            </w:pPr>
          </w:p>
        </w:tc>
        <w:tc>
          <w:tcPr>
            <w:tcW w:w="1186" w:type="dxa"/>
          </w:tcPr>
          <w:p w14:paraId="0AA0C052"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53FEBF49"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Mortality</w:t>
            </w:r>
          </w:p>
        </w:tc>
        <w:tc>
          <w:tcPr>
            <w:tcW w:w="1950" w:type="dxa"/>
            <w:tcBorders>
              <w:left w:val="single" w:sz="4" w:space="0" w:color="auto"/>
            </w:tcBorders>
          </w:tcPr>
          <w:p w14:paraId="6EFD47E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04" w:type="dxa"/>
          </w:tcPr>
          <w:p w14:paraId="05BB865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90" w:type="dxa"/>
            <w:shd w:val="clear" w:color="auto" w:fill="E7E6E6"/>
          </w:tcPr>
          <w:p w14:paraId="061C8368" w14:textId="77777777" w:rsidR="001D1322" w:rsidRPr="005403DD" w:rsidRDefault="001D1322" w:rsidP="00C04DFB">
            <w:pPr>
              <w:jc w:val="center"/>
              <w:rPr>
                <w:rFonts w:ascii="Corbel" w:eastAsia="Calibri" w:hAnsi="Corbel" w:cs="Times New Roman"/>
                <w:color w:val="000000"/>
                <w:sz w:val="16"/>
                <w:szCs w:val="16"/>
                <w:lang w:val="en-AU"/>
              </w:rPr>
            </w:pPr>
            <w:r w:rsidRPr="005403DD">
              <w:rPr>
                <w:rFonts w:ascii="Corbel" w:eastAsia="Calibri" w:hAnsi="Corbel" w:cs="Times New Roman"/>
                <w:color w:val="000000"/>
                <w:sz w:val="16"/>
                <w:szCs w:val="16"/>
                <w:lang w:val="en-AU"/>
              </w:rPr>
              <w:t>Existing trends</w:t>
            </w:r>
          </w:p>
          <w:p w14:paraId="0EE9E62E" w14:textId="77777777" w:rsidR="001D1322" w:rsidRPr="005403DD" w:rsidRDefault="001D1322" w:rsidP="00C04DFB">
            <w:pPr>
              <w:jc w:val="center"/>
              <w:rPr>
                <w:rFonts w:ascii="Corbel" w:eastAsia="Calibri" w:hAnsi="Corbel" w:cs="Times New Roman"/>
                <w:color w:val="000000"/>
                <w:sz w:val="16"/>
                <w:szCs w:val="16"/>
                <w:lang w:val="en-AU"/>
              </w:rPr>
            </w:pPr>
          </w:p>
        </w:tc>
        <w:tc>
          <w:tcPr>
            <w:tcW w:w="1841" w:type="dxa"/>
          </w:tcPr>
          <w:p w14:paraId="3E302B6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tc>
        <w:tc>
          <w:tcPr>
            <w:tcW w:w="1701" w:type="dxa"/>
            <w:tcBorders>
              <w:right w:val="single" w:sz="4" w:space="0" w:color="auto"/>
            </w:tcBorders>
          </w:tcPr>
          <w:p w14:paraId="58FF080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tc>
        <w:tc>
          <w:tcPr>
            <w:tcW w:w="2213" w:type="dxa"/>
            <w:tcBorders>
              <w:top w:val="single" w:sz="4" w:space="0" w:color="auto"/>
              <w:left w:val="single" w:sz="4" w:space="0" w:color="auto"/>
              <w:bottom w:val="single" w:sz="4" w:space="0" w:color="auto"/>
              <w:right w:val="single" w:sz="4" w:space="0" w:color="auto"/>
            </w:tcBorders>
          </w:tcPr>
          <w:p w14:paraId="4AE4ECE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48EEE7B3" w14:textId="77777777" w:rsidTr="00C04DFB">
        <w:tc>
          <w:tcPr>
            <w:tcW w:w="1531" w:type="dxa"/>
            <w:tcBorders>
              <w:left w:val="single" w:sz="4" w:space="0" w:color="auto"/>
            </w:tcBorders>
          </w:tcPr>
          <w:p w14:paraId="72FBAFB6" w14:textId="77777777" w:rsidR="001D1322" w:rsidRPr="005403DD" w:rsidRDefault="001D1322" w:rsidP="00C04DFB">
            <w:pPr>
              <w:rPr>
                <w:rFonts w:ascii="Corbel" w:eastAsia="Calibri" w:hAnsi="Corbel" w:cs="Times New Roman"/>
                <w:sz w:val="16"/>
                <w:szCs w:val="16"/>
                <w:lang w:val="en-AU"/>
              </w:rPr>
            </w:pPr>
          </w:p>
        </w:tc>
        <w:tc>
          <w:tcPr>
            <w:tcW w:w="1186" w:type="dxa"/>
          </w:tcPr>
          <w:p w14:paraId="3C90DAE5"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Assumption </w:t>
            </w:r>
          </w:p>
        </w:tc>
        <w:tc>
          <w:tcPr>
            <w:tcW w:w="1848" w:type="dxa"/>
            <w:tcBorders>
              <w:right w:val="single" w:sz="4" w:space="0" w:color="auto"/>
            </w:tcBorders>
          </w:tcPr>
          <w:p w14:paraId="1C2A4DBF"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Migration</w:t>
            </w:r>
          </w:p>
        </w:tc>
        <w:tc>
          <w:tcPr>
            <w:tcW w:w="1950" w:type="dxa"/>
            <w:tcBorders>
              <w:left w:val="single" w:sz="4" w:space="0" w:color="auto"/>
            </w:tcBorders>
          </w:tcPr>
          <w:p w14:paraId="1DF567F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Low-Medium</w:t>
            </w:r>
          </w:p>
        </w:tc>
        <w:tc>
          <w:tcPr>
            <w:tcW w:w="1804" w:type="dxa"/>
          </w:tcPr>
          <w:p w14:paraId="6AA21E7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90" w:type="dxa"/>
            <w:shd w:val="clear" w:color="auto" w:fill="E7E6E6"/>
          </w:tcPr>
          <w:p w14:paraId="68776364" w14:textId="77777777" w:rsidR="001D1322" w:rsidRPr="005403DD" w:rsidRDefault="001D1322" w:rsidP="00C04DFB">
            <w:pPr>
              <w:jc w:val="center"/>
              <w:rPr>
                <w:rFonts w:ascii="Corbel" w:eastAsia="Calibri" w:hAnsi="Corbel" w:cs="Times New Roman"/>
                <w:color w:val="000000"/>
                <w:sz w:val="16"/>
                <w:szCs w:val="16"/>
                <w:lang w:val="en-AU"/>
              </w:rPr>
            </w:pPr>
            <w:r w:rsidRPr="005403DD">
              <w:rPr>
                <w:rFonts w:ascii="Corbel" w:eastAsia="Calibri" w:hAnsi="Corbel" w:cs="Times New Roman"/>
                <w:color w:val="000000"/>
                <w:sz w:val="16"/>
                <w:szCs w:val="16"/>
                <w:lang w:val="en-AU"/>
              </w:rPr>
              <w:t>Existing trend</w:t>
            </w:r>
          </w:p>
          <w:p w14:paraId="472CDAF4" w14:textId="77777777" w:rsidR="001D1322" w:rsidRPr="005403DD" w:rsidRDefault="001D1322" w:rsidP="00C04DFB">
            <w:pPr>
              <w:jc w:val="center"/>
              <w:rPr>
                <w:rFonts w:ascii="Corbel" w:eastAsia="Calibri" w:hAnsi="Corbel" w:cs="Times New Roman"/>
                <w:color w:val="000000"/>
                <w:sz w:val="16"/>
                <w:szCs w:val="16"/>
                <w:lang w:val="en-AU"/>
              </w:rPr>
            </w:pPr>
          </w:p>
        </w:tc>
        <w:tc>
          <w:tcPr>
            <w:tcW w:w="1841" w:type="dxa"/>
          </w:tcPr>
          <w:p w14:paraId="1ED8A48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Low-Medium</w:t>
            </w:r>
          </w:p>
        </w:tc>
        <w:tc>
          <w:tcPr>
            <w:tcW w:w="1701" w:type="dxa"/>
            <w:tcBorders>
              <w:right w:val="single" w:sz="4" w:space="0" w:color="auto"/>
            </w:tcBorders>
          </w:tcPr>
          <w:p w14:paraId="782B7E8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2213" w:type="dxa"/>
            <w:tcBorders>
              <w:top w:val="single" w:sz="4" w:space="0" w:color="auto"/>
              <w:left w:val="single" w:sz="4" w:space="0" w:color="auto"/>
              <w:bottom w:val="single" w:sz="4" w:space="0" w:color="auto"/>
              <w:right w:val="single" w:sz="4" w:space="0" w:color="auto"/>
            </w:tcBorders>
          </w:tcPr>
          <w:p w14:paraId="37A17AC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Qualitative. Based on scenario narratives.</w:t>
            </w:r>
          </w:p>
        </w:tc>
      </w:tr>
      <w:tr w:rsidR="001D1322" w:rsidRPr="005403DD" w14:paraId="0A8B14DF" w14:textId="77777777" w:rsidTr="00C04DFB">
        <w:tc>
          <w:tcPr>
            <w:tcW w:w="1531" w:type="dxa"/>
            <w:tcBorders>
              <w:left w:val="single" w:sz="4" w:space="0" w:color="auto"/>
            </w:tcBorders>
          </w:tcPr>
          <w:p w14:paraId="103B909A" w14:textId="77777777" w:rsidR="001D1322" w:rsidRPr="005403DD" w:rsidRDefault="001D1322" w:rsidP="00C04DFB">
            <w:pPr>
              <w:rPr>
                <w:rFonts w:ascii="Corbel" w:eastAsia="Calibri" w:hAnsi="Corbel" w:cs="Times New Roman"/>
                <w:sz w:val="16"/>
                <w:szCs w:val="16"/>
                <w:lang w:val="en-AU"/>
              </w:rPr>
            </w:pPr>
          </w:p>
        </w:tc>
        <w:tc>
          <w:tcPr>
            <w:tcW w:w="1186" w:type="dxa"/>
          </w:tcPr>
          <w:p w14:paraId="58271DDD"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6FB190C8"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Urbanization</w:t>
            </w:r>
          </w:p>
        </w:tc>
        <w:tc>
          <w:tcPr>
            <w:tcW w:w="1950" w:type="dxa"/>
            <w:tcBorders>
              <w:left w:val="single" w:sz="4" w:space="0" w:color="auto"/>
            </w:tcBorders>
          </w:tcPr>
          <w:p w14:paraId="0A0C3F4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804" w:type="dxa"/>
          </w:tcPr>
          <w:p w14:paraId="12E4023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90" w:type="dxa"/>
            <w:shd w:val="clear" w:color="auto" w:fill="E7E6E6"/>
          </w:tcPr>
          <w:p w14:paraId="50361B79" w14:textId="77777777" w:rsidR="001D1322" w:rsidRPr="005403DD" w:rsidRDefault="001D1322" w:rsidP="00C04DFB">
            <w:pPr>
              <w:jc w:val="center"/>
              <w:rPr>
                <w:rFonts w:ascii="Corbel" w:eastAsia="Calibri" w:hAnsi="Corbel" w:cs="Times New Roman"/>
                <w:color w:val="000000"/>
                <w:sz w:val="16"/>
                <w:szCs w:val="16"/>
                <w:lang w:val="en-AU"/>
              </w:rPr>
            </w:pPr>
            <w:r w:rsidRPr="005403DD">
              <w:rPr>
                <w:rFonts w:ascii="Corbel" w:eastAsia="Calibri" w:hAnsi="Corbel" w:cs="Times New Roman"/>
                <w:color w:val="000000"/>
                <w:sz w:val="16"/>
                <w:szCs w:val="16"/>
                <w:lang w:val="en-AU"/>
              </w:rPr>
              <w:t>Historical pattern</w:t>
            </w:r>
          </w:p>
        </w:tc>
        <w:tc>
          <w:tcPr>
            <w:tcW w:w="1841" w:type="dxa"/>
          </w:tcPr>
          <w:p w14:paraId="46C8D7D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701" w:type="dxa"/>
            <w:tcBorders>
              <w:right w:val="single" w:sz="4" w:space="0" w:color="auto"/>
            </w:tcBorders>
          </w:tcPr>
          <w:p w14:paraId="220CEF4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 well-managed</w:t>
            </w:r>
          </w:p>
        </w:tc>
        <w:tc>
          <w:tcPr>
            <w:tcW w:w="2213" w:type="dxa"/>
            <w:tcBorders>
              <w:top w:val="single" w:sz="4" w:space="0" w:color="auto"/>
              <w:left w:val="single" w:sz="4" w:space="0" w:color="auto"/>
              <w:bottom w:val="single" w:sz="4" w:space="0" w:color="auto"/>
              <w:right w:val="single" w:sz="4" w:space="0" w:color="auto"/>
            </w:tcBorders>
          </w:tcPr>
          <w:p w14:paraId="65445C0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p>
        </w:tc>
      </w:tr>
      <w:tr w:rsidR="001D1322" w:rsidRPr="005403DD" w14:paraId="4C9A21F2" w14:textId="77777777" w:rsidTr="00C04DFB">
        <w:tc>
          <w:tcPr>
            <w:tcW w:w="1531" w:type="dxa"/>
            <w:tcBorders>
              <w:left w:val="single" w:sz="4" w:space="0" w:color="auto"/>
            </w:tcBorders>
          </w:tcPr>
          <w:p w14:paraId="14AC5574" w14:textId="77777777" w:rsidR="001D1322" w:rsidRPr="005403DD" w:rsidRDefault="001D1322" w:rsidP="00C04DFB">
            <w:pPr>
              <w:rPr>
                <w:rFonts w:ascii="Corbel" w:eastAsia="Calibri" w:hAnsi="Corbel" w:cs="Times New Roman"/>
                <w:sz w:val="16"/>
                <w:szCs w:val="16"/>
                <w:lang w:val="en-AU"/>
              </w:rPr>
            </w:pPr>
          </w:p>
        </w:tc>
        <w:tc>
          <w:tcPr>
            <w:tcW w:w="1186" w:type="dxa"/>
          </w:tcPr>
          <w:p w14:paraId="3256FD96"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4E4B310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Annual net migration target 2030 per 1,000 people*</w:t>
            </w:r>
          </w:p>
        </w:tc>
        <w:tc>
          <w:tcPr>
            <w:tcW w:w="1950" w:type="dxa"/>
            <w:tcBorders>
              <w:left w:val="single" w:sz="4" w:space="0" w:color="auto"/>
            </w:tcBorders>
          </w:tcPr>
          <w:p w14:paraId="35A54CC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 (-6 per 1000 people)</w:t>
            </w:r>
          </w:p>
          <w:p w14:paraId="217E9F8C" w14:textId="77777777" w:rsidR="001D1322" w:rsidRPr="005403DD" w:rsidRDefault="001D1322" w:rsidP="00C04DFB">
            <w:pPr>
              <w:jc w:val="center"/>
              <w:rPr>
                <w:rFonts w:ascii="Corbel" w:eastAsia="Calibri" w:hAnsi="Corbel" w:cs="Times New Roman"/>
                <w:sz w:val="16"/>
                <w:szCs w:val="16"/>
                <w:lang w:val="en-AU"/>
              </w:rPr>
            </w:pPr>
          </w:p>
        </w:tc>
        <w:tc>
          <w:tcPr>
            <w:tcW w:w="1804" w:type="dxa"/>
          </w:tcPr>
          <w:p w14:paraId="11BB750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 (-8 per 1000 people)</w:t>
            </w:r>
          </w:p>
          <w:p w14:paraId="5F849B93"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7D514C0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-8 per 1,000</w:t>
            </w:r>
          </w:p>
          <w:p w14:paraId="32DEFC3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[per year by 2030]</w:t>
            </w:r>
          </w:p>
        </w:tc>
        <w:tc>
          <w:tcPr>
            <w:tcW w:w="1841" w:type="dxa"/>
          </w:tcPr>
          <w:p w14:paraId="2F7EA91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(-6 per 1000 people)</w:t>
            </w:r>
          </w:p>
          <w:p w14:paraId="2928B7E9" w14:textId="77777777" w:rsidR="001D1322" w:rsidRPr="005403DD" w:rsidRDefault="001D1322" w:rsidP="00C04DFB">
            <w:pPr>
              <w:jc w:val="center"/>
              <w:rPr>
                <w:rFonts w:ascii="Corbel" w:eastAsia="Calibri" w:hAnsi="Corbel" w:cs="Times New Roman"/>
                <w:sz w:val="16"/>
                <w:szCs w:val="16"/>
                <w:lang w:val="en-AU"/>
              </w:rPr>
            </w:pPr>
          </w:p>
        </w:tc>
        <w:tc>
          <w:tcPr>
            <w:tcW w:w="1701" w:type="dxa"/>
            <w:tcBorders>
              <w:right w:val="single" w:sz="4" w:space="0" w:color="auto"/>
            </w:tcBorders>
          </w:tcPr>
          <w:p w14:paraId="1A242B1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 (-8 per 1000 people)</w:t>
            </w:r>
          </w:p>
          <w:p w14:paraId="78966CE4"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3DDC6EF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UN population net migration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&lt;EndNote&gt;&lt;Cite&gt;&lt;Author&gt;United Nations&lt;/Author&gt;&lt;Year&gt;2019&lt;/Year&gt;&lt;RecNum&gt;1159&lt;/RecNum&gt;&lt;DisplayText&gt;(United Nations, 2019)&lt;/DisplayText&gt;&lt;record&gt;&lt;rec-number&gt;1159&lt;/rec-number&gt;&lt;foreign-keys&gt;&lt;key app="EN" db-id="9vsrvaat7fadwtesfsrpw5w5t0x5v500ef25" timestamp="1574310366"&gt;1159&lt;/key&gt;&lt;/foreign-keys&gt;&lt;ref-type name="Dataset"&gt;59&lt;/ref-type&gt;&lt;contributors&gt;&lt;authors&gt;&lt;author&gt;United Nations,&lt;/author&gt;&lt;/authors&gt;&lt;secondary-authors&gt;&lt;author&gt;UNDESA Population Division&lt;/author&gt;&lt;/secondary-authors&gt;&lt;/contributors&gt;&lt;titles&gt;&lt;title&gt;World Population Prospects&lt;/title&gt;&lt;/titles&gt;&lt;dates&gt;&lt;year&gt;2019&lt;/year&gt;&lt;/dates&gt;&lt;pub-location&gt;New York&lt;/pub-location&gt;&lt;publisher&gt;UN Population Division&lt;/publisher&gt;&lt;urls&gt;&lt;related-urls&gt;&lt;url&gt;https://population.un.org/wpp/&lt;/url&gt;&lt;/related-urls&gt;&lt;/urls&gt;&lt;/record&gt;&lt;/Cite&gt;&lt;/EndNote&gt;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(United Nations, 2019)</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Parameterised based on historic values (min -18.6; max -5.6).</w:t>
            </w:r>
          </w:p>
        </w:tc>
      </w:tr>
      <w:tr w:rsidR="00D82082" w:rsidRPr="005403DD" w14:paraId="775E6416" w14:textId="77777777" w:rsidTr="00C04DFB">
        <w:tc>
          <w:tcPr>
            <w:tcW w:w="1531" w:type="dxa"/>
            <w:tcBorders>
              <w:left w:val="single" w:sz="4" w:space="0" w:color="auto"/>
            </w:tcBorders>
            <w:shd w:val="clear" w:color="auto" w:fill="E7E6E6"/>
          </w:tcPr>
          <w:p w14:paraId="5015126F" w14:textId="77777777" w:rsidR="001D1322" w:rsidRPr="005403DD" w:rsidRDefault="001D1322" w:rsidP="00C04DFB">
            <w:pPr>
              <w:rPr>
                <w:rFonts w:ascii="Corbel" w:eastAsia="Calibri" w:hAnsi="Corbel" w:cs="Times New Roman"/>
                <w:sz w:val="16"/>
                <w:szCs w:val="16"/>
                <w:lang w:val="en-AU"/>
              </w:rPr>
            </w:pPr>
          </w:p>
        </w:tc>
        <w:tc>
          <w:tcPr>
            <w:tcW w:w="1186" w:type="dxa"/>
            <w:shd w:val="clear" w:color="auto" w:fill="E7E6E6"/>
          </w:tcPr>
          <w:p w14:paraId="53711E24" w14:textId="77777777" w:rsidR="001D1322" w:rsidRPr="005403DD" w:rsidRDefault="001D1322" w:rsidP="00C04DFB">
            <w:pPr>
              <w:rPr>
                <w:rFonts w:ascii="Corbel" w:eastAsia="Calibri" w:hAnsi="Corbel" w:cs="Times New Roman"/>
                <w:sz w:val="16"/>
                <w:szCs w:val="16"/>
                <w:lang w:val="en-AU"/>
              </w:rPr>
            </w:pPr>
          </w:p>
        </w:tc>
        <w:tc>
          <w:tcPr>
            <w:tcW w:w="1848" w:type="dxa"/>
            <w:tcBorders>
              <w:right w:val="single" w:sz="4" w:space="0" w:color="auto"/>
            </w:tcBorders>
            <w:shd w:val="clear" w:color="auto" w:fill="E7E6E6"/>
          </w:tcPr>
          <w:p w14:paraId="359E218C" w14:textId="77777777" w:rsidR="001D1322" w:rsidRPr="005403DD" w:rsidRDefault="001D1322" w:rsidP="00C04DFB">
            <w:pPr>
              <w:rPr>
                <w:rFonts w:ascii="Corbel" w:eastAsia="Calibri" w:hAnsi="Corbel" w:cs="Times New Roman"/>
                <w:sz w:val="16"/>
                <w:szCs w:val="16"/>
                <w:lang w:val="en-AU"/>
              </w:rPr>
            </w:pPr>
          </w:p>
        </w:tc>
        <w:tc>
          <w:tcPr>
            <w:tcW w:w="1950" w:type="dxa"/>
            <w:tcBorders>
              <w:left w:val="single" w:sz="4" w:space="0" w:color="auto"/>
            </w:tcBorders>
            <w:shd w:val="clear" w:color="auto" w:fill="E7E6E6"/>
          </w:tcPr>
          <w:p w14:paraId="0E79C2DE" w14:textId="77777777" w:rsidR="001D1322" w:rsidRPr="005403DD" w:rsidRDefault="001D1322" w:rsidP="00C04DFB">
            <w:pPr>
              <w:jc w:val="center"/>
              <w:rPr>
                <w:rFonts w:ascii="Corbel" w:eastAsia="Calibri" w:hAnsi="Corbel" w:cs="Times New Roman"/>
                <w:sz w:val="16"/>
                <w:szCs w:val="16"/>
                <w:lang w:val="en-AU"/>
              </w:rPr>
            </w:pPr>
          </w:p>
        </w:tc>
        <w:tc>
          <w:tcPr>
            <w:tcW w:w="1804" w:type="dxa"/>
            <w:shd w:val="clear" w:color="auto" w:fill="E7E6E6"/>
          </w:tcPr>
          <w:p w14:paraId="70356B4E"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4C627311" w14:textId="77777777" w:rsidR="001D1322" w:rsidRPr="005403DD" w:rsidRDefault="001D1322" w:rsidP="00C04DFB">
            <w:pPr>
              <w:jc w:val="center"/>
              <w:rPr>
                <w:rFonts w:ascii="Corbel" w:eastAsia="Calibri" w:hAnsi="Corbel" w:cs="Times New Roman"/>
                <w:color w:val="000000"/>
                <w:sz w:val="16"/>
                <w:szCs w:val="16"/>
                <w:lang w:val="en-AU"/>
              </w:rPr>
            </w:pPr>
          </w:p>
        </w:tc>
        <w:tc>
          <w:tcPr>
            <w:tcW w:w="1841" w:type="dxa"/>
            <w:shd w:val="clear" w:color="auto" w:fill="E7E6E6"/>
          </w:tcPr>
          <w:p w14:paraId="77E52405" w14:textId="77777777" w:rsidR="001D1322" w:rsidRPr="005403DD" w:rsidRDefault="001D1322" w:rsidP="00C04DFB">
            <w:pPr>
              <w:jc w:val="center"/>
              <w:rPr>
                <w:rFonts w:ascii="Corbel" w:eastAsia="Calibri" w:hAnsi="Corbel" w:cs="Times New Roman"/>
                <w:sz w:val="16"/>
                <w:szCs w:val="16"/>
                <w:lang w:val="en-AU"/>
              </w:rPr>
            </w:pPr>
          </w:p>
        </w:tc>
        <w:tc>
          <w:tcPr>
            <w:tcW w:w="1701" w:type="dxa"/>
            <w:tcBorders>
              <w:right w:val="single" w:sz="4" w:space="0" w:color="auto"/>
            </w:tcBorders>
            <w:shd w:val="clear" w:color="auto" w:fill="E7E6E6"/>
          </w:tcPr>
          <w:p w14:paraId="2CA3D3A5"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shd w:val="clear" w:color="auto" w:fill="E7E6E6"/>
          </w:tcPr>
          <w:p w14:paraId="23FB3649" w14:textId="77777777" w:rsidR="001D1322" w:rsidRPr="005403DD" w:rsidRDefault="001D1322" w:rsidP="00C04DFB">
            <w:pPr>
              <w:jc w:val="center"/>
              <w:rPr>
                <w:rFonts w:ascii="Corbel" w:eastAsia="Calibri" w:hAnsi="Corbel" w:cs="Times New Roman"/>
                <w:sz w:val="16"/>
                <w:szCs w:val="16"/>
                <w:lang w:val="en-AU"/>
              </w:rPr>
            </w:pPr>
          </w:p>
        </w:tc>
      </w:tr>
      <w:tr w:rsidR="001D1322" w:rsidRPr="005403DD" w14:paraId="53092E04" w14:textId="77777777" w:rsidTr="00C04DFB">
        <w:tc>
          <w:tcPr>
            <w:tcW w:w="1531" w:type="dxa"/>
            <w:tcBorders>
              <w:left w:val="single" w:sz="4" w:space="0" w:color="auto"/>
            </w:tcBorders>
          </w:tcPr>
          <w:p w14:paraId="7B328A76" w14:textId="6641BB4A" w:rsidR="001D1322" w:rsidRPr="005403DD" w:rsidRDefault="001D1322" w:rsidP="00C04DFB">
            <w:pPr>
              <w:rPr>
                <w:rFonts w:ascii="Corbel" w:eastAsia="Calibri" w:hAnsi="Corbel" w:cs="Times New Roman"/>
                <w:b/>
                <w:sz w:val="16"/>
                <w:szCs w:val="16"/>
                <w:lang w:val="en-AU"/>
              </w:rPr>
            </w:pPr>
            <w:r w:rsidRPr="005403DD">
              <w:rPr>
                <w:rFonts w:ascii="Corbel" w:eastAsia="Calibri" w:hAnsi="Corbel" w:cs="Times New Roman"/>
                <w:b/>
                <w:sz w:val="16"/>
                <w:szCs w:val="16"/>
                <w:lang w:val="en-AU"/>
              </w:rPr>
              <w:t>2. Human development</w:t>
            </w:r>
            <w:r w:rsidR="00C20B59">
              <w:rPr>
                <w:rFonts w:ascii="Corbel" w:eastAsia="Calibri" w:hAnsi="Corbel" w:cs="Times New Roman"/>
                <w:b/>
                <w:sz w:val="16"/>
                <w:szCs w:val="16"/>
                <w:lang w:val="en-AU"/>
              </w:rPr>
              <w:t xml:space="preserve"> and wellbeing</w:t>
            </w:r>
          </w:p>
        </w:tc>
        <w:tc>
          <w:tcPr>
            <w:tcW w:w="1186" w:type="dxa"/>
          </w:tcPr>
          <w:p w14:paraId="5CF6D56A"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046629CA"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Education</w:t>
            </w:r>
          </w:p>
        </w:tc>
        <w:tc>
          <w:tcPr>
            <w:tcW w:w="1950" w:type="dxa"/>
            <w:tcBorders>
              <w:left w:val="single" w:sz="4" w:space="0" w:color="auto"/>
            </w:tcBorders>
          </w:tcPr>
          <w:p w14:paraId="5E5DDB8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Medium/unequal</w:t>
            </w:r>
          </w:p>
        </w:tc>
        <w:tc>
          <w:tcPr>
            <w:tcW w:w="1804" w:type="dxa"/>
          </w:tcPr>
          <w:p w14:paraId="51BBF69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90" w:type="dxa"/>
            <w:shd w:val="clear" w:color="auto" w:fill="E7E6E6"/>
          </w:tcPr>
          <w:p w14:paraId="32F0580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trends</w:t>
            </w:r>
          </w:p>
        </w:tc>
        <w:tc>
          <w:tcPr>
            <w:tcW w:w="1841" w:type="dxa"/>
          </w:tcPr>
          <w:p w14:paraId="496CBA9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701" w:type="dxa"/>
            <w:tcBorders>
              <w:right w:val="single" w:sz="4" w:space="0" w:color="auto"/>
            </w:tcBorders>
          </w:tcPr>
          <w:p w14:paraId="6B3FDED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2213" w:type="dxa"/>
            <w:tcBorders>
              <w:top w:val="single" w:sz="4" w:space="0" w:color="auto"/>
              <w:left w:val="single" w:sz="4" w:space="0" w:color="auto"/>
              <w:bottom w:val="single" w:sz="4" w:space="0" w:color="auto"/>
              <w:right w:val="single" w:sz="4" w:space="0" w:color="auto"/>
            </w:tcBorders>
          </w:tcPr>
          <w:p w14:paraId="0C55CF9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p>
        </w:tc>
      </w:tr>
      <w:tr w:rsidR="001D1322" w:rsidRPr="005403DD" w14:paraId="77318F0C" w14:textId="77777777" w:rsidTr="00C04DFB">
        <w:tc>
          <w:tcPr>
            <w:tcW w:w="1531" w:type="dxa"/>
            <w:tcBorders>
              <w:left w:val="single" w:sz="4" w:space="0" w:color="auto"/>
            </w:tcBorders>
          </w:tcPr>
          <w:p w14:paraId="223733B6" w14:textId="77777777" w:rsidR="001D1322" w:rsidRPr="005403DD" w:rsidRDefault="001D1322" w:rsidP="00C04DFB">
            <w:pPr>
              <w:rPr>
                <w:rFonts w:ascii="Corbel" w:eastAsia="Calibri" w:hAnsi="Corbel" w:cs="Times New Roman"/>
                <w:b/>
                <w:sz w:val="16"/>
                <w:szCs w:val="16"/>
                <w:lang w:val="en-AU"/>
              </w:rPr>
            </w:pPr>
          </w:p>
        </w:tc>
        <w:tc>
          <w:tcPr>
            <w:tcW w:w="1186" w:type="dxa"/>
          </w:tcPr>
          <w:p w14:paraId="3AC781F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12D0D69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Access to health</w:t>
            </w:r>
          </w:p>
        </w:tc>
        <w:tc>
          <w:tcPr>
            <w:tcW w:w="1950" w:type="dxa"/>
            <w:tcBorders>
              <w:left w:val="single" w:sz="4" w:space="0" w:color="auto"/>
            </w:tcBorders>
          </w:tcPr>
          <w:p w14:paraId="70C42E3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 (private focus)</w:t>
            </w:r>
          </w:p>
        </w:tc>
        <w:tc>
          <w:tcPr>
            <w:tcW w:w="1804" w:type="dxa"/>
          </w:tcPr>
          <w:p w14:paraId="312F223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90" w:type="dxa"/>
            <w:shd w:val="clear" w:color="auto" w:fill="E7E6E6"/>
          </w:tcPr>
          <w:p w14:paraId="7840979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trends</w:t>
            </w:r>
          </w:p>
        </w:tc>
        <w:tc>
          <w:tcPr>
            <w:tcW w:w="1841" w:type="dxa"/>
          </w:tcPr>
          <w:p w14:paraId="610415C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701" w:type="dxa"/>
            <w:tcBorders>
              <w:right w:val="single" w:sz="4" w:space="0" w:color="auto"/>
            </w:tcBorders>
          </w:tcPr>
          <w:p w14:paraId="74C46DC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2213" w:type="dxa"/>
            <w:tcBorders>
              <w:top w:val="single" w:sz="4" w:space="0" w:color="auto"/>
              <w:left w:val="single" w:sz="4" w:space="0" w:color="auto"/>
              <w:bottom w:val="single" w:sz="4" w:space="0" w:color="auto"/>
              <w:right w:val="single" w:sz="4" w:space="0" w:color="auto"/>
            </w:tcBorders>
          </w:tcPr>
          <w:p w14:paraId="2EB52AA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1198382E" w14:textId="77777777" w:rsidTr="00C04DFB">
        <w:tc>
          <w:tcPr>
            <w:tcW w:w="1531" w:type="dxa"/>
            <w:tcBorders>
              <w:left w:val="single" w:sz="4" w:space="0" w:color="auto"/>
            </w:tcBorders>
          </w:tcPr>
          <w:p w14:paraId="4349A569" w14:textId="77777777" w:rsidR="001D1322" w:rsidRPr="005403DD" w:rsidRDefault="001D1322" w:rsidP="00C04DFB">
            <w:pPr>
              <w:rPr>
                <w:rFonts w:ascii="Corbel" w:eastAsia="Calibri" w:hAnsi="Corbel" w:cs="Times New Roman"/>
                <w:b/>
                <w:sz w:val="16"/>
                <w:szCs w:val="16"/>
                <w:lang w:val="en-AU"/>
              </w:rPr>
            </w:pPr>
          </w:p>
        </w:tc>
        <w:tc>
          <w:tcPr>
            <w:tcW w:w="1186" w:type="dxa"/>
          </w:tcPr>
          <w:p w14:paraId="7B5B9644"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03A0A8D7"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Gender equality/equity</w:t>
            </w:r>
          </w:p>
        </w:tc>
        <w:tc>
          <w:tcPr>
            <w:tcW w:w="1950" w:type="dxa"/>
            <w:tcBorders>
              <w:left w:val="single" w:sz="4" w:space="0" w:color="auto"/>
            </w:tcBorders>
          </w:tcPr>
          <w:p w14:paraId="4579F69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Low-Medium</w:t>
            </w:r>
          </w:p>
        </w:tc>
        <w:tc>
          <w:tcPr>
            <w:tcW w:w="1804" w:type="dxa"/>
          </w:tcPr>
          <w:p w14:paraId="72F567A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Low-Medium</w:t>
            </w:r>
          </w:p>
        </w:tc>
        <w:tc>
          <w:tcPr>
            <w:tcW w:w="1890" w:type="dxa"/>
            <w:shd w:val="clear" w:color="auto" w:fill="E7E6E6"/>
          </w:tcPr>
          <w:p w14:paraId="4B95597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tc>
        <w:tc>
          <w:tcPr>
            <w:tcW w:w="1841" w:type="dxa"/>
          </w:tcPr>
          <w:p w14:paraId="3B96EDB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Medium-High</w:t>
            </w:r>
          </w:p>
        </w:tc>
        <w:tc>
          <w:tcPr>
            <w:tcW w:w="1701" w:type="dxa"/>
            <w:tcBorders>
              <w:right w:val="single" w:sz="4" w:space="0" w:color="auto"/>
            </w:tcBorders>
          </w:tcPr>
          <w:p w14:paraId="2829A4F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Medium-High</w:t>
            </w:r>
          </w:p>
        </w:tc>
        <w:tc>
          <w:tcPr>
            <w:tcW w:w="2213" w:type="dxa"/>
            <w:tcBorders>
              <w:top w:val="single" w:sz="4" w:space="0" w:color="auto"/>
              <w:left w:val="single" w:sz="4" w:space="0" w:color="auto"/>
              <w:bottom w:val="single" w:sz="4" w:space="0" w:color="auto"/>
              <w:right w:val="single" w:sz="4" w:space="0" w:color="auto"/>
            </w:tcBorders>
          </w:tcPr>
          <w:p w14:paraId="60AAC01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0A593ECF" w14:textId="77777777" w:rsidTr="00C04DFB">
        <w:tc>
          <w:tcPr>
            <w:tcW w:w="1531" w:type="dxa"/>
            <w:tcBorders>
              <w:left w:val="single" w:sz="4" w:space="0" w:color="auto"/>
            </w:tcBorders>
          </w:tcPr>
          <w:p w14:paraId="17AFFFED" w14:textId="77777777" w:rsidR="001D1322" w:rsidRPr="005403DD" w:rsidRDefault="001D1322" w:rsidP="00C04DFB">
            <w:pPr>
              <w:rPr>
                <w:rFonts w:ascii="Corbel" w:eastAsia="Calibri" w:hAnsi="Corbel" w:cs="Times New Roman"/>
                <w:b/>
                <w:sz w:val="16"/>
                <w:szCs w:val="16"/>
                <w:lang w:val="en-AU"/>
              </w:rPr>
            </w:pPr>
          </w:p>
        </w:tc>
        <w:tc>
          <w:tcPr>
            <w:tcW w:w="1186" w:type="dxa"/>
          </w:tcPr>
          <w:p w14:paraId="55F9D7F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6CDE6F99"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Social cohesion</w:t>
            </w:r>
          </w:p>
        </w:tc>
        <w:tc>
          <w:tcPr>
            <w:tcW w:w="1950" w:type="dxa"/>
            <w:tcBorders>
              <w:left w:val="single" w:sz="4" w:space="0" w:color="auto"/>
            </w:tcBorders>
          </w:tcPr>
          <w:p w14:paraId="2C6C371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Low-medium; stratified</w:t>
            </w:r>
          </w:p>
          <w:p w14:paraId="4E8B6186" w14:textId="77777777" w:rsidR="001D1322" w:rsidRPr="005403DD" w:rsidRDefault="001D1322" w:rsidP="00C04DFB">
            <w:pPr>
              <w:rPr>
                <w:rFonts w:ascii="Corbel" w:eastAsia="Calibri" w:hAnsi="Corbel" w:cs="Times New Roman"/>
                <w:sz w:val="16"/>
                <w:szCs w:val="16"/>
                <w:lang w:val="en-AU"/>
              </w:rPr>
            </w:pPr>
          </w:p>
        </w:tc>
        <w:tc>
          <w:tcPr>
            <w:tcW w:w="1804" w:type="dxa"/>
          </w:tcPr>
          <w:p w14:paraId="5429338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p w14:paraId="4BAAF126"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77F22B9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Existing trend </w:t>
            </w:r>
          </w:p>
        </w:tc>
        <w:tc>
          <w:tcPr>
            <w:tcW w:w="1841" w:type="dxa"/>
          </w:tcPr>
          <w:p w14:paraId="207F82E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56CD5DD6" w14:textId="77777777" w:rsidR="001D1322" w:rsidRPr="005403DD" w:rsidRDefault="001D1322" w:rsidP="00C04DFB">
            <w:pPr>
              <w:jc w:val="center"/>
              <w:rPr>
                <w:rFonts w:ascii="Corbel" w:eastAsia="Calibri" w:hAnsi="Corbel" w:cs="Times New Roman"/>
                <w:sz w:val="16"/>
                <w:szCs w:val="16"/>
                <w:lang w:val="en-AU"/>
              </w:rPr>
            </w:pPr>
          </w:p>
        </w:tc>
        <w:tc>
          <w:tcPr>
            <w:tcW w:w="1701" w:type="dxa"/>
            <w:tcBorders>
              <w:right w:val="single" w:sz="4" w:space="0" w:color="auto"/>
            </w:tcBorders>
          </w:tcPr>
          <w:p w14:paraId="1F95C1F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4F4012A7"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6818614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7C4CE5A1" w14:textId="77777777" w:rsidTr="00C04DFB">
        <w:tc>
          <w:tcPr>
            <w:tcW w:w="1531" w:type="dxa"/>
            <w:tcBorders>
              <w:left w:val="single" w:sz="4" w:space="0" w:color="auto"/>
            </w:tcBorders>
          </w:tcPr>
          <w:p w14:paraId="1CCB4665" w14:textId="77777777" w:rsidR="001D1322" w:rsidRPr="005403DD" w:rsidRDefault="001D1322" w:rsidP="00C04DFB">
            <w:pPr>
              <w:rPr>
                <w:rFonts w:ascii="Corbel" w:eastAsia="Calibri" w:hAnsi="Corbel" w:cs="Times New Roman"/>
                <w:b/>
                <w:sz w:val="16"/>
                <w:szCs w:val="16"/>
                <w:lang w:val="en-AU"/>
              </w:rPr>
            </w:pPr>
          </w:p>
        </w:tc>
        <w:tc>
          <w:tcPr>
            <w:tcW w:w="1186" w:type="dxa"/>
          </w:tcPr>
          <w:p w14:paraId="3D58573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0116167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Societal participation</w:t>
            </w:r>
          </w:p>
        </w:tc>
        <w:tc>
          <w:tcPr>
            <w:tcW w:w="1950" w:type="dxa"/>
            <w:tcBorders>
              <w:left w:val="single" w:sz="4" w:space="0" w:color="auto"/>
            </w:tcBorders>
          </w:tcPr>
          <w:p w14:paraId="4767E1D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p w14:paraId="7750BBF1" w14:textId="77777777" w:rsidR="001D1322" w:rsidRPr="005403DD" w:rsidRDefault="001D1322" w:rsidP="00C04DFB">
            <w:pPr>
              <w:jc w:val="center"/>
              <w:rPr>
                <w:rFonts w:ascii="Corbel" w:eastAsia="Calibri" w:hAnsi="Corbel" w:cs="Times New Roman"/>
                <w:sz w:val="16"/>
                <w:szCs w:val="16"/>
                <w:lang w:val="en-AU"/>
              </w:rPr>
            </w:pPr>
          </w:p>
        </w:tc>
        <w:tc>
          <w:tcPr>
            <w:tcW w:w="1804" w:type="dxa"/>
          </w:tcPr>
          <w:p w14:paraId="6F46FDF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p w14:paraId="118AD36A"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15DD50C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Existing trend </w:t>
            </w:r>
          </w:p>
        </w:tc>
        <w:tc>
          <w:tcPr>
            <w:tcW w:w="1841" w:type="dxa"/>
          </w:tcPr>
          <w:p w14:paraId="66703F1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7B30ADDD" w14:textId="77777777" w:rsidR="001D1322" w:rsidRPr="005403DD" w:rsidRDefault="001D1322" w:rsidP="00C04DFB">
            <w:pPr>
              <w:jc w:val="center"/>
              <w:rPr>
                <w:rFonts w:ascii="Corbel" w:eastAsia="Calibri" w:hAnsi="Corbel" w:cs="Times New Roman"/>
                <w:sz w:val="16"/>
                <w:szCs w:val="16"/>
                <w:lang w:val="en-AU"/>
              </w:rPr>
            </w:pPr>
          </w:p>
        </w:tc>
        <w:tc>
          <w:tcPr>
            <w:tcW w:w="1701" w:type="dxa"/>
            <w:tcBorders>
              <w:right w:val="single" w:sz="4" w:space="0" w:color="auto"/>
            </w:tcBorders>
          </w:tcPr>
          <w:p w14:paraId="158B020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10DA95DA"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2CB3799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5BEEFE63" w14:textId="77777777" w:rsidTr="00C04DFB">
        <w:tc>
          <w:tcPr>
            <w:tcW w:w="1531" w:type="dxa"/>
            <w:tcBorders>
              <w:left w:val="single" w:sz="4" w:space="0" w:color="auto"/>
            </w:tcBorders>
          </w:tcPr>
          <w:p w14:paraId="2D1245C7" w14:textId="77777777" w:rsidR="001D1322" w:rsidRPr="005403DD" w:rsidRDefault="001D1322" w:rsidP="00C04DFB">
            <w:pPr>
              <w:rPr>
                <w:rFonts w:ascii="Corbel" w:eastAsia="Calibri" w:hAnsi="Corbel" w:cs="Times New Roman"/>
                <w:b/>
                <w:sz w:val="16"/>
                <w:szCs w:val="16"/>
                <w:lang w:val="en-AU"/>
              </w:rPr>
            </w:pPr>
          </w:p>
        </w:tc>
        <w:tc>
          <w:tcPr>
            <w:tcW w:w="1186" w:type="dxa"/>
          </w:tcPr>
          <w:p w14:paraId="310BB989"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29D9993C"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Education expenditure (% GDP)</w:t>
            </w:r>
          </w:p>
        </w:tc>
        <w:tc>
          <w:tcPr>
            <w:tcW w:w="1950" w:type="dxa"/>
            <w:tcBorders>
              <w:left w:val="single" w:sz="4" w:space="0" w:color="auto"/>
            </w:tcBorders>
          </w:tcPr>
          <w:p w14:paraId="1BD84BD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3.84% pa</w:t>
            </w:r>
          </w:p>
          <w:p w14:paraId="53E1738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w:t>
            </w:r>
          </w:p>
        </w:tc>
        <w:tc>
          <w:tcPr>
            <w:tcW w:w="1804" w:type="dxa"/>
          </w:tcPr>
          <w:p w14:paraId="0B1A03B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4.34% pa</w:t>
            </w:r>
          </w:p>
          <w:p w14:paraId="000E79F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w:t>
            </w:r>
          </w:p>
        </w:tc>
        <w:tc>
          <w:tcPr>
            <w:tcW w:w="1890" w:type="dxa"/>
            <w:shd w:val="clear" w:color="auto" w:fill="E7E6E6"/>
          </w:tcPr>
          <w:p w14:paraId="466A192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4.84% pa</w:t>
            </w:r>
          </w:p>
        </w:tc>
        <w:tc>
          <w:tcPr>
            <w:tcW w:w="1841" w:type="dxa"/>
          </w:tcPr>
          <w:p w14:paraId="6F53C2E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5.84% pa</w:t>
            </w:r>
          </w:p>
          <w:p w14:paraId="7B685E2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w:t>
            </w:r>
          </w:p>
        </w:tc>
        <w:tc>
          <w:tcPr>
            <w:tcW w:w="1701" w:type="dxa"/>
            <w:tcBorders>
              <w:right w:val="single" w:sz="4" w:space="0" w:color="auto"/>
            </w:tcBorders>
          </w:tcPr>
          <w:p w14:paraId="6DF0AFF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5.3% pa</w:t>
            </w:r>
          </w:p>
          <w:p w14:paraId="459C9B8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w:t>
            </w:r>
          </w:p>
          <w:p w14:paraId="24079EC7" w14:textId="77777777" w:rsidR="001D1322" w:rsidRPr="005403DD" w:rsidRDefault="001D1322" w:rsidP="00C04DFB">
            <w:pPr>
              <w:jc w:val="center"/>
              <w:rPr>
                <w:rFonts w:ascii="Corbel" w:eastAsia="Calibri" w:hAnsi="Corbel" w:cs="Times New Roman"/>
                <w:sz w:val="16"/>
                <w:szCs w:val="16"/>
                <w:lang w:val="en-AU"/>
              </w:rPr>
            </w:pPr>
          </w:p>
          <w:p w14:paraId="5363011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+5% GDP pa</w:t>
            </w:r>
          </w:p>
        </w:tc>
        <w:tc>
          <w:tcPr>
            <w:tcW w:w="2213" w:type="dxa"/>
            <w:tcBorders>
              <w:top w:val="single" w:sz="4" w:space="0" w:color="auto"/>
              <w:left w:val="single" w:sz="4" w:space="0" w:color="auto"/>
              <w:bottom w:val="single" w:sz="4" w:space="0" w:color="auto"/>
              <w:right w:val="single" w:sz="4" w:space="0" w:color="auto"/>
            </w:tcBorders>
          </w:tcPr>
          <w:p w14:paraId="182EF162"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sz w:val="16"/>
                <w:szCs w:val="16"/>
                <w:lang w:val="en-AU"/>
              </w:rPr>
              <w:t xml:space="preserve">Settings parameterized based on data on public education expenditure as share GDP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over period 1990-2015 (min = 4.66%; max = 7.3%)</w:t>
            </w:r>
          </w:p>
        </w:tc>
      </w:tr>
      <w:tr w:rsidR="001D1322" w:rsidRPr="005403DD" w14:paraId="215EB2FD" w14:textId="77777777" w:rsidTr="00C04DFB">
        <w:tc>
          <w:tcPr>
            <w:tcW w:w="1531" w:type="dxa"/>
            <w:tcBorders>
              <w:left w:val="single" w:sz="4" w:space="0" w:color="auto"/>
            </w:tcBorders>
          </w:tcPr>
          <w:p w14:paraId="7AA2083C" w14:textId="77777777" w:rsidR="001D1322" w:rsidRPr="005403DD" w:rsidRDefault="001D1322" w:rsidP="00C04DFB">
            <w:pPr>
              <w:rPr>
                <w:rFonts w:ascii="Corbel" w:eastAsia="Calibri" w:hAnsi="Corbel" w:cs="Times New Roman"/>
                <w:color w:val="FF0000"/>
                <w:sz w:val="16"/>
                <w:szCs w:val="16"/>
                <w:lang w:val="en-AU"/>
              </w:rPr>
            </w:pPr>
          </w:p>
        </w:tc>
        <w:tc>
          <w:tcPr>
            <w:tcW w:w="1186" w:type="dxa"/>
          </w:tcPr>
          <w:p w14:paraId="3522D1B2"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13D362B9"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Health expenditure (% GDP)</w:t>
            </w:r>
          </w:p>
        </w:tc>
        <w:tc>
          <w:tcPr>
            <w:tcW w:w="1950" w:type="dxa"/>
            <w:tcBorders>
              <w:left w:val="single" w:sz="4" w:space="0" w:color="auto"/>
            </w:tcBorders>
          </w:tcPr>
          <w:p w14:paraId="2F7F0A8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1.71% pa</w:t>
            </w:r>
          </w:p>
          <w:p w14:paraId="37C2D2A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w:t>
            </w:r>
          </w:p>
        </w:tc>
        <w:tc>
          <w:tcPr>
            <w:tcW w:w="1804" w:type="dxa"/>
          </w:tcPr>
          <w:p w14:paraId="481817B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2.21% pa</w:t>
            </w:r>
          </w:p>
          <w:p w14:paraId="5F520F5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w:t>
            </w:r>
          </w:p>
        </w:tc>
        <w:tc>
          <w:tcPr>
            <w:tcW w:w="1890" w:type="dxa"/>
            <w:shd w:val="clear" w:color="auto" w:fill="E7E6E6"/>
          </w:tcPr>
          <w:p w14:paraId="6A241463"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sz w:val="16"/>
                <w:szCs w:val="16"/>
                <w:lang w:val="en-AU"/>
              </w:rPr>
              <w:t>2.71% pa</w:t>
            </w:r>
          </w:p>
        </w:tc>
        <w:tc>
          <w:tcPr>
            <w:tcW w:w="1841" w:type="dxa"/>
          </w:tcPr>
          <w:p w14:paraId="052EFD4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3.71% pa</w:t>
            </w:r>
          </w:p>
          <w:p w14:paraId="76B62736"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sz w:val="16"/>
                <w:szCs w:val="16"/>
                <w:lang w:val="en-AU"/>
              </w:rPr>
              <w:t>(+1%)</w:t>
            </w:r>
          </w:p>
        </w:tc>
        <w:tc>
          <w:tcPr>
            <w:tcW w:w="1701" w:type="dxa"/>
            <w:tcBorders>
              <w:right w:val="single" w:sz="4" w:space="0" w:color="auto"/>
            </w:tcBorders>
          </w:tcPr>
          <w:p w14:paraId="450B2DD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3.21% pa</w:t>
            </w:r>
          </w:p>
          <w:p w14:paraId="58EA683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w:t>
            </w:r>
          </w:p>
          <w:p w14:paraId="33AE1C3E" w14:textId="77777777" w:rsidR="001D1322" w:rsidRPr="005403DD" w:rsidRDefault="001D1322" w:rsidP="00C04DFB">
            <w:pPr>
              <w:jc w:val="center"/>
              <w:rPr>
                <w:rFonts w:ascii="Corbel" w:eastAsia="Calibri" w:hAnsi="Corbel" w:cs="Times New Roman"/>
                <w:color w:val="FF0000"/>
                <w:sz w:val="16"/>
                <w:szCs w:val="16"/>
                <w:lang w:val="en-AU"/>
              </w:rPr>
            </w:pPr>
          </w:p>
          <w:p w14:paraId="397E4AD2"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sz w:val="16"/>
                <w:szCs w:val="16"/>
                <w:shd w:val="clear" w:color="auto" w:fill="AFCEEB"/>
                <w:lang w:val="en-AU"/>
              </w:rPr>
              <w:t>ST_SDG: +4% GDP pa</w:t>
            </w:r>
          </w:p>
        </w:tc>
        <w:tc>
          <w:tcPr>
            <w:tcW w:w="2213" w:type="dxa"/>
            <w:tcBorders>
              <w:top w:val="single" w:sz="4" w:space="0" w:color="auto"/>
              <w:left w:val="single" w:sz="4" w:space="0" w:color="auto"/>
              <w:bottom w:val="single" w:sz="4" w:space="0" w:color="auto"/>
              <w:right w:val="single" w:sz="4" w:space="0" w:color="auto"/>
            </w:tcBorders>
          </w:tcPr>
          <w:p w14:paraId="3D091B07"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sz w:val="16"/>
                <w:szCs w:val="16"/>
                <w:lang w:val="en-AU"/>
              </w:rPr>
              <w:t xml:space="preserve">Settings parameterized based on data on public health expenditure as share GDP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over period 1990-2015 (min = 2.5%; max = 3.3%)</w:t>
            </w:r>
          </w:p>
        </w:tc>
      </w:tr>
      <w:tr w:rsidR="001D1322" w:rsidRPr="005403DD" w14:paraId="43102F71" w14:textId="77777777" w:rsidTr="00C04DFB">
        <w:tc>
          <w:tcPr>
            <w:tcW w:w="1531" w:type="dxa"/>
            <w:tcBorders>
              <w:left w:val="single" w:sz="4" w:space="0" w:color="auto"/>
            </w:tcBorders>
          </w:tcPr>
          <w:p w14:paraId="49054669" w14:textId="77777777" w:rsidR="001D1322" w:rsidRPr="005403DD" w:rsidRDefault="001D1322" w:rsidP="00C04DFB">
            <w:pPr>
              <w:rPr>
                <w:rFonts w:ascii="Corbel" w:eastAsia="Calibri" w:hAnsi="Corbel" w:cs="Times New Roman"/>
                <w:color w:val="FF0000"/>
                <w:sz w:val="16"/>
                <w:szCs w:val="16"/>
                <w:lang w:val="en-AU"/>
              </w:rPr>
            </w:pPr>
          </w:p>
        </w:tc>
        <w:tc>
          <w:tcPr>
            <w:tcW w:w="1186" w:type="dxa"/>
          </w:tcPr>
          <w:p w14:paraId="6A6B145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28F75007"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Water and sanitation expenditure (% GDP)</w:t>
            </w:r>
          </w:p>
        </w:tc>
        <w:tc>
          <w:tcPr>
            <w:tcW w:w="1950" w:type="dxa"/>
            <w:tcBorders>
              <w:left w:val="single" w:sz="4" w:space="0" w:color="auto"/>
            </w:tcBorders>
          </w:tcPr>
          <w:p w14:paraId="32C5E5E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Reduce (-0.1 % GDP)</w:t>
            </w:r>
          </w:p>
          <w:p w14:paraId="6D117BB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0.107% GDP</w:t>
            </w:r>
          </w:p>
        </w:tc>
        <w:tc>
          <w:tcPr>
            <w:tcW w:w="1804" w:type="dxa"/>
          </w:tcPr>
          <w:p w14:paraId="52C459D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Reduce (-0.1 % GDP)</w:t>
            </w:r>
          </w:p>
          <w:p w14:paraId="51B8AEF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0.107% GDP</w:t>
            </w:r>
          </w:p>
        </w:tc>
        <w:tc>
          <w:tcPr>
            <w:tcW w:w="1890" w:type="dxa"/>
            <w:shd w:val="clear" w:color="auto" w:fill="E7E6E6"/>
          </w:tcPr>
          <w:p w14:paraId="351DAD6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0.207% GDP</w:t>
            </w:r>
          </w:p>
        </w:tc>
        <w:tc>
          <w:tcPr>
            <w:tcW w:w="1841" w:type="dxa"/>
          </w:tcPr>
          <w:p w14:paraId="4E91F03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Maintain</w:t>
            </w:r>
          </w:p>
        </w:tc>
        <w:tc>
          <w:tcPr>
            <w:tcW w:w="1701" w:type="dxa"/>
            <w:tcBorders>
              <w:right w:val="single" w:sz="4" w:space="0" w:color="auto"/>
            </w:tcBorders>
          </w:tcPr>
          <w:p w14:paraId="4FB8E60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Maintain</w:t>
            </w:r>
          </w:p>
        </w:tc>
        <w:tc>
          <w:tcPr>
            <w:tcW w:w="2213" w:type="dxa"/>
            <w:tcBorders>
              <w:top w:val="single" w:sz="4" w:space="0" w:color="auto"/>
              <w:left w:val="single" w:sz="4" w:space="0" w:color="auto"/>
              <w:bottom w:val="single" w:sz="4" w:space="0" w:color="auto"/>
              <w:right w:val="single" w:sz="4" w:space="0" w:color="auto"/>
            </w:tcBorders>
          </w:tcPr>
          <w:p w14:paraId="035DDDBC"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sz w:val="16"/>
                <w:szCs w:val="16"/>
                <w:lang w:val="en-AU"/>
              </w:rPr>
              <w:t xml:space="preserve">Water and sanitation coverage data from WHO/UNICEF Joint Monitoring Programme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expenditure estimated based on water and sanitation cost data for Fiji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&lt;EndNote&gt;&lt;Cite&gt;&lt;Author&gt;WHO&lt;/Author&gt;&lt;Year&gt;2012&lt;/Year&gt;&lt;RecNum&gt;1204&lt;/RecNum&gt;&lt;DisplayText&gt;(WHO, 2012)&lt;/DisplayText&gt;&lt;record&gt;&lt;rec-number&gt;1204&lt;/rec-number&gt;&lt;foreign-keys&gt;&lt;key app="EN" db-id="9vsrvaat7fadwtesfsrpw5w5t0x5v500ef25" timestamp="1578452223"&gt;1204&lt;/key&gt;&lt;/foreign-keys&gt;&lt;ref-type name="Report"&gt;27&lt;/ref-type&gt;&lt;contributors&gt;&lt;authors&gt;&lt;author&gt;WHO,&lt;/author&gt;&lt;/authors&gt;&lt;tertiary-authors&gt;&lt;author&gt;World Health Organization&lt;/author&gt;&lt;/tertiary-authors&gt;&lt;/contributors&gt;&lt;titles&gt;&lt;title&gt;Global costs and benefits of drinking-water supply and sanitation interventions to reach the MDG target and universal coverage&lt;/title&gt;&lt;/titles&gt;&lt;dates&gt;&lt;year&gt;2012&lt;/year&gt;&lt;/dates&gt;&lt;pub-location&gt;Geneva&lt;/pub-location&gt;&lt;publisher&gt;World Health Organization&lt;/publisher&gt;&lt;urls&gt;&lt;related-urls&gt;&lt;url&gt;https://apps.who.int/iris/bitstream/handle/10665/75140/WHO_HSE_WSH_12.01_eng.pdf&lt;/url&gt;&lt;/related-urls&gt;&lt;/urls&gt;&lt;/record&gt;&lt;/Cite&gt;&lt;/EndNote&gt;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(WHO, 2012)</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Additional expenditure allocated as 20% share to safely managed water; 80% to sanitation.</w:t>
            </w:r>
          </w:p>
        </w:tc>
      </w:tr>
      <w:tr w:rsidR="001D1322" w:rsidRPr="005403DD" w14:paraId="3C952D81" w14:textId="77777777" w:rsidTr="00C04DFB">
        <w:tc>
          <w:tcPr>
            <w:tcW w:w="1531" w:type="dxa"/>
            <w:tcBorders>
              <w:left w:val="single" w:sz="4" w:space="0" w:color="auto"/>
            </w:tcBorders>
          </w:tcPr>
          <w:p w14:paraId="5EF8DA17" w14:textId="77777777" w:rsidR="001D1322" w:rsidRPr="005403DD" w:rsidRDefault="001D1322" w:rsidP="00C04DFB">
            <w:pPr>
              <w:rPr>
                <w:rFonts w:ascii="Corbel" w:eastAsia="Calibri" w:hAnsi="Corbel" w:cs="Times New Roman"/>
                <w:sz w:val="16"/>
                <w:szCs w:val="16"/>
                <w:lang w:val="en-AU"/>
              </w:rPr>
            </w:pPr>
          </w:p>
        </w:tc>
        <w:tc>
          <w:tcPr>
            <w:tcW w:w="1186" w:type="dxa"/>
          </w:tcPr>
          <w:p w14:paraId="0BD38E9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4E12998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Gender - Target effect of Social &amp; Market framework on gender gap in employment</w:t>
            </w:r>
          </w:p>
        </w:tc>
        <w:tc>
          <w:tcPr>
            <w:tcW w:w="1950" w:type="dxa"/>
            <w:tcBorders>
              <w:left w:val="single" w:sz="4" w:space="0" w:color="auto"/>
            </w:tcBorders>
          </w:tcPr>
          <w:p w14:paraId="3A98223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 (0.35)</w:t>
            </w:r>
          </w:p>
        </w:tc>
        <w:tc>
          <w:tcPr>
            <w:tcW w:w="1804" w:type="dxa"/>
          </w:tcPr>
          <w:p w14:paraId="79645EF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 (0.35)</w:t>
            </w:r>
          </w:p>
        </w:tc>
        <w:tc>
          <w:tcPr>
            <w:tcW w:w="1890" w:type="dxa"/>
            <w:shd w:val="clear" w:color="auto" w:fill="E7E6E6"/>
          </w:tcPr>
          <w:p w14:paraId="1A9CB15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0.33</w:t>
            </w:r>
          </w:p>
        </w:tc>
        <w:tc>
          <w:tcPr>
            <w:tcW w:w="1841" w:type="dxa"/>
          </w:tcPr>
          <w:p w14:paraId="084BBDF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Higher (0.25)</w:t>
            </w:r>
          </w:p>
        </w:tc>
        <w:tc>
          <w:tcPr>
            <w:tcW w:w="1701" w:type="dxa"/>
            <w:tcBorders>
              <w:right w:val="single" w:sz="4" w:space="0" w:color="auto"/>
            </w:tcBorders>
          </w:tcPr>
          <w:p w14:paraId="5CC31CB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Higher (0.25)</w:t>
            </w:r>
          </w:p>
          <w:p w14:paraId="4430B773" w14:textId="77777777" w:rsidR="001D1322" w:rsidRPr="005403DD" w:rsidRDefault="001D1322" w:rsidP="00C04DFB">
            <w:pPr>
              <w:jc w:val="center"/>
              <w:rPr>
                <w:rFonts w:ascii="Corbel" w:eastAsia="Calibri" w:hAnsi="Corbel" w:cs="Times New Roman"/>
                <w:sz w:val="16"/>
                <w:szCs w:val="16"/>
                <w:lang w:val="en-AU"/>
              </w:rPr>
            </w:pPr>
          </w:p>
          <w:p w14:paraId="1BFA880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22</w:t>
            </w:r>
          </w:p>
        </w:tc>
        <w:tc>
          <w:tcPr>
            <w:tcW w:w="2213" w:type="dxa"/>
            <w:tcBorders>
              <w:top w:val="single" w:sz="4" w:space="0" w:color="auto"/>
              <w:left w:val="single" w:sz="4" w:space="0" w:color="auto"/>
              <w:bottom w:val="single" w:sz="4" w:space="0" w:color="auto"/>
              <w:right w:val="single" w:sz="4" w:space="0" w:color="auto"/>
            </w:tcBorders>
          </w:tcPr>
          <w:p w14:paraId="75403DF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SSPs narratives. Parameterised based on i</w:t>
            </w:r>
            <w:r w:rsidRPr="005403DD">
              <w:rPr>
                <w:rFonts w:ascii="Corbel" w:eastAsia="Calibri" w:hAnsi="Corbel" w:cs="Times New Roman"/>
                <w:i/>
                <w:iCs/>
                <w:sz w:val="16"/>
                <w:szCs w:val="16"/>
                <w:lang w:val="en-AU"/>
              </w:rPr>
              <w:t>SDG</w:t>
            </w:r>
            <w:r w:rsidRPr="005403DD">
              <w:rPr>
                <w:rFonts w:ascii="Corbel" w:eastAsia="Calibri" w:hAnsi="Corbel" w:cs="Times New Roman"/>
                <w:sz w:val="16"/>
                <w:szCs w:val="16"/>
                <w:lang w:val="en-AU"/>
              </w:rPr>
              <w:t xml:space="preserve"> model settings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&lt;EndNote&gt;&lt;Cite&gt;&lt;Author&gt;Millennium Institute&lt;/Author&gt;&lt;Year&gt;2017&lt;/Year&gt;&lt;RecNum&gt;993&lt;/RecNum&gt;&lt;DisplayText&gt;(Millennium Institute, 2017)&lt;/DisplayText&gt;&lt;record&gt;&lt;rec-number&gt;993&lt;/rec-number&gt;&lt;foreign-keys&gt;&lt;key app="EN" db-id="9vsrvaat7fadwtesfsrpw5w5t0x5v500ef25" timestamp="1554175499"&gt;993&lt;/key&gt;&lt;/foreign-keys&gt;&lt;ref-type name="Generic"&gt;13&lt;/ref-type&gt;&lt;contributors&gt;&lt;authors&gt;&lt;author&gt;Millennium Institute,&lt;/author&gt;&lt;/authors&gt;&lt;/contributors&gt;&lt;titles&gt;&lt;title&gt;iSDG Model Documentation&lt;/title&gt;&lt;/titles&gt;&lt;dates&gt;&lt;year&gt;2017&lt;/year&gt;&lt;/dates&gt;&lt;pub-location&gt;Washington D.C.&lt;/pub-location&gt;&lt;publisher&gt;Millennium Institute&lt;/publisher&gt;&lt;urls&gt;&lt;related-urls&gt;&lt;url&gt;https://www.millennium-institute.org/documentation &lt;/url&gt;&lt;/related-urls&gt;&lt;/urls&gt;&lt;/record&gt;&lt;/Cite&gt;&lt;/EndNote&gt;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(Millennium Institute,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adjusted for higher/lower gender equality.</w:t>
            </w:r>
          </w:p>
        </w:tc>
      </w:tr>
      <w:tr w:rsidR="001D1322" w:rsidRPr="005403DD" w14:paraId="748763B8" w14:textId="77777777" w:rsidTr="00C04DFB">
        <w:tc>
          <w:tcPr>
            <w:tcW w:w="1531" w:type="dxa"/>
            <w:tcBorders>
              <w:left w:val="single" w:sz="4" w:space="0" w:color="auto"/>
            </w:tcBorders>
          </w:tcPr>
          <w:p w14:paraId="41FF7785" w14:textId="77777777" w:rsidR="001D1322" w:rsidRPr="005403DD" w:rsidRDefault="001D1322" w:rsidP="00C04DFB">
            <w:pPr>
              <w:rPr>
                <w:rFonts w:ascii="Corbel" w:eastAsia="Calibri" w:hAnsi="Corbel" w:cs="Times New Roman"/>
                <w:sz w:val="16"/>
                <w:szCs w:val="16"/>
                <w:lang w:val="en-AU"/>
              </w:rPr>
            </w:pPr>
          </w:p>
        </w:tc>
        <w:tc>
          <w:tcPr>
            <w:tcW w:w="1186" w:type="dxa"/>
          </w:tcPr>
          <w:p w14:paraId="0098F200"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0688A4D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Political stability and absence of violence target</w:t>
            </w:r>
          </w:p>
        </w:tc>
        <w:tc>
          <w:tcPr>
            <w:tcW w:w="1950" w:type="dxa"/>
            <w:tcBorders>
              <w:left w:val="single" w:sz="4" w:space="0" w:color="auto"/>
            </w:tcBorders>
          </w:tcPr>
          <w:p w14:paraId="4327D65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6A55D87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0.4</w:t>
            </w:r>
          </w:p>
        </w:tc>
        <w:tc>
          <w:tcPr>
            <w:tcW w:w="1804" w:type="dxa"/>
          </w:tcPr>
          <w:p w14:paraId="7A5D610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p w14:paraId="6B60650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0.6</w:t>
            </w:r>
          </w:p>
        </w:tc>
        <w:tc>
          <w:tcPr>
            <w:tcW w:w="1890" w:type="dxa"/>
            <w:shd w:val="clear" w:color="auto" w:fill="E7E6E6"/>
          </w:tcPr>
          <w:p w14:paraId="6C10470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0.5803</w:t>
            </w:r>
          </w:p>
        </w:tc>
        <w:tc>
          <w:tcPr>
            <w:tcW w:w="1841" w:type="dxa"/>
          </w:tcPr>
          <w:p w14:paraId="4782E6F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p w14:paraId="03E437F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0.6</w:t>
            </w:r>
          </w:p>
        </w:tc>
        <w:tc>
          <w:tcPr>
            <w:tcW w:w="1701" w:type="dxa"/>
            <w:tcBorders>
              <w:right w:val="single" w:sz="4" w:space="0" w:color="auto"/>
            </w:tcBorders>
          </w:tcPr>
          <w:p w14:paraId="654430E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0415323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w:t>
            </w:r>
          </w:p>
          <w:p w14:paraId="3C350E99" w14:textId="77777777" w:rsidR="001D1322" w:rsidRPr="005403DD" w:rsidRDefault="001D1322" w:rsidP="00C04DFB">
            <w:pPr>
              <w:jc w:val="center"/>
              <w:rPr>
                <w:rFonts w:ascii="Corbel" w:eastAsia="Calibri" w:hAnsi="Corbel" w:cs="Times New Roman"/>
                <w:sz w:val="16"/>
                <w:szCs w:val="16"/>
                <w:lang w:val="en-AU"/>
              </w:rPr>
            </w:pPr>
          </w:p>
          <w:p w14:paraId="5A7DE583" w14:textId="77777777" w:rsidR="001D1322" w:rsidRPr="005403DD" w:rsidRDefault="001D1322" w:rsidP="00C04DFB">
            <w:pPr>
              <w:jc w:val="center"/>
              <w:rPr>
                <w:rFonts w:ascii="Corbel" w:eastAsia="Calibri" w:hAnsi="Corbel" w:cs="Times New Roman"/>
                <w:sz w:val="16"/>
                <w:szCs w:val="16"/>
                <w:lang w:val="en-AU"/>
              </w:rPr>
            </w:pPr>
          </w:p>
          <w:p w14:paraId="2ADABBF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1.5</w:t>
            </w:r>
          </w:p>
        </w:tc>
        <w:tc>
          <w:tcPr>
            <w:tcW w:w="2213" w:type="dxa"/>
            <w:tcBorders>
              <w:top w:val="single" w:sz="4" w:space="0" w:color="auto"/>
              <w:left w:val="single" w:sz="4" w:space="0" w:color="auto"/>
              <w:bottom w:val="single" w:sz="4" w:space="0" w:color="auto"/>
              <w:right w:val="single" w:sz="4" w:space="0" w:color="auto"/>
            </w:tcBorders>
          </w:tcPr>
          <w:p w14:paraId="2468CED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World Bank Worldwide Governance indicator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&lt;EndNote&gt;&lt;Cite&gt;&lt;Author&gt;Kaufman&lt;/Author&gt;&lt;Year&gt;2016&lt;/Year&gt;&lt;RecNum&gt;1045&lt;/RecNum&gt;&lt;DisplayText&gt;(Kaufman and Kraay, 2016)&lt;/DisplayText&gt;&lt;record&gt;&lt;rec-number&gt;1045&lt;/rec-number&gt;&lt;foreign-keys&gt;&lt;key app="EN" db-id="9vsrvaat7fadwtesfsrpw5w5t0x5v500ef25" timestamp="1565084453"&gt;1045&lt;/key&gt;&lt;/foreign-keys&gt;&lt;ref-type name="Dataset"&gt;59&lt;/ref-type&gt;&lt;contributors&gt;&lt;authors&gt;&lt;author&gt;Kaufman, D&lt;/author&gt;&lt;author&gt;Kraay, A&lt;/author&gt;&lt;/authors&gt;&lt;/contributors&gt;&lt;titles&gt;&lt;title&gt;Worldwide Governance Indicators&lt;/title&gt;&lt;/titles&gt;&lt;dates&gt;&lt;year&gt;2016&lt;/year&gt;&lt;/dates&gt;&lt;pub-location&gt;Washington, USA&lt;/pub-location&gt;&lt;publisher&gt;The World Bank&lt;/publisher&gt;&lt;urls&gt;&lt;related-urls&gt;&lt;url&gt;http://info.worldbank.org/governance/wgi/index.aspx#home&lt;/url&gt;&lt;/related-urls&gt;&lt;/urls&gt;&lt;access-date&gt;11/12/17&lt;/access-date&gt;&lt;/record&gt;&lt;/Cite&gt;&lt;/EndNote&gt;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(Kaufman and Kraay, 2016)</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for Fiji (1990-2016); parameterised based on low-high global benchmark values and Fiji historic values for Political Stability indicator. Scores -2.5 to +2.5; Global Max (2015) = 1.94; Fiji min = </w:t>
            </w:r>
          </w:p>
          <w:p w14:paraId="63D4C49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-0.27 and max = 0.85</w:t>
            </w:r>
          </w:p>
        </w:tc>
      </w:tr>
      <w:tr w:rsidR="001D1322" w:rsidRPr="005403DD" w14:paraId="35253C3E" w14:textId="77777777" w:rsidTr="00C04DFB">
        <w:tc>
          <w:tcPr>
            <w:tcW w:w="1531" w:type="dxa"/>
            <w:tcBorders>
              <w:left w:val="single" w:sz="4" w:space="0" w:color="auto"/>
            </w:tcBorders>
          </w:tcPr>
          <w:p w14:paraId="09097BE3" w14:textId="77777777" w:rsidR="001D1322" w:rsidRPr="005403DD" w:rsidRDefault="001D1322" w:rsidP="00C04DFB">
            <w:pPr>
              <w:rPr>
                <w:rFonts w:ascii="Corbel" w:eastAsia="Calibri" w:hAnsi="Corbel" w:cs="Times New Roman"/>
                <w:sz w:val="16"/>
                <w:szCs w:val="16"/>
                <w:lang w:val="en-AU"/>
              </w:rPr>
            </w:pPr>
          </w:p>
        </w:tc>
        <w:tc>
          <w:tcPr>
            <w:tcW w:w="1186" w:type="dxa"/>
          </w:tcPr>
          <w:p w14:paraId="4BE278A0"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4A3A5EB4"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Voice and accountability</w:t>
            </w:r>
          </w:p>
        </w:tc>
        <w:tc>
          <w:tcPr>
            <w:tcW w:w="1950" w:type="dxa"/>
            <w:tcBorders>
              <w:left w:val="single" w:sz="4" w:space="0" w:color="auto"/>
            </w:tcBorders>
          </w:tcPr>
          <w:p w14:paraId="3C4FEB4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6102762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w:t>
            </w:r>
          </w:p>
        </w:tc>
        <w:tc>
          <w:tcPr>
            <w:tcW w:w="1804" w:type="dxa"/>
          </w:tcPr>
          <w:p w14:paraId="367BDB8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48A1EC0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w:t>
            </w:r>
          </w:p>
        </w:tc>
        <w:tc>
          <w:tcPr>
            <w:tcW w:w="1890" w:type="dxa"/>
            <w:shd w:val="clear" w:color="auto" w:fill="E7E6E6"/>
          </w:tcPr>
          <w:p w14:paraId="06E90A3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0.02777</w:t>
            </w:r>
          </w:p>
        </w:tc>
        <w:tc>
          <w:tcPr>
            <w:tcW w:w="1841" w:type="dxa"/>
          </w:tcPr>
          <w:p w14:paraId="353A680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Moderate-High</w:t>
            </w:r>
          </w:p>
          <w:p w14:paraId="1CB5B24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0.4</w:t>
            </w:r>
          </w:p>
        </w:tc>
        <w:tc>
          <w:tcPr>
            <w:tcW w:w="1701" w:type="dxa"/>
            <w:tcBorders>
              <w:right w:val="single" w:sz="4" w:space="0" w:color="auto"/>
            </w:tcBorders>
          </w:tcPr>
          <w:p w14:paraId="0185308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Moderate-High</w:t>
            </w:r>
          </w:p>
          <w:p w14:paraId="6DA4542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0.4</w:t>
            </w:r>
          </w:p>
          <w:p w14:paraId="543C7E0F" w14:textId="77777777" w:rsidR="001D1322" w:rsidRPr="005403DD" w:rsidRDefault="001D1322" w:rsidP="00C04DFB">
            <w:pPr>
              <w:jc w:val="center"/>
              <w:rPr>
                <w:rFonts w:ascii="Corbel" w:eastAsia="Calibri" w:hAnsi="Corbel" w:cs="Times New Roman"/>
                <w:sz w:val="16"/>
                <w:szCs w:val="16"/>
                <w:lang w:val="en-AU"/>
              </w:rPr>
            </w:pPr>
          </w:p>
          <w:p w14:paraId="2FBCE56F" w14:textId="77777777" w:rsidR="001D1322" w:rsidRPr="005403DD" w:rsidRDefault="001D1322" w:rsidP="00C04DFB">
            <w:pPr>
              <w:jc w:val="center"/>
              <w:rPr>
                <w:rFonts w:ascii="Corbel" w:eastAsia="Calibri" w:hAnsi="Corbel" w:cs="Times New Roman"/>
                <w:sz w:val="16"/>
                <w:szCs w:val="16"/>
                <w:lang w:val="en-AU"/>
              </w:rPr>
            </w:pPr>
          </w:p>
          <w:p w14:paraId="7CBAA0F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lastRenderedPageBreak/>
              <w:t>ST_SDG: 1.5</w:t>
            </w:r>
          </w:p>
        </w:tc>
        <w:tc>
          <w:tcPr>
            <w:tcW w:w="2213" w:type="dxa"/>
            <w:tcBorders>
              <w:top w:val="single" w:sz="4" w:space="0" w:color="auto"/>
              <w:left w:val="single" w:sz="4" w:space="0" w:color="auto"/>
              <w:bottom w:val="single" w:sz="4" w:space="0" w:color="auto"/>
              <w:right w:val="single" w:sz="4" w:space="0" w:color="auto"/>
            </w:tcBorders>
          </w:tcPr>
          <w:p w14:paraId="1EBD6B0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 xml:space="preserve">World Bank Worldwide Governance indicator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&lt;EndNote&gt;&lt;Cite&gt;&lt;Author&gt;Kaufman&lt;/Author&gt;&lt;Year&gt;2016&lt;/Year&gt;&lt;RecNum&gt;1045&lt;/RecNum&gt;&lt;DisplayText&gt;(Kaufman and Kraay, 2016)&lt;/DisplayText&gt;&lt;record&gt;&lt;rec-number&gt;1045&lt;/rec-number&gt;&lt;foreign-keys&gt;&lt;key app="EN" db-id="9vsrvaat7fadwtesfsrpw5w5t0x5v500ef25" timestamp="1565084453"&gt;1045&lt;/key&gt;&lt;/foreign-keys&gt;&lt;ref-type name="Dataset"&gt;59&lt;/ref-type&gt;&lt;contributors&gt;&lt;authors&gt;&lt;author&gt;Kaufman, D&lt;/author&gt;&lt;author&gt;Kraay, A&lt;/author&gt;&lt;/authors&gt;&lt;/contributors&gt;&lt;titles&gt;&lt;title&gt;Worldwide Governance Indicators&lt;/title&gt;&lt;/titles&gt;&lt;dates&gt;&lt;year&gt;2016&lt;/year&gt;&lt;/dates&gt;&lt;pub-location&gt;Washington, USA&lt;/pub-location&gt;&lt;publisher&gt;The World Bank&lt;/publisher&gt;&lt;urls&gt;&lt;related-urls&gt;&lt;url&gt;http://info.worldbank.org/governance/wgi/index.aspx#home&lt;/url&gt;&lt;/related-urls&gt;&lt;/urls&gt;&lt;access-date&gt;11/12/17&lt;/access-date&gt;&lt;/record&gt;&lt;/Cite&gt;&lt;/EndNote&gt;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(Kaufman and Kraay, 2016)</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for Fiji (1990-2016); </w:t>
            </w:r>
            <w:r w:rsidRPr="005403DD">
              <w:rPr>
                <w:rFonts w:ascii="Corbel" w:eastAsia="Calibri" w:hAnsi="Corbel" w:cs="Times New Roman"/>
                <w:sz w:val="16"/>
                <w:szCs w:val="16"/>
                <w:lang w:val="en-AU"/>
              </w:rPr>
              <w:lastRenderedPageBreak/>
              <w:t xml:space="preserve">parameterised based on low-high values for Voice and Accountability indicator.  Scores -2.5 to +2.5; Global Max (2015) = 1.69; Fiji min = </w:t>
            </w:r>
          </w:p>
          <w:p w14:paraId="63BF18B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-1.1 and max = 0.226</w:t>
            </w:r>
          </w:p>
        </w:tc>
      </w:tr>
      <w:tr w:rsidR="001D1322" w:rsidRPr="005403DD" w14:paraId="4A6E931F" w14:textId="77777777" w:rsidTr="00C04DFB">
        <w:tc>
          <w:tcPr>
            <w:tcW w:w="1531" w:type="dxa"/>
            <w:tcBorders>
              <w:left w:val="single" w:sz="4" w:space="0" w:color="auto"/>
            </w:tcBorders>
          </w:tcPr>
          <w:p w14:paraId="7084DCBB" w14:textId="77777777" w:rsidR="001D1322" w:rsidRPr="005403DD" w:rsidRDefault="001D1322" w:rsidP="00C04DFB">
            <w:pPr>
              <w:rPr>
                <w:rFonts w:ascii="Corbel" w:eastAsia="Calibri" w:hAnsi="Corbel" w:cs="Times New Roman"/>
                <w:sz w:val="16"/>
                <w:szCs w:val="16"/>
                <w:lang w:val="en-AU"/>
              </w:rPr>
            </w:pPr>
          </w:p>
        </w:tc>
        <w:tc>
          <w:tcPr>
            <w:tcW w:w="1186" w:type="dxa"/>
          </w:tcPr>
          <w:p w14:paraId="3414D357"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1DFC8F8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Redistribution of fiscal pressure (Relative fiscal pressure by percentile)*</w:t>
            </w:r>
          </w:p>
        </w:tc>
        <w:tc>
          <w:tcPr>
            <w:tcW w:w="1950" w:type="dxa"/>
            <w:tcBorders>
              <w:left w:val="single" w:sz="4" w:space="0" w:color="auto"/>
            </w:tcBorders>
          </w:tcPr>
          <w:p w14:paraId="7D1B804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Reduction for middle-high income</w:t>
            </w:r>
          </w:p>
          <w:p w14:paraId="23158AF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(0.8, 1, 1, 1, 0.8, 0.8)</w:t>
            </w:r>
          </w:p>
        </w:tc>
        <w:tc>
          <w:tcPr>
            <w:tcW w:w="1804" w:type="dxa"/>
          </w:tcPr>
          <w:p w14:paraId="0C804DB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Reduction for middle-high income</w:t>
            </w:r>
          </w:p>
          <w:p w14:paraId="313148B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(0.8, 1, 1, 1, 0.8, 0.8)</w:t>
            </w:r>
          </w:p>
          <w:p w14:paraId="4AC00812"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4402881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Existing trend </w:t>
            </w:r>
          </w:p>
          <w:p w14:paraId="302B7CE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(0.8, 1, 1, 1, 1)</w:t>
            </w:r>
          </w:p>
        </w:tc>
        <w:tc>
          <w:tcPr>
            <w:tcW w:w="1841" w:type="dxa"/>
          </w:tcPr>
          <w:p w14:paraId="0F63534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 for high income earners/decreased for low income earners</w:t>
            </w:r>
          </w:p>
          <w:p w14:paraId="707EAED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(0.5,0.8, 1, 1, 1.1, 1.5)</w:t>
            </w:r>
          </w:p>
        </w:tc>
        <w:tc>
          <w:tcPr>
            <w:tcW w:w="1701" w:type="dxa"/>
            <w:tcBorders>
              <w:right w:val="single" w:sz="4" w:space="0" w:color="auto"/>
            </w:tcBorders>
          </w:tcPr>
          <w:p w14:paraId="47059AE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Increased for high/ decreased for low income earners</w:t>
            </w:r>
          </w:p>
          <w:p w14:paraId="3D15AB5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(0.5,0.8, 1, 1, 1.1, 1.5)</w:t>
            </w:r>
          </w:p>
          <w:p w14:paraId="035B5E16" w14:textId="77777777" w:rsidR="001D1322" w:rsidRPr="005403DD" w:rsidRDefault="001D1322" w:rsidP="00C04DFB">
            <w:pPr>
              <w:jc w:val="center"/>
              <w:rPr>
                <w:rFonts w:ascii="Corbel" w:eastAsia="Calibri" w:hAnsi="Corbel" w:cs="Times New Roman"/>
                <w:sz w:val="16"/>
                <w:szCs w:val="16"/>
                <w:lang w:val="en-AU"/>
              </w:rPr>
            </w:pPr>
          </w:p>
          <w:p w14:paraId="633522EB" w14:textId="77777777" w:rsidR="001D1322" w:rsidRPr="005403DD" w:rsidRDefault="001D1322" w:rsidP="00C04DFB">
            <w:pPr>
              <w:jc w:val="center"/>
              <w:rPr>
                <w:rFonts w:ascii="Corbel" w:eastAsia="Calibri" w:hAnsi="Corbel" w:cs="Times New Roman"/>
                <w:sz w:val="16"/>
                <w:szCs w:val="16"/>
                <w:lang w:val="en-AU"/>
              </w:rPr>
            </w:pPr>
          </w:p>
          <w:p w14:paraId="088982AB" w14:textId="3E5F89F3" w:rsidR="001D1322" w:rsidRPr="005403DD" w:rsidRDefault="001D1322" w:rsidP="00C04DFB">
            <w:pPr>
              <w:shd w:val="clear" w:color="auto" w:fill="AFCEEB"/>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ST_SDG:</w:t>
            </w:r>
          </w:p>
          <w:p w14:paraId="1E667FD0" w14:textId="77777777" w:rsidR="001D1322" w:rsidRPr="005403DD" w:rsidRDefault="001D1322" w:rsidP="00C04DFB">
            <w:pPr>
              <w:shd w:val="clear" w:color="auto" w:fill="AFCEEB"/>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0.2, 0.4, 0.8, 1, 1.5, 2.5</w:t>
            </w:r>
          </w:p>
        </w:tc>
        <w:tc>
          <w:tcPr>
            <w:tcW w:w="2213" w:type="dxa"/>
            <w:tcBorders>
              <w:top w:val="single" w:sz="4" w:space="0" w:color="auto"/>
              <w:left w:val="single" w:sz="4" w:space="0" w:color="auto"/>
              <w:bottom w:val="single" w:sz="4" w:space="0" w:color="auto"/>
              <w:right w:val="single" w:sz="4" w:space="0" w:color="auto"/>
            </w:tcBorders>
          </w:tcPr>
          <w:p w14:paraId="5D42100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Parameters based on i</w:t>
            </w:r>
            <w:r w:rsidRPr="005403DD">
              <w:rPr>
                <w:rFonts w:ascii="Corbel" w:eastAsia="Calibri" w:hAnsi="Corbel" w:cs="Times New Roman"/>
                <w:i/>
                <w:iCs/>
                <w:sz w:val="16"/>
                <w:szCs w:val="16"/>
                <w:lang w:val="en-AU"/>
              </w:rPr>
              <w:t>SDG</w:t>
            </w:r>
            <w:r w:rsidRPr="005403DD">
              <w:rPr>
                <w:rFonts w:ascii="Corbel" w:eastAsia="Calibri" w:hAnsi="Corbel" w:cs="Times New Roman"/>
                <w:sz w:val="16"/>
                <w:szCs w:val="16"/>
                <w:lang w:val="en-AU"/>
              </w:rPr>
              <w:t xml:space="preserve"> model settings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&lt;EndNote&gt;&lt;Cite&gt;&lt;Author&gt;Millennium Institute&lt;/Author&gt;&lt;Year&gt;2017&lt;/Year&gt;&lt;RecNum&gt;993&lt;/RecNum&gt;&lt;DisplayText&gt;(Millennium Institute, 2017)&lt;/DisplayText&gt;&lt;record&gt;&lt;rec-number&gt;993&lt;/rec-number&gt;&lt;foreign-keys&gt;&lt;key app="EN" db-id="9vsrvaat7fadwtesfsrpw5w5t0x5v500ef25" timestamp="1554175499"&gt;993&lt;/key&gt;&lt;/foreign-keys&gt;&lt;ref-type name="Generic"&gt;13&lt;/ref-type&gt;&lt;contributors&gt;&lt;authors&gt;&lt;author&gt;Millennium Institute,&lt;/author&gt;&lt;/authors&gt;&lt;/contributors&gt;&lt;titles&gt;&lt;title&gt;iSDG Model Documentation&lt;/title&gt;&lt;/titles&gt;&lt;dates&gt;&lt;year&gt;2017&lt;/year&gt;&lt;/dates&gt;&lt;pub-location&gt;Washington D.C.&lt;/pub-location&gt;&lt;publisher&gt;Millennium Institute&lt;/publisher&gt;&lt;urls&gt;&lt;related-urls&gt;&lt;url&gt;https://www.millennium-institute.org/documentation &lt;/url&gt;&lt;/related-urls&gt;&lt;/urls&gt;&lt;/record&gt;&lt;/Cite&gt;&lt;/EndNote&gt;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(Millennium Institute,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calibrated on Fiji income distribution and poverty data </w:t>
            </w:r>
            <w:r w:rsidRPr="005403DD">
              <w:rPr>
                <w:rFonts w:ascii="Corbel" w:eastAsia="Calibri" w:hAnsi="Corbel" w:cs="Times New Roman"/>
                <w:sz w:val="16"/>
                <w:szCs w:val="16"/>
                <w:lang w:val="en-AU"/>
              </w:rPr>
              <w:fldChar w:fldCharType="begin">
                <w:fldData xml:space="preserve">PEVuZE5vdGU+PENpdGU+PEF1dGhvcj5UaGUgV29ybGQgQmFuazwvQXV0aG9yPjxZZWFyPjIwMTg8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</w:fldData>
              </w:fldChar>
            </w:r>
            <w:r w:rsidRPr="005403DD">
              <w:rPr>
                <w:rFonts w:ascii="Corbel" w:eastAsia="Calibri" w:hAnsi="Corbel" w:cs="Times New Roman"/>
                <w:sz w:val="16"/>
                <w:szCs w:val="16"/>
                <w:lang w:val="en-AU"/>
              </w:rPr>
              <w:instrText xml:space="preserve"> ADDIN EN.CITE </w:instrText>
            </w:r>
            <w:r w:rsidRPr="005403DD">
              <w:rPr>
                <w:rFonts w:ascii="Corbel" w:eastAsia="Calibri" w:hAnsi="Corbel" w:cs="Times New Roman"/>
                <w:sz w:val="16"/>
                <w:szCs w:val="16"/>
                <w:lang w:val="en-AU"/>
              </w:rPr>
              <w:fldChar w:fldCharType="begin">
                <w:fldData xml:space="preserve">PEVuZE5vdGU+PENpdGU+PEF1dGhvcj5UaGUgV29ybGQgQmFuazwvQXV0aG9yPjxZZWFyPjIwMTg8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</w:fldData>
              </w:fldChar>
            </w:r>
            <w:r w:rsidRPr="005403DD">
              <w:rPr>
                <w:rFonts w:ascii="Corbel" w:eastAsia="Calibri" w:hAnsi="Corbel" w:cs="Times New Roman"/>
                <w:sz w:val="16"/>
                <w:szCs w:val="16"/>
                <w:lang w:val="en-AU"/>
              </w:rPr>
              <w:instrText xml:space="preserve"> ADDIN EN.CITE.DATA </w:instrText>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 Government of Fiji, 2010, Government of Fiji, 2004)</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Adjusted for additional fiscal pressure on high/low income quintiles. </w:t>
            </w:r>
          </w:p>
        </w:tc>
      </w:tr>
      <w:tr w:rsidR="001D1322" w:rsidRPr="005403DD" w14:paraId="775E3563" w14:textId="77777777" w:rsidTr="00C04DFB">
        <w:tc>
          <w:tcPr>
            <w:tcW w:w="1531" w:type="dxa"/>
            <w:tcBorders>
              <w:left w:val="single" w:sz="4" w:space="0" w:color="auto"/>
            </w:tcBorders>
          </w:tcPr>
          <w:p w14:paraId="0F0EE248" w14:textId="77777777" w:rsidR="001D1322" w:rsidRPr="005403DD" w:rsidRDefault="001D1322" w:rsidP="00C04DFB">
            <w:pPr>
              <w:rPr>
                <w:rFonts w:ascii="Corbel" w:eastAsia="Calibri" w:hAnsi="Corbel" w:cs="Times New Roman"/>
                <w:sz w:val="16"/>
                <w:szCs w:val="16"/>
                <w:lang w:val="en-AU"/>
              </w:rPr>
            </w:pPr>
          </w:p>
        </w:tc>
        <w:tc>
          <w:tcPr>
            <w:tcW w:w="1186" w:type="dxa"/>
          </w:tcPr>
          <w:p w14:paraId="490BABB6"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5FC750DD"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Subsidies &amp; transfers (% GDP)*</w:t>
            </w:r>
          </w:p>
        </w:tc>
        <w:tc>
          <w:tcPr>
            <w:tcW w:w="1950" w:type="dxa"/>
            <w:tcBorders>
              <w:left w:val="single" w:sz="4" w:space="0" w:color="auto"/>
            </w:tcBorders>
          </w:tcPr>
          <w:p w14:paraId="7C760FC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5847B81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0.04234</w:t>
            </w:r>
          </w:p>
          <w:p w14:paraId="526EBED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(-2.5% GDP)</w:t>
            </w:r>
          </w:p>
        </w:tc>
        <w:tc>
          <w:tcPr>
            <w:tcW w:w="1804" w:type="dxa"/>
          </w:tcPr>
          <w:p w14:paraId="7D9C58E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p w14:paraId="720BA07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0.05234</w:t>
            </w:r>
          </w:p>
          <w:p w14:paraId="4317A32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 GDP)</w:t>
            </w:r>
          </w:p>
        </w:tc>
        <w:tc>
          <w:tcPr>
            <w:tcW w:w="1890" w:type="dxa"/>
            <w:shd w:val="clear" w:color="auto" w:fill="E7E6E6"/>
          </w:tcPr>
          <w:p w14:paraId="7CDB431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02A8E7F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6.734% (0.06734)</w:t>
            </w:r>
          </w:p>
        </w:tc>
        <w:tc>
          <w:tcPr>
            <w:tcW w:w="1841" w:type="dxa"/>
          </w:tcPr>
          <w:p w14:paraId="24D72A0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6D73EC5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0.08734</w:t>
            </w:r>
          </w:p>
          <w:p w14:paraId="133FA7D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 GDP)</w:t>
            </w:r>
          </w:p>
        </w:tc>
        <w:tc>
          <w:tcPr>
            <w:tcW w:w="1701" w:type="dxa"/>
            <w:tcBorders>
              <w:right w:val="single" w:sz="4" w:space="0" w:color="auto"/>
            </w:tcBorders>
          </w:tcPr>
          <w:p w14:paraId="0C17C1B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066E9F8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0.07734</w:t>
            </w:r>
          </w:p>
          <w:p w14:paraId="5CEB046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 GDP)</w:t>
            </w:r>
          </w:p>
          <w:p w14:paraId="3F143DF4" w14:textId="77777777" w:rsidR="001D1322" w:rsidRPr="005403DD" w:rsidRDefault="001D1322" w:rsidP="00C04DFB">
            <w:pPr>
              <w:jc w:val="center"/>
              <w:rPr>
                <w:rFonts w:ascii="Corbel" w:eastAsia="Calibri" w:hAnsi="Corbel" w:cs="Times New Roman"/>
                <w:sz w:val="16"/>
                <w:szCs w:val="16"/>
                <w:lang w:val="en-AU"/>
              </w:rPr>
            </w:pPr>
          </w:p>
          <w:p w14:paraId="06999A6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+4%</w:t>
            </w:r>
          </w:p>
        </w:tc>
        <w:tc>
          <w:tcPr>
            <w:tcW w:w="2213" w:type="dxa"/>
            <w:tcBorders>
              <w:top w:val="single" w:sz="4" w:space="0" w:color="auto"/>
              <w:left w:val="single" w:sz="4" w:space="0" w:color="auto"/>
              <w:bottom w:val="single" w:sz="4" w:space="0" w:color="auto"/>
              <w:right w:val="single" w:sz="4" w:space="0" w:color="auto"/>
            </w:tcBorders>
          </w:tcPr>
          <w:p w14:paraId="4DC41B7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Fiji General Government expenditure data 1990-2015 </w:t>
            </w:r>
            <w:r w:rsidRPr="005403DD">
              <w:rPr>
                <w:rFonts w:ascii="Corbel" w:eastAsia="Calibri" w:hAnsi="Corbel" w:cs="Times New Roman"/>
                <w:sz w:val="16"/>
                <w:szCs w:val="16"/>
                <w:lang w:val="en-AU"/>
              </w:rPr>
              <w:fldChar w:fldCharType="begin">
                <w:fldData xml:space="preserve">PEVuZE5vdGU+PENpdGU+PEF1dGhvcj5UaGUgV29ybGQgQmFuazwvQXV0aG9yPjxZZWFyPjIwMTg8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</w:fldData>
              </w:fldChar>
            </w:r>
            <w:r w:rsidRPr="005403DD">
              <w:rPr>
                <w:rFonts w:ascii="Corbel" w:eastAsia="Calibri" w:hAnsi="Corbel" w:cs="Times New Roman"/>
                <w:sz w:val="16"/>
                <w:szCs w:val="16"/>
                <w:lang w:val="en-AU"/>
              </w:rPr>
              <w:instrText xml:space="preserve"> ADDIN EN.CITE </w:instrText>
            </w:r>
            <w:r w:rsidRPr="005403DD">
              <w:rPr>
                <w:rFonts w:ascii="Corbel" w:eastAsia="Calibri" w:hAnsi="Corbel" w:cs="Times New Roman"/>
                <w:sz w:val="16"/>
                <w:szCs w:val="16"/>
                <w:lang w:val="en-AU"/>
              </w:rPr>
              <w:fldChar w:fldCharType="begin">
                <w:fldData xml:space="preserve">PEVuZE5vdGU+PENpdGU+PEF1dGhvcj5UaGUgV29ybGQgQmFuazwvQXV0aG9yPjxZZWFyPjIwMTg8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</w:fldData>
              </w:fldChar>
            </w:r>
            <w:r w:rsidRPr="005403DD">
              <w:rPr>
                <w:rFonts w:ascii="Corbel" w:eastAsia="Calibri" w:hAnsi="Corbel" w:cs="Times New Roman"/>
                <w:sz w:val="16"/>
                <w:szCs w:val="16"/>
                <w:lang w:val="en-AU"/>
              </w:rPr>
              <w:instrText xml:space="preserve"> ADDIN EN.CITE.DATA </w:instrText>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 IMF, 2018, IMF,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Parameterised based on historic timeseries (min = 0.042; max = 0.067)</w:t>
            </w:r>
          </w:p>
        </w:tc>
      </w:tr>
      <w:tr w:rsidR="001D1322" w:rsidRPr="005403DD" w14:paraId="65E643E8" w14:textId="77777777" w:rsidTr="00C04DFB">
        <w:tc>
          <w:tcPr>
            <w:tcW w:w="1531" w:type="dxa"/>
            <w:tcBorders>
              <w:left w:val="single" w:sz="4" w:space="0" w:color="auto"/>
            </w:tcBorders>
          </w:tcPr>
          <w:p w14:paraId="743307A7" w14:textId="77777777" w:rsidR="001D1322" w:rsidRPr="005403DD" w:rsidRDefault="001D1322" w:rsidP="00C04DFB">
            <w:pPr>
              <w:rPr>
                <w:rFonts w:ascii="Corbel" w:eastAsia="Calibri" w:hAnsi="Corbel" w:cs="Times New Roman"/>
                <w:sz w:val="16"/>
                <w:szCs w:val="16"/>
                <w:lang w:val="en-AU"/>
              </w:rPr>
            </w:pPr>
          </w:p>
        </w:tc>
        <w:tc>
          <w:tcPr>
            <w:tcW w:w="1186" w:type="dxa"/>
          </w:tcPr>
          <w:p w14:paraId="64B99910"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3F31DD58"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Redistribution of subsides (target subsidies &amp; transfers distribution curve)*</w:t>
            </w:r>
          </w:p>
        </w:tc>
        <w:tc>
          <w:tcPr>
            <w:tcW w:w="1950" w:type="dxa"/>
            <w:tcBorders>
              <w:left w:val="single" w:sz="4" w:space="0" w:color="auto"/>
            </w:tcBorders>
          </w:tcPr>
          <w:p w14:paraId="77054D5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Reduction overall – same for all percentiles</w:t>
            </w:r>
          </w:p>
          <w:p w14:paraId="2174CA5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(1:100=1) </w:t>
            </w:r>
          </w:p>
        </w:tc>
        <w:tc>
          <w:tcPr>
            <w:tcW w:w="1804" w:type="dxa"/>
          </w:tcPr>
          <w:p w14:paraId="1882327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Reduction overall – same for all percentiles</w:t>
            </w:r>
          </w:p>
          <w:p w14:paraId="55D692B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(1:100=1)</w:t>
            </w:r>
          </w:p>
        </w:tc>
        <w:tc>
          <w:tcPr>
            <w:tcW w:w="1890" w:type="dxa"/>
            <w:shd w:val="clear" w:color="auto" w:fill="E7E6E6"/>
          </w:tcPr>
          <w:p w14:paraId="23C732A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 (higher for bottom 10%)</w:t>
            </w:r>
          </w:p>
          <w:p w14:paraId="2BEEDEA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(1:10=1.6; 11:100=1)</w:t>
            </w:r>
          </w:p>
        </w:tc>
        <w:tc>
          <w:tcPr>
            <w:tcW w:w="1841" w:type="dxa"/>
          </w:tcPr>
          <w:p w14:paraId="05E15A8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Higher for low-income bottom 20%</w:t>
            </w:r>
          </w:p>
          <w:p w14:paraId="315BCCE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(1:20=2; 21:100=1)</w:t>
            </w:r>
          </w:p>
        </w:tc>
        <w:tc>
          <w:tcPr>
            <w:tcW w:w="1701" w:type="dxa"/>
            <w:tcBorders>
              <w:right w:val="single" w:sz="4" w:space="0" w:color="auto"/>
            </w:tcBorders>
          </w:tcPr>
          <w:p w14:paraId="29D0B98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Higher for low-income bottom 20%</w:t>
            </w:r>
          </w:p>
          <w:p w14:paraId="476A09F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(1:20=2; 21:100=1)</w:t>
            </w:r>
          </w:p>
          <w:p w14:paraId="4A0D4317" w14:textId="77777777" w:rsidR="001D1322" w:rsidRPr="005403DD" w:rsidRDefault="001D1322" w:rsidP="00C04DFB">
            <w:pPr>
              <w:jc w:val="center"/>
              <w:rPr>
                <w:rFonts w:ascii="Corbel" w:eastAsia="Calibri" w:hAnsi="Corbel" w:cs="Times New Roman"/>
                <w:sz w:val="16"/>
                <w:szCs w:val="16"/>
                <w:lang w:val="en-AU"/>
              </w:rPr>
            </w:pPr>
          </w:p>
          <w:p w14:paraId="79D39495" w14:textId="77777777" w:rsidR="001D1322" w:rsidRPr="005403DD" w:rsidRDefault="001D1322" w:rsidP="00C04DFB">
            <w:pPr>
              <w:shd w:val="clear" w:color="auto" w:fill="AFCEEB"/>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ST_SDG:</w:t>
            </w:r>
          </w:p>
          <w:p w14:paraId="44F8000E" w14:textId="77777777" w:rsidR="001D1322" w:rsidRPr="005403DD" w:rsidRDefault="001D1322" w:rsidP="00C04DFB">
            <w:pPr>
              <w:shd w:val="clear" w:color="auto" w:fill="AFCEEB"/>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(1-20=3; 21-40=2; 41-100=1)</w:t>
            </w:r>
          </w:p>
        </w:tc>
        <w:tc>
          <w:tcPr>
            <w:tcW w:w="2213" w:type="dxa"/>
            <w:tcBorders>
              <w:top w:val="single" w:sz="4" w:space="0" w:color="auto"/>
              <w:left w:val="single" w:sz="4" w:space="0" w:color="auto"/>
              <w:bottom w:val="single" w:sz="4" w:space="0" w:color="auto"/>
              <w:right w:val="single" w:sz="4" w:space="0" w:color="auto"/>
            </w:tcBorders>
          </w:tcPr>
          <w:p w14:paraId="7926F08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Parameterised based on iSDG model settings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&lt;EndNote&gt;&lt;Cite&gt;&lt;Author&gt;Millennium Institute&lt;/Author&gt;&lt;Year&gt;2017&lt;/Year&gt;&lt;RecNum&gt;993&lt;/RecNum&gt;&lt;DisplayText&gt;(Millennium Institute, 2017)&lt;/DisplayText&gt;&lt;record&gt;&lt;rec-number&gt;993&lt;/rec-number&gt;&lt;foreign-keys&gt;&lt;key app="EN" db-id="9vsrvaat7fadwtesfsrpw5w5t0x5v500ef25" timestamp="1554175499"&gt;993&lt;/key&gt;&lt;/foreign-keys&gt;&lt;ref-type name="Generic"&gt;13&lt;/ref-type&gt;&lt;contributors&gt;&lt;authors&gt;&lt;author&gt;Millennium Institute,&lt;/author&gt;&lt;/authors&gt;&lt;/contributors&gt;&lt;titles&gt;&lt;title&gt;iSDG Model Documentation&lt;/title&gt;&lt;/titles&gt;&lt;dates&gt;&lt;year&gt;2017&lt;/year&gt;&lt;/dates&gt;&lt;pub-location&gt;Washington D.C.&lt;/pub-location&gt;&lt;publisher&gt;Millennium Institute&lt;/publisher&gt;&lt;urls&gt;&lt;related-urls&gt;&lt;url&gt;https://www.millennium-institute.org/documentation &lt;/url&gt;&lt;/related-urls&gt;&lt;/urls&gt;&lt;/record&gt;&lt;/Cite&gt;&lt;/EndNote&gt;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(Millennium Institute,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Fiji poverty benefits policies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&lt;EndNote&gt;&lt;Cite&gt;&lt;Author&gt;Government of Fiji&lt;/Author&gt;&lt;Year&gt;2019&lt;/Year&gt;&lt;RecNum&gt;1175&lt;/RecNum&gt;&lt;DisplayText&gt;(Government of Fiji, 2019)&lt;/DisplayText&gt;&lt;record&gt;&lt;rec-number&gt;1175&lt;/rec-number&gt;&lt;foreign-keys&gt;&lt;key app="EN" db-id="9vsrvaat7fadwtesfsrpw5w5t0x5v500ef25" timestamp="1575254201"&gt;1175&lt;/key&gt;&lt;/foreign-keys&gt;&lt;ref-type name="Generic"&gt;13&lt;/ref-type&gt;&lt;contributors&gt;&lt;authors&gt;&lt;author&gt;Government of Fiji,&lt;/author&gt;&lt;/authors&gt;&lt;/contributors&gt;&lt;titles&gt;&lt;title&gt;Voluntary National Review: Fiji&amp;apos;s Progress in the Implementation of the Sustainable Development Goals&lt;/title&gt;&lt;/titles&gt;&lt;dates&gt;&lt;year&gt;2019&lt;/year&gt;&lt;/dates&gt;&lt;pub-location&gt;Suva, Fiji&lt;/pub-location&gt;&lt;publisher&gt;Government of Fiji&lt;/publisher&gt;&lt;urls&gt;&lt;related-urls&gt;&lt;url&gt;https://sustainabledevelopment.un.org/memberstates/fiji&lt;/url&gt;&lt;/related-urls&gt;&lt;/urls&gt;&lt;/record&gt;&lt;/Cite&gt;&lt;/EndNote&gt;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(Government of Fiji, 2019)</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with adjustments to increase share to low-income earners.</w:t>
            </w:r>
          </w:p>
        </w:tc>
      </w:tr>
      <w:tr w:rsidR="00D82082" w:rsidRPr="005403DD" w14:paraId="79C42579" w14:textId="77777777" w:rsidTr="00C04DFB">
        <w:tc>
          <w:tcPr>
            <w:tcW w:w="1531" w:type="dxa"/>
            <w:tcBorders>
              <w:left w:val="single" w:sz="4" w:space="0" w:color="auto"/>
            </w:tcBorders>
            <w:shd w:val="clear" w:color="auto" w:fill="E7E6E6"/>
          </w:tcPr>
          <w:p w14:paraId="4DC8059B" w14:textId="77777777" w:rsidR="001D1322" w:rsidRPr="005403DD" w:rsidRDefault="001D1322" w:rsidP="00C04DFB">
            <w:pPr>
              <w:rPr>
                <w:rFonts w:ascii="Corbel" w:eastAsia="Calibri" w:hAnsi="Corbel" w:cs="Times New Roman"/>
                <w:color w:val="FF0000"/>
                <w:sz w:val="16"/>
                <w:szCs w:val="16"/>
                <w:lang w:val="en-AU"/>
              </w:rPr>
            </w:pPr>
          </w:p>
        </w:tc>
        <w:tc>
          <w:tcPr>
            <w:tcW w:w="1186" w:type="dxa"/>
            <w:shd w:val="clear" w:color="auto" w:fill="E7E6E6"/>
          </w:tcPr>
          <w:p w14:paraId="0D8BDB7C" w14:textId="77777777" w:rsidR="001D1322" w:rsidRPr="005403DD" w:rsidRDefault="001D1322" w:rsidP="00C04DFB">
            <w:pPr>
              <w:rPr>
                <w:rFonts w:ascii="Corbel" w:eastAsia="Calibri" w:hAnsi="Corbel" w:cs="Times New Roman"/>
                <w:color w:val="FF0000"/>
                <w:sz w:val="16"/>
                <w:szCs w:val="16"/>
                <w:lang w:val="en-AU"/>
              </w:rPr>
            </w:pPr>
          </w:p>
        </w:tc>
        <w:tc>
          <w:tcPr>
            <w:tcW w:w="1848" w:type="dxa"/>
            <w:tcBorders>
              <w:right w:val="single" w:sz="4" w:space="0" w:color="auto"/>
            </w:tcBorders>
            <w:shd w:val="clear" w:color="auto" w:fill="E7E6E6"/>
          </w:tcPr>
          <w:p w14:paraId="496FE529" w14:textId="77777777" w:rsidR="001D1322" w:rsidRPr="005403DD" w:rsidRDefault="001D1322" w:rsidP="00C04DFB">
            <w:pPr>
              <w:rPr>
                <w:rFonts w:ascii="Corbel" w:eastAsia="Calibri" w:hAnsi="Corbel" w:cs="Times New Roman"/>
                <w:color w:val="FF0000"/>
                <w:sz w:val="16"/>
                <w:szCs w:val="16"/>
                <w:lang w:val="en-AU"/>
              </w:rPr>
            </w:pPr>
          </w:p>
        </w:tc>
        <w:tc>
          <w:tcPr>
            <w:tcW w:w="1950" w:type="dxa"/>
            <w:tcBorders>
              <w:left w:val="single" w:sz="4" w:space="0" w:color="auto"/>
            </w:tcBorders>
            <w:shd w:val="clear" w:color="auto" w:fill="E7E6E6"/>
          </w:tcPr>
          <w:p w14:paraId="64B729D0" w14:textId="77777777" w:rsidR="001D1322" w:rsidRPr="005403DD" w:rsidRDefault="001D1322" w:rsidP="00C04DFB">
            <w:pPr>
              <w:jc w:val="center"/>
              <w:rPr>
                <w:rFonts w:ascii="Corbel" w:eastAsia="Calibri" w:hAnsi="Corbel" w:cs="Times New Roman"/>
                <w:color w:val="FF0000"/>
                <w:sz w:val="16"/>
                <w:szCs w:val="16"/>
                <w:lang w:val="en-AU"/>
              </w:rPr>
            </w:pPr>
          </w:p>
        </w:tc>
        <w:tc>
          <w:tcPr>
            <w:tcW w:w="1804" w:type="dxa"/>
            <w:shd w:val="clear" w:color="auto" w:fill="E7E6E6"/>
          </w:tcPr>
          <w:p w14:paraId="61CBFB2F" w14:textId="77777777" w:rsidR="001D1322" w:rsidRPr="005403DD" w:rsidRDefault="001D1322" w:rsidP="00C04DFB">
            <w:pPr>
              <w:jc w:val="center"/>
              <w:rPr>
                <w:rFonts w:ascii="Corbel" w:eastAsia="Calibri" w:hAnsi="Corbel" w:cs="Times New Roman"/>
                <w:color w:val="FF0000"/>
                <w:sz w:val="16"/>
                <w:szCs w:val="16"/>
                <w:lang w:val="en-AU"/>
              </w:rPr>
            </w:pPr>
          </w:p>
        </w:tc>
        <w:tc>
          <w:tcPr>
            <w:tcW w:w="1890" w:type="dxa"/>
            <w:shd w:val="clear" w:color="auto" w:fill="E7E6E6"/>
          </w:tcPr>
          <w:p w14:paraId="6970261E" w14:textId="77777777" w:rsidR="001D1322" w:rsidRPr="005403DD" w:rsidRDefault="001D1322" w:rsidP="00C04DFB">
            <w:pPr>
              <w:jc w:val="center"/>
              <w:rPr>
                <w:rFonts w:ascii="Corbel" w:eastAsia="Calibri" w:hAnsi="Corbel" w:cs="Times New Roman"/>
                <w:color w:val="FF0000"/>
                <w:sz w:val="16"/>
                <w:szCs w:val="16"/>
                <w:lang w:val="en-AU"/>
              </w:rPr>
            </w:pPr>
          </w:p>
        </w:tc>
        <w:tc>
          <w:tcPr>
            <w:tcW w:w="1841" w:type="dxa"/>
            <w:shd w:val="clear" w:color="auto" w:fill="E7E6E6"/>
          </w:tcPr>
          <w:p w14:paraId="0E734A42" w14:textId="77777777" w:rsidR="001D1322" w:rsidRPr="005403DD" w:rsidRDefault="001D1322" w:rsidP="00C04DFB">
            <w:pPr>
              <w:jc w:val="center"/>
              <w:rPr>
                <w:rFonts w:ascii="Corbel" w:eastAsia="Calibri" w:hAnsi="Corbel" w:cs="Times New Roman"/>
                <w:color w:val="FF0000"/>
                <w:sz w:val="16"/>
                <w:szCs w:val="16"/>
                <w:lang w:val="en-AU"/>
              </w:rPr>
            </w:pPr>
          </w:p>
        </w:tc>
        <w:tc>
          <w:tcPr>
            <w:tcW w:w="1701" w:type="dxa"/>
            <w:tcBorders>
              <w:right w:val="single" w:sz="4" w:space="0" w:color="auto"/>
            </w:tcBorders>
            <w:shd w:val="clear" w:color="auto" w:fill="E7E6E6"/>
          </w:tcPr>
          <w:p w14:paraId="77F47507" w14:textId="77777777" w:rsidR="001D1322" w:rsidRPr="005403DD" w:rsidRDefault="001D1322" w:rsidP="00C04DFB">
            <w:pPr>
              <w:jc w:val="center"/>
              <w:rPr>
                <w:rFonts w:ascii="Corbel" w:eastAsia="Calibri" w:hAnsi="Corbel" w:cs="Times New Roman"/>
                <w:color w:val="FF0000"/>
                <w:sz w:val="16"/>
                <w:szCs w:val="16"/>
                <w:lang w:val="en-AU"/>
              </w:rPr>
            </w:pPr>
          </w:p>
        </w:tc>
        <w:tc>
          <w:tcPr>
            <w:tcW w:w="2213" w:type="dxa"/>
            <w:tcBorders>
              <w:top w:val="single" w:sz="4" w:space="0" w:color="auto"/>
              <w:left w:val="single" w:sz="4" w:space="0" w:color="auto"/>
              <w:bottom w:val="single" w:sz="4" w:space="0" w:color="auto"/>
              <w:right w:val="single" w:sz="4" w:space="0" w:color="auto"/>
            </w:tcBorders>
            <w:shd w:val="clear" w:color="auto" w:fill="E7E6E6"/>
          </w:tcPr>
          <w:p w14:paraId="783A9071" w14:textId="77777777" w:rsidR="001D1322" w:rsidRPr="005403DD" w:rsidRDefault="001D1322" w:rsidP="00C04DFB">
            <w:pPr>
              <w:jc w:val="center"/>
              <w:rPr>
                <w:rFonts w:ascii="Corbel" w:eastAsia="Calibri" w:hAnsi="Corbel" w:cs="Times New Roman"/>
                <w:color w:val="FF0000"/>
                <w:sz w:val="16"/>
                <w:szCs w:val="16"/>
                <w:lang w:val="en-AU"/>
              </w:rPr>
            </w:pPr>
          </w:p>
        </w:tc>
      </w:tr>
      <w:tr w:rsidR="001D1322" w:rsidRPr="005403DD" w14:paraId="09F54655" w14:textId="77777777" w:rsidTr="00C04DFB">
        <w:tc>
          <w:tcPr>
            <w:tcW w:w="1531" w:type="dxa"/>
            <w:tcBorders>
              <w:left w:val="single" w:sz="4" w:space="0" w:color="auto"/>
            </w:tcBorders>
          </w:tcPr>
          <w:p w14:paraId="74DE9ED8" w14:textId="5AA75C42" w:rsidR="001D1322" w:rsidRPr="005403DD" w:rsidRDefault="001D1322" w:rsidP="00C04DFB">
            <w:pPr>
              <w:rPr>
                <w:rFonts w:ascii="Corbel" w:eastAsia="Calibri" w:hAnsi="Corbel" w:cs="Times New Roman"/>
                <w:b/>
                <w:sz w:val="16"/>
                <w:szCs w:val="16"/>
                <w:lang w:val="en-AU"/>
              </w:rPr>
            </w:pPr>
            <w:r w:rsidRPr="005403DD">
              <w:rPr>
                <w:rFonts w:ascii="Corbel" w:eastAsia="Calibri" w:hAnsi="Corbel" w:cs="Times New Roman"/>
                <w:b/>
                <w:sz w:val="16"/>
                <w:szCs w:val="16"/>
                <w:lang w:val="en-AU"/>
              </w:rPr>
              <w:t>3. Economy and lifestyle</w:t>
            </w:r>
          </w:p>
        </w:tc>
        <w:tc>
          <w:tcPr>
            <w:tcW w:w="1186" w:type="dxa"/>
          </w:tcPr>
          <w:p w14:paraId="1B80C978"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36BDC3F5"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Growth </w:t>
            </w:r>
          </w:p>
          <w:p w14:paraId="29134CCC"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(real GDP per capita)</w:t>
            </w:r>
          </w:p>
        </w:tc>
        <w:tc>
          <w:tcPr>
            <w:tcW w:w="1950" w:type="dxa"/>
            <w:tcBorders>
              <w:left w:val="single" w:sz="4" w:space="0" w:color="auto"/>
            </w:tcBorders>
          </w:tcPr>
          <w:p w14:paraId="6475E9D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804" w:type="dxa"/>
          </w:tcPr>
          <w:p w14:paraId="1A983AF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890" w:type="dxa"/>
            <w:shd w:val="clear" w:color="auto" w:fill="E7E6E6"/>
          </w:tcPr>
          <w:p w14:paraId="5D19E99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462449D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[FJD9.973]</w:t>
            </w:r>
          </w:p>
        </w:tc>
        <w:tc>
          <w:tcPr>
            <w:tcW w:w="1841" w:type="dxa"/>
          </w:tcPr>
          <w:p w14:paraId="79315EB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1701" w:type="dxa"/>
            <w:tcBorders>
              <w:right w:val="single" w:sz="4" w:space="0" w:color="auto"/>
            </w:tcBorders>
          </w:tcPr>
          <w:p w14:paraId="760CB49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tc>
        <w:tc>
          <w:tcPr>
            <w:tcW w:w="2213" w:type="dxa"/>
            <w:tcBorders>
              <w:top w:val="single" w:sz="4" w:space="0" w:color="auto"/>
              <w:left w:val="single" w:sz="4" w:space="0" w:color="auto"/>
              <w:bottom w:val="single" w:sz="4" w:space="0" w:color="auto"/>
              <w:right w:val="single" w:sz="4" w:space="0" w:color="auto"/>
            </w:tcBorders>
          </w:tcPr>
          <w:p w14:paraId="607880E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03B840B2" w14:textId="77777777" w:rsidTr="00C04DFB">
        <w:tc>
          <w:tcPr>
            <w:tcW w:w="1531" w:type="dxa"/>
            <w:tcBorders>
              <w:left w:val="single" w:sz="4" w:space="0" w:color="auto"/>
            </w:tcBorders>
          </w:tcPr>
          <w:p w14:paraId="2197D165" w14:textId="77777777" w:rsidR="001D1322" w:rsidRPr="005403DD" w:rsidRDefault="001D1322" w:rsidP="00C04DFB">
            <w:pPr>
              <w:rPr>
                <w:rFonts w:ascii="Corbel" w:eastAsia="Calibri" w:hAnsi="Corbel" w:cs="Times New Roman"/>
                <w:sz w:val="16"/>
                <w:szCs w:val="16"/>
                <w:lang w:val="en-AU"/>
              </w:rPr>
            </w:pPr>
          </w:p>
        </w:tc>
        <w:tc>
          <w:tcPr>
            <w:tcW w:w="1186" w:type="dxa"/>
          </w:tcPr>
          <w:p w14:paraId="5848D11A"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7C8AC23C"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Inequality </w:t>
            </w:r>
          </w:p>
          <w:p w14:paraId="724A784C"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(Gini coefficient)</w:t>
            </w:r>
          </w:p>
        </w:tc>
        <w:tc>
          <w:tcPr>
            <w:tcW w:w="1950" w:type="dxa"/>
            <w:tcBorders>
              <w:left w:val="single" w:sz="4" w:space="0" w:color="auto"/>
            </w:tcBorders>
          </w:tcPr>
          <w:p w14:paraId="2DF5E93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Medium-High</w:t>
            </w:r>
          </w:p>
        </w:tc>
        <w:tc>
          <w:tcPr>
            <w:tcW w:w="1804" w:type="dxa"/>
          </w:tcPr>
          <w:p w14:paraId="4E014C6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Medium-High</w:t>
            </w:r>
          </w:p>
        </w:tc>
        <w:tc>
          <w:tcPr>
            <w:tcW w:w="1890" w:type="dxa"/>
            <w:shd w:val="clear" w:color="auto" w:fill="E7E6E6"/>
          </w:tcPr>
          <w:p w14:paraId="22DC1E2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Existing trend </w:t>
            </w:r>
          </w:p>
          <w:p w14:paraId="717E5E4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(Gini 0.334)</w:t>
            </w:r>
          </w:p>
        </w:tc>
        <w:tc>
          <w:tcPr>
            <w:tcW w:w="1841" w:type="dxa"/>
          </w:tcPr>
          <w:p w14:paraId="17F3403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tc>
        <w:tc>
          <w:tcPr>
            <w:tcW w:w="1701" w:type="dxa"/>
            <w:tcBorders>
              <w:right w:val="single" w:sz="4" w:space="0" w:color="auto"/>
            </w:tcBorders>
          </w:tcPr>
          <w:p w14:paraId="69F2DB2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tc>
        <w:tc>
          <w:tcPr>
            <w:tcW w:w="2213" w:type="dxa"/>
            <w:tcBorders>
              <w:top w:val="single" w:sz="4" w:space="0" w:color="auto"/>
              <w:left w:val="single" w:sz="4" w:space="0" w:color="auto"/>
              <w:bottom w:val="single" w:sz="4" w:space="0" w:color="auto"/>
              <w:right w:val="single" w:sz="4" w:space="0" w:color="auto"/>
            </w:tcBorders>
          </w:tcPr>
          <w:p w14:paraId="24CDBC2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6D76A2E7" w14:textId="77777777" w:rsidTr="00C04DFB">
        <w:tc>
          <w:tcPr>
            <w:tcW w:w="1531" w:type="dxa"/>
            <w:tcBorders>
              <w:left w:val="single" w:sz="4" w:space="0" w:color="auto"/>
            </w:tcBorders>
          </w:tcPr>
          <w:p w14:paraId="4E96B14C" w14:textId="77777777" w:rsidR="001D1322" w:rsidRPr="005403DD" w:rsidRDefault="001D1322" w:rsidP="00C04DFB">
            <w:pPr>
              <w:rPr>
                <w:rFonts w:ascii="Corbel" w:eastAsia="Calibri" w:hAnsi="Corbel" w:cs="Times New Roman"/>
                <w:sz w:val="16"/>
                <w:szCs w:val="16"/>
                <w:lang w:val="en-AU"/>
              </w:rPr>
            </w:pPr>
          </w:p>
        </w:tc>
        <w:tc>
          <w:tcPr>
            <w:tcW w:w="1186" w:type="dxa"/>
          </w:tcPr>
          <w:p w14:paraId="061C992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122B961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International trade &amp; globalization</w:t>
            </w:r>
          </w:p>
        </w:tc>
        <w:tc>
          <w:tcPr>
            <w:tcW w:w="1950" w:type="dxa"/>
            <w:tcBorders>
              <w:left w:val="single" w:sz="4" w:space="0" w:color="auto"/>
            </w:tcBorders>
          </w:tcPr>
          <w:p w14:paraId="2D2A3AB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804" w:type="dxa"/>
          </w:tcPr>
          <w:p w14:paraId="481C2F9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tc>
        <w:tc>
          <w:tcPr>
            <w:tcW w:w="1890" w:type="dxa"/>
            <w:shd w:val="clear" w:color="auto" w:fill="E7E6E6"/>
          </w:tcPr>
          <w:p w14:paraId="7C5A7FE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tc>
        <w:tc>
          <w:tcPr>
            <w:tcW w:w="1841" w:type="dxa"/>
          </w:tcPr>
          <w:p w14:paraId="36E9CF2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tc>
        <w:tc>
          <w:tcPr>
            <w:tcW w:w="1701" w:type="dxa"/>
            <w:tcBorders>
              <w:right w:val="single" w:sz="4" w:space="0" w:color="auto"/>
            </w:tcBorders>
          </w:tcPr>
          <w:p w14:paraId="42BC1BE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tc>
        <w:tc>
          <w:tcPr>
            <w:tcW w:w="2213" w:type="dxa"/>
            <w:tcBorders>
              <w:top w:val="single" w:sz="4" w:space="0" w:color="auto"/>
              <w:left w:val="single" w:sz="4" w:space="0" w:color="auto"/>
              <w:bottom w:val="single" w:sz="4" w:space="0" w:color="auto"/>
              <w:right w:val="single" w:sz="4" w:space="0" w:color="auto"/>
            </w:tcBorders>
          </w:tcPr>
          <w:p w14:paraId="45872A8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4F4EA1A9" w14:textId="77777777" w:rsidTr="00C04DFB">
        <w:tc>
          <w:tcPr>
            <w:tcW w:w="1531" w:type="dxa"/>
            <w:tcBorders>
              <w:left w:val="single" w:sz="4" w:space="0" w:color="auto"/>
            </w:tcBorders>
          </w:tcPr>
          <w:p w14:paraId="7B546469" w14:textId="77777777" w:rsidR="001D1322" w:rsidRPr="005403DD" w:rsidRDefault="001D1322" w:rsidP="00C04DFB">
            <w:pPr>
              <w:rPr>
                <w:rFonts w:ascii="Corbel" w:eastAsia="Calibri" w:hAnsi="Corbel" w:cs="Times New Roman"/>
                <w:sz w:val="16"/>
                <w:szCs w:val="16"/>
                <w:lang w:val="en-AU"/>
              </w:rPr>
            </w:pPr>
          </w:p>
        </w:tc>
        <w:tc>
          <w:tcPr>
            <w:tcW w:w="1186" w:type="dxa"/>
          </w:tcPr>
          <w:p w14:paraId="6F9D10F2"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779FF70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Consumption and diet</w:t>
            </w:r>
          </w:p>
        </w:tc>
        <w:tc>
          <w:tcPr>
            <w:tcW w:w="1950" w:type="dxa"/>
            <w:tcBorders>
              <w:left w:val="single" w:sz="4" w:space="0" w:color="auto"/>
            </w:tcBorders>
          </w:tcPr>
          <w:p w14:paraId="4ED546D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Material-intensive</w:t>
            </w:r>
          </w:p>
        </w:tc>
        <w:tc>
          <w:tcPr>
            <w:tcW w:w="1804" w:type="dxa"/>
          </w:tcPr>
          <w:p w14:paraId="670AE0C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 growth in material consumption</w:t>
            </w:r>
          </w:p>
        </w:tc>
        <w:tc>
          <w:tcPr>
            <w:tcW w:w="1890" w:type="dxa"/>
            <w:shd w:val="clear" w:color="auto" w:fill="E7E6E6"/>
          </w:tcPr>
          <w:p w14:paraId="275ECB4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7AA91C1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[PC-DMC: 7.89t]</w:t>
            </w:r>
          </w:p>
          <w:p w14:paraId="44A85CA7"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09F73D8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Material-intensive</w:t>
            </w:r>
          </w:p>
        </w:tc>
        <w:tc>
          <w:tcPr>
            <w:tcW w:w="1701" w:type="dxa"/>
            <w:tcBorders>
              <w:right w:val="single" w:sz="4" w:space="0" w:color="auto"/>
            </w:tcBorders>
          </w:tcPr>
          <w:p w14:paraId="6D0002C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 growth in material consumption</w:t>
            </w:r>
          </w:p>
        </w:tc>
        <w:tc>
          <w:tcPr>
            <w:tcW w:w="2213" w:type="dxa"/>
            <w:tcBorders>
              <w:top w:val="single" w:sz="4" w:space="0" w:color="auto"/>
              <w:left w:val="single" w:sz="4" w:space="0" w:color="auto"/>
              <w:bottom w:val="single" w:sz="4" w:space="0" w:color="auto"/>
              <w:right w:val="single" w:sz="4" w:space="0" w:color="auto"/>
            </w:tcBorders>
          </w:tcPr>
          <w:p w14:paraId="3476DED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76B1D34D" w14:textId="77777777" w:rsidTr="00C04DFB">
        <w:tc>
          <w:tcPr>
            <w:tcW w:w="1531" w:type="dxa"/>
            <w:tcBorders>
              <w:left w:val="single" w:sz="4" w:space="0" w:color="auto"/>
            </w:tcBorders>
          </w:tcPr>
          <w:p w14:paraId="169CB0E8"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143B65F6"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Assumption</w:t>
            </w:r>
          </w:p>
          <w:p w14:paraId="45C35241" w14:textId="77777777" w:rsidR="001D1322" w:rsidRPr="005403DD" w:rsidRDefault="001D1322" w:rsidP="00C04DFB">
            <w:pPr>
              <w:rPr>
                <w:rFonts w:ascii="Corbel" w:eastAsia="Calibri" w:hAnsi="Corbel" w:cs="Times New Roman"/>
                <w:color w:val="000000" w:themeColor="text1"/>
                <w:sz w:val="16"/>
                <w:szCs w:val="16"/>
                <w:lang w:val="en-AU"/>
              </w:rPr>
            </w:pPr>
          </w:p>
          <w:p w14:paraId="713750D1" w14:textId="77777777" w:rsidR="001D1322" w:rsidRPr="005403DD" w:rsidRDefault="001D1322" w:rsidP="00C04DFB">
            <w:pPr>
              <w:rPr>
                <w:rFonts w:ascii="Corbel" w:eastAsia="Calibri" w:hAnsi="Corbel" w:cs="Times New Roman"/>
                <w:color w:val="000000" w:themeColor="text1"/>
                <w:sz w:val="16"/>
                <w:szCs w:val="16"/>
                <w:lang w:val="en-AU"/>
              </w:rPr>
            </w:pPr>
          </w:p>
        </w:tc>
        <w:tc>
          <w:tcPr>
            <w:tcW w:w="1848" w:type="dxa"/>
            <w:tcBorders>
              <w:right w:val="single" w:sz="4" w:space="0" w:color="auto"/>
            </w:tcBorders>
          </w:tcPr>
          <w:p w14:paraId="72244D85"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Demand for resources – exports and production</w:t>
            </w:r>
          </w:p>
        </w:tc>
        <w:tc>
          <w:tcPr>
            <w:tcW w:w="1950" w:type="dxa"/>
            <w:tcBorders>
              <w:left w:val="single" w:sz="4" w:space="0" w:color="auto"/>
            </w:tcBorders>
          </w:tcPr>
          <w:p w14:paraId="75BEE139"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Remain stable</w:t>
            </w:r>
          </w:p>
          <w:p w14:paraId="36D335ED"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804" w:type="dxa"/>
          </w:tcPr>
          <w:p w14:paraId="5FC8A66E"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Remain stable</w:t>
            </w:r>
          </w:p>
          <w:p w14:paraId="2FA5A1EE"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890" w:type="dxa"/>
            <w:shd w:val="clear" w:color="auto" w:fill="E7E6E6"/>
          </w:tcPr>
          <w:p w14:paraId="0041E462"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Existing trend </w:t>
            </w:r>
          </w:p>
          <w:p w14:paraId="7AE32A90" w14:textId="77777777" w:rsidR="001D1322" w:rsidRPr="005403DD" w:rsidRDefault="001D1322" w:rsidP="00C04DFB">
            <w:pPr>
              <w:jc w:val="center"/>
              <w:rPr>
                <w:rFonts w:ascii="Corbel" w:eastAsia="Calibri" w:hAnsi="Corbel" w:cs="Times New Roman"/>
                <w:color w:val="000000" w:themeColor="text1"/>
                <w:sz w:val="16"/>
                <w:szCs w:val="16"/>
                <w:lang w:val="en-AU"/>
              </w:rPr>
            </w:pPr>
          </w:p>
          <w:p w14:paraId="77E4C189"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Metal ore production: 808,491 t/yr</w:t>
            </w:r>
          </w:p>
          <w:p w14:paraId="1DE18A4D"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841" w:type="dxa"/>
          </w:tcPr>
          <w:p w14:paraId="7083643E"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Remain stable</w:t>
            </w:r>
          </w:p>
          <w:p w14:paraId="7BA9882B"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701" w:type="dxa"/>
            <w:tcBorders>
              <w:right w:val="single" w:sz="4" w:space="0" w:color="auto"/>
            </w:tcBorders>
          </w:tcPr>
          <w:p w14:paraId="31D9DE52"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Remain stable.</w:t>
            </w:r>
          </w:p>
          <w:p w14:paraId="0E32BDA5"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4BA20BDA"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Fiji has no domestic extraction of fossil fuels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(West and Lieber, 2018)</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and the mining sector is primarily gold extraction and non-metallic minerals (construction). Gold is a significant export commodity and price forecast for gold is for relatively stable prices over period to 2030, with slight decline in real terms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&lt;EndNote&gt;&lt;Cite&gt;&lt;Author&gt;World Bank&lt;/Author&gt;&lt;Year&gt;2019&lt;/Year&gt;&lt;RecNum&gt;1196&lt;/RecNum&gt;&lt;DisplayText&gt;(World Bank, 2019)&lt;/DisplayText&gt;&lt;record&gt;&lt;rec-number&gt;1196&lt;/rec-number&gt;&lt;foreign-keys&gt;&lt;key app="EN" db-id="9vsrvaat7fadwtesfsrpw5w5t0x5v500ef25" timestamp="1576200864"&gt;1196&lt;/key&gt;&lt;/foreign-keys&gt;&lt;ref-type name="Generic"&gt;13&lt;/ref-type&gt;&lt;contributors&gt;&lt;authors&gt;&lt;author&gt;World Bank,&lt;/author&gt;&lt;/authors&gt;&lt;/contributors&gt;&lt;titles&gt;&lt;title&gt;Commodity Markets Outlook&lt;/title&gt;&lt;/titles&gt;&lt;dates&gt;&lt;year&gt;2019&lt;/year&gt;&lt;/dates&gt;&lt;pub-location&gt;Washington DC&lt;/pub-location&gt;&lt;publisher&gt;World Bank&lt;/publisher&gt;&lt;urls&gt;&lt;related-urls&gt;&lt;url&gt;https://www.worldbank.org/en/research/commodity-markets&lt;/url&gt;&lt;/related-urls&gt;&lt;/urls&gt;&lt;/record&gt;&lt;/Cite&gt;&lt;/EndNote&gt;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(World Bank, 2019)</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Fiji data extraction of metals: CAGR=-0.9%; max = 1,233,780 t/yr; min = 7,250 t/yr</w:t>
            </w:r>
          </w:p>
          <w:p w14:paraId="22AD8AC8" w14:textId="77777777" w:rsidR="001D1322" w:rsidRPr="005403DD" w:rsidRDefault="001D1322" w:rsidP="00C04DFB">
            <w:pPr>
              <w:jc w:val="center"/>
              <w:rPr>
                <w:rFonts w:ascii="Corbel" w:eastAsia="Calibri" w:hAnsi="Corbel" w:cs="Times New Roman"/>
                <w:color w:val="000000" w:themeColor="text1"/>
                <w:sz w:val="16"/>
                <w:szCs w:val="16"/>
                <w:lang w:val="en-AU"/>
              </w:rPr>
            </w:pPr>
          </w:p>
        </w:tc>
      </w:tr>
      <w:tr w:rsidR="001D1322" w:rsidRPr="005403DD" w14:paraId="53E74426" w14:textId="77777777" w:rsidTr="00C04DFB">
        <w:tc>
          <w:tcPr>
            <w:tcW w:w="1531" w:type="dxa"/>
            <w:tcBorders>
              <w:left w:val="single" w:sz="4" w:space="0" w:color="auto"/>
            </w:tcBorders>
          </w:tcPr>
          <w:p w14:paraId="1F04171A" w14:textId="77777777" w:rsidR="001D1322" w:rsidRPr="005403DD" w:rsidRDefault="001D1322" w:rsidP="00C04DFB">
            <w:pPr>
              <w:rPr>
                <w:rFonts w:ascii="Corbel" w:eastAsia="Calibri" w:hAnsi="Corbel" w:cs="Times New Roman"/>
                <w:color w:val="FF0000"/>
                <w:sz w:val="16"/>
                <w:szCs w:val="16"/>
                <w:lang w:val="en-AU"/>
              </w:rPr>
            </w:pPr>
          </w:p>
        </w:tc>
        <w:tc>
          <w:tcPr>
            <w:tcW w:w="1186" w:type="dxa"/>
          </w:tcPr>
          <w:p w14:paraId="7AF70A19"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724B501F"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Demand for agriculture – exports &amp; consumption: crops (RLCU value added per ton)</w:t>
            </w:r>
          </w:p>
          <w:p w14:paraId="4E4DBCF5" w14:textId="77777777" w:rsidR="001D1322" w:rsidRPr="005403DD" w:rsidRDefault="001D1322" w:rsidP="00C04DFB">
            <w:pPr>
              <w:rPr>
                <w:rFonts w:ascii="Corbel" w:eastAsia="Calibri" w:hAnsi="Corbel" w:cs="Times New Roman"/>
                <w:color w:val="FF0000"/>
                <w:sz w:val="16"/>
                <w:szCs w:val="16"/>
                <w:lang w:val="en-AU"/>
              </w:rPr>
            </w:pPr>
          </w:p>
          <w:p w14:paraId="1756DB0C" w14:textId="77777777" w:rsidR="001D1322" w:rsidRPr="005403DD" w:rsidRDefault="001D1322" w:rsidP="00C04DFB">
            <w:pPr>
              <w:rPr>
                <w:rFonts w:ascii="Corbel" w:eastAsia="Calibri" w:hAnsi="Corbel" w:cs="Times New Roman"/>
                <w:color w:val="FF0000"/>
                <w:sz w:val="16"/>
                <w:szCs w:val="16"/>
                <w:lang w:val="en-AU"/>
              </w:rPr>
            </w:pPr>
          </w:p>
        </w:tc>
        <w:tc>
          <w:tcPr>
            <w:tcW w:w="1950" w:type="dxa"/>
            <w:tcBorders>
              <w:left w:val="single" w:sz="4" w:space="0" w:color="auto"/>
            </w:tcBorders>
          </w:tcPr>
          <w:p w14:paraId="7A1E1F3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Price decline in real terms on BAU (-10%) </w:t>
            </w:r>
          </w:p>
          <w:p w14:paraId="70A17D1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FJD145</w:t>
            </w:r>
          </w:p>
          <w:p w14:paraId="7E48C706" w14:textId="77777777" w:rsidR="001D1322" w:rsidRPr="005403DD" w:rsidRDefault="001D1322" w:rsidP="00C04DFB">
            <w:pPr>
              <w:jc w:val="center"/>
              <w:rPr>
                <w:rFonts w:ascii="Corbel" w:eastAsia="Calibri" w:hAnsi="Corbel" w:cs="Times New Roman"/>
                <w:sz w:val="16"/>
                <w:szCs w:val="16"/>
                <w:lang w:val="en-AU"/>
              </w:rPr>
            </w:pPr>
          </w:p>
          <w:p w14:paraId="49083222" w14:textId="77777777" w:rsidR="001D1322" w:rsidRPr="005403DD" w:rsidRDefault="001D1322" w:rsidP="00C04DFB">
            <w:pPr>
              <w:jc w:val="center"/>
              <w:rPr>
                <w:rFonts w:ascii="Corbel" w:eastAsia="Calibri" w:hAnsi="Corbel" w:cs="Times New Roman"/>
                <w:color w:val="FF0000"/>
                <w:sz w:val="16"/>
                <w:szCs w:val="16"/>
                <w:lang w:val="en-AU"/>
              </w:rPr>
            </w:pPr>
          </w:p>
        </w:tc>
        <w:tc>
          <w:tcPr>
            <w:tcW w:w="1804" w:type="dxa"/>
          </w:tcPr>
          <w:p w14:paraId="5A780D0E"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Real prices stable</w:t>
            </w:r>
          </w:p>
          <w:p w14:paraId="4A99AF99"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color w:val="000000" w:themeColor="text1"/>
                <w:sz w:val="16"/>
                <w:szCs w:val="16"/>
                <w:lang w:val="en-AU"/>
              </w:rPr>
              <w:t>157.849225954</w:t>
            </w:r>
          </w:p>
        </w:tc>
        <w:tc>
          <w:tcPr>
            <w:tcW w:w="1890" w:type="dxa"/>
            <w:shd w:val="clear" w:color="auto" w:fill="E7E6E6"/>
          </w:tcPr>
          <w:p w14:paraId="04F24E7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5EB7C79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Production value/ton Cereals: FJD480.22</w:t>
            </w:r>
          </w:p>
          <w:p w14:paraId="4B71192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Rest: FJD155.09</w:t>
            </w:r>
          </w:p>
          <w:p w14:paraId="4CDF3F44"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sz w:val="16"/>
                <w:szCs w:val="16"/>
                <w:lang w:val="en-AU"/>
              </w:rPr>
              <w:t>Real prices stable.</w:t>
            </w:r>
          </w:p>
        </w:tc>
        <w:tc>
          <w:tcPr>
            <w:tcW w:w="1841" w:type="dxa"/>
          </w:tcPr>
          <w:p w14:paraId="2B8AF9D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Price decline in real terms on BAU (-10%) </w:t>
            </w:r>
          </w:p>
          <w:p w14:paraId="0D9F29F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Rest: FJD145</w:t>
            </w:r>
          </w:p>
          <w:p w14:paraId="2E198415" w14:textId="77777777" w:rsidR="001D1322" w:rsidRPr="005403DD" w:rsidRDefault="001D1322" w:rsidP="00C04DFB">
            <w:pPr>
              <w:jc w:val="center"/>
              <w:rPr>
                <w:rFonts w:ascii="Corbel" w:eastAsia="Calibri" w:hAnsi="Corbel" w:cs="Times New Roman"/>
                <w:color w:val="FF0000"/>
                <w:sz w:val="16"/>
                <w:szCs w:val="16"/>
                <w:lang w:val="en-AU"/>
              </w:rPr>
            </w:pPr>
          </w:p>
        </w:tc>
        <w:tc>
          <w:tcPr>
            <w:tcW w:w="1701" w:type="dxa"/>
            <w:tcBorders>
              <w:right w:val="single" w:sz="4" w:space="0" w:color="auto"/>
            </w:tcBorders>
          </w:tcPr>
          <w:p w14:paraId="23ECD892"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Real prices stable</w:t>
            </w:r>
          </w:p>
          <w:p w14:paraId="503D22B1"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157.849225954</w:t>
            </w:r>
          </w:p>
        </w:tc>
        <w:tc>
          <w:tcPr>
            <w:tcW w:w="2213" w:type="dxa"/>
            <w:tcBorders>
              <w:top w:val="single" w:sz="4" w:space="0" w:color="auto"/>
              <w:left w:val="single" w:sz="4" w:space="0" w:color="auto"/>
              <w:bottom w:val="single" w:sz="4" w:space="0" w:color="auto"/>
              <w:right w:val="single" w:sz="4" w:space="0" w:color="auto"/>
            </w:tcBorders>
          </w:tcPr>
          <w:p w14:paraId="5468CF58" w14:textId="77777777" w:rsidR="001D1322" w:rsidRPr="005403DD" w:rsidRDefault="001D1322" w:rsidP="00C04DFB">
            <w:pPr>
              <w:jc w:val="center"/>
              <w:rPr>
                <w:rFonts w:ascii="Corbel" w:eastAsia="Calibri" w:hAnsi="Corbel" w:cs="Times New Roman"/>
                <w:color w:val="FF0000"/>
                <w:sz w:val="16"/>
                <w:szCs w:val="16"/>
                <w:lang w:val="en-AU"/>
              </w:rPr>
            </w:pPr>
            <w:r w:rsidRPr="005403DD">
              <w:rPr>
                <w:rFonts w:ascii="Corbel" w:eastAsia="Calibri" w:hAnsi="Corbel" w:cs="Times New Roman"/>
                <w:sz w:val="16"/>
                <w:szCs w:val="16"/>
                <w:lang w:val="en-AU"/>
              </w:rPr>
              <w:t xml:space="preserve">Agricultural commodity and production data from for Fiji 1990-2016 from FAOSTAT database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&lt;EndNote&gt;&lt;Cite&gt;&lt;Author&gt;FAO&lt;/Author&gt;&lt;Year&gt;2017&lt;/Year&gt;&lt;RecNum&gt;1052&lt;/RecNum&gt;&lt;DisplayText&gt;(FAO, 2017)&lt;/DisplayText&gt;&lt;record&gt;&lt;rec-number&gt;1052&lt;/rec-number&gt;&lt;foreign-keys&gt;&lt;key app="EN" db-id="9vsrvaat7fadwtesfsrpw5w5t0x5v500ef25" timestamp="1565086591"&gt;1052&lt;/key&gt;&lt;/foreign-keys&gt;&lt;ref-type name="Dataset"&gt;59&lt;/ref-type&gt;&lt;contributors&gt;&lt;authors&gt;&lt;author&gt;FAO&lt;/author&gt;&lt;/authors&gt;&lt;/contributors&gt;&lt;titles&gt;&lt;title&gt;FAOSTAT database&lt;/title&gt;&lt;/titles&gt;&lt;dates&gt;&lt;year&gt;2017&lt;/year&gt;&lt;/dates&gt;&lt;pub-location&gt;Rome, Italy&lt;/pub-location&gt;&lt;urls&gt;&lt;related-urls&gt;&lt;url&gt;http://www.fao.org/faostat/en/#data/RL&lt;/url&gt;&lt;/related-urls&gt;&lt;/urls&gt;&lt;access-date&gt;03/02/18&lt;/access-date&gt;&lt;/record&gt;&lt;/Cite&gt;&lt;/EndNote&gt;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(FAO,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Sugar is the main export commodity. Parameterised based on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AuthorYear="1"&gt;&lt;Author&gt;OECD&lt;/Author&gt;&lt;Year&gt;2019&lt;/Year&gt;&lt;RecNum&gt;1194&lt;/RecNum&gt;&lt;DisplayText&gt;OECD and FAO (2019)&lt;/DisplayText&gt;&lt;record&gt;&lt;rec-number&gt;1194&lt;/rec-number&gt;&lt;foreign-keys&gt;&lt;key app="EN" db-id="9vsrvaat7fadwtesfsrpw5w5t0x5v500ef25" timestamp="1576129199"&gt;1194&lt;/key&gt;&lt;/foreign-keys&gt;&lt;ref-type name="Generic"&gt;13&lt;/ref-type&gt;&lt;contributors&gt;&lt;authors&gt;&lt;author&gt;OECD,&lt;/author&gt;&lt;author&gt;FAO,&lt;/author&gt;&lt;/authors&gt;&lt;/contributors&gt;&lt;titles&gt;&lt;title&gt;Agricultrual Outlook 2019-2028&lt;/title&gt;&lt;/titles&gt;&lt;dates&gt;&lt;year&gt;2019&lt;/year&gt;&lt;/dates&gt;&lt;pub-location&gt;Paris&lt;/pub-location&gt;&lt;publisher&gt;OECD&lt;/publisher&gt;&lt;urls&gt;&lt;related-urls&gt;&lt;url&gt;http://www.agri-outlook.org/commodities/&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OECD and FAO (2019)</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Agricultural Outlook. World sugar prices are expected to rebound over 2020-2023 and then follow a slight downtrend to 2028 (USD 285/Mt). Through until 2028, global sugar production is projected to expand by 14%.  </w:t>
            </w:r>
            <w:r w:rsidRPr="005403DD">
              <w:rPr>
                <w:rFonts w:ascii="Corbel" w:eastAsia="Calibri" w:hAnsi="Corbel" w:cs="Times New Roman"/>
                <w:color w:val="000000" w:themeColor="text1"/>
                <w:sz w:val="16"/>
                <w:szCs w:val="16"/>
                <w:lang w:val="en-AU"/>
              </w:rPr>
              <w:t>Fiji Rest CAGR: -0.61% pa; total: -14.8%</w:t>
            </w:r>
          </w:p>
        </w:tc>
      </w:tr>
      <w:tr w:rsidR="001D1322" w:rsidRPr="005403DD" w14:paraId="715C3B86" w14:textId="77777777" w:rsidTr="00C04DFB">
        <w:tc>
          <w:tcPr>
            <w:tcW w:w="1531" w:type="dxa"/>
            <w:tcBorders>
              <w:left w:val="single" w:sz="4" w:space="0" w:color="auto"/>
            </w:tcBorders>
          </w:tcPr>
          <w:p w14:paraId="6A2E5632" w14:textId="77777777" w:rsidR="001D1322" w:rsidRPr="005403DD" w:rsidRDefault="001D1322" w:rsidP="00C04DFB">
            <w:pPr>
              <w:rPr>
                <w:rFonts w:ascii="Corbel" w:eastAsia="Calibri" w:hAnsi="Corbel" w:cs="Times New Roman"/>
                <w:color w:val="FF0000"/>
                <w:sz w:val="16"/>
                <w:szCs w:val="16"/>
                <w:lang w:val="en-AU"/>
              </w:rPr>
            </w:pPr>
          </w:p>
        </w:tc>
        <w:tc>
          <w:tcPr>
            <w:tcW w:w="1186" w:type="dxa"/>
          </w:tcPr>
          <w:p w14:paraId="0EADA7B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3706D784"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Agriculture input costs – fertilizer price per ton of nutrient</w:t>
            </w:r>
          </w:p>
        </w:tc>
        <w:tc>
          <w:tcPr>
            <w:tcW w:w="1950" w:type="dxa"/>
            <w:tcBorders>
              <w:left w:val="single" w:sz="4" w:space="0" w:color="auto"/>
            </w:tcBorders>
          </w:tcPr>
          <w:p w14:paraId="1C86AED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Real prices stable</w:t>
            </w:r>
          </w:p>
        </w:tc>
        <w:tc>
          <w:tcPr>
            <w:tcW w:w="1804" w:type="dxa"/>
          </w:tcPr>
          <w:p w14:paraId="75EEE17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Real prices stable</w:t>
            </w:r>
          </w:p>
        </w:tc>
        <w:tc>
          <w:tcPr>
            <w:tcW w:w="1890" w:type="dxa"/>
            <w:shd w:val="clear" w:color="auto" w:fill="E7E6E6"/>
          </w:tcPr>
          <w:p w14:paraId="684CB79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 (prices stable)</w:t>
            </w:r>
          </w:p>
          <w:p w14:paraId="622C3DE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 USD1,268.9</w:t>
            </w:r>
          </w:p>
          <w:p w14:paraId="565082AA" w14:textId="77777777" w:rsidR="001D1322" w:rsidRPr="005403DD" w:rsidRDefault="001D1322" w:rsidP="00C04DFB">
            <w:pPr>
              <w:jc w:val="center"/>
              <w:rPr>
                <w:rFonts w:ascii="Corbel" w:eastAsia="Calibri" w:hAnsi="Corbel" w:cs="Times New Roman"/>
                <w:sz w:val="16"/>
                <w:szCs w:val="16"/>
                <w:lang w:val="es-AR"/>
              </w:rPr>
            </w:pPr>
            <w:r w:rsidRPr="005403DD">
              <w:rPr>
                <w:rFonts w:ascii="Corbel" w:eastAsia="Calibri" w:hAnsi="Corbel" w:cs="Times New Roman"/>
                <w:sz w:val="16"/>
                <w:szCs w:val="16"/>
                <w:lang w:val="es-AR"/>
              </w:rPr>
              <w:t>P: USD1,380.0</w:t>
            </w:r>
          </w:p>
          <w:p w14:paraId="69B19E3B" w14:textId="77777777" w:rsidR="001D1322" w:rsidRPr="005403DD" w:rsidRDefault="001D1322" w:rsidP="00C04DFB">
            <w:pPr>
              <w:jc w:val="center"/>
              <w:rPr>
                <w:rFonts w:ascii="Corbel" w:eastAsia="Calibri" w:hAnsi="Corbel" w:cs="Times New Roman"/>
                <w:sz w:val="16"/>
                <w:szCs w:val="16"/>
                <w:lang w:val="es-AR"/>
              </w:rPr>
            </w:pPr>
            <w:r w:rsidRPr="005403DD">
              <w:rPr>
                <w:rFonts w:ascii="Corbel" w:eastAsia="Calibri" w:hAnsi="Corbel" w:cs="Times New Roman"/>
                <w:sz w:val="16"/>
                <w:szCs w:val="16"/>
                <w:lang w:val="es-AR"/>
              </w:rPr>
              <w:t>K: USD1,001.7</w:t>
            </w:r>
          </w:p>
        </w:tc>
        <w:tc>
          <w:tcPr>
            <w:tcW w:w="1841" w:type="dxa"/>
          </w:tcPr>
          <w:p w14:paraId="5E101B8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Real prices stable</w:t>
            </w:r>
          </w:p>
        </w:tc>
        <w:tc>
          <w:tcPr>
            <w:tcW w:w="1701" w:type="dxa"/>
            <w:tcBorders>
              <w:right w:val="single" w:sz="4" w:space="0" w:color="auto"/>
            </w:tcBorders>
          </w:tcPr>
          <w:p w14:paraId="2AFD82B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Real prices stable</w:t>
            </w:r>
          </w:p>
        </w:tc>
        <w:tc>
          <w:tcPr>
            <w:tcW w:w="2213" w:type="dxa"/>
            <w:tcBorders>
              <w:top w:val="single" w:sz="4" w:space="0" w:color="auto"/>
              <w:left w:val="single" w:sz="4" w:space="0" w:color="auto"/>
              <w:bottom w:val="single" w:sz="4" w:space="0" w:color="auto"/>
              <w:right w:val="single" w:sz="4" w:space="0" w:color="auto"/>
            </w:tcBorders>
          </w:tcPr>
          <w:p w14:paraId="5A8D149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Fertilizer costs estimated for each nutrient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&lt;EndNote&gt;&lt;Cite&gt;&lt;Author&gt;USDA&lt;/Author&gt;&lt;Year&gt;2017&lt;/Year&gt;&lt;RecNum&gt;1197&lt;/RecNum&gt;&lt;DisplayText&gt;(USDA, 2017)&lt;/DisplayText&gt;&lt;record&gt;&lt;rec-number&gt;1197&lt;/rec-number&gt;&lt;foreign-keys&gt;&lt;key app="EN" db-id="9vsrvaat7fadwtesfsrpw5w5t0x5v500ef25" timestamp="1576204818"&gt;1197&lt;/key&gt;&lt;/foreign-keys&gt;&lt;ref-type name="Dataset"&gt;59&lt;/ref-type&gt;&lt;contributors&gt;&lt;authors&gt;&lt;author&gt;USDA,&lt;/author&gt;&lt;/authors&gt;&lt;secondary-authors&gt;&lt;author&gt;National Agricultural Statistics Service&lt;/author&gt;&lt;/secondary-authors&gt;&lt;/contributors&gt;&lt;titles&gt;&lt;title&gt;National Agricultural Statistics&lt;/title&gt;&lt;/titles&gt;&lt;dates&gt;&lt;year&gt;2017&lt;/year&gt;&lt;/dates&gt;&lt;pub-location&gt;USA&lt;/pub-location&gt;&lt;publisher&gt;United States Department of Agriculture&lt;/publisher&gt;&lt;urls&gt;&lt;related-urls&gt;&lt;url&gt;https://www.nass.usda.gov/Quick_Stats/Lite/index.php&lt;/url&gt;&lt;/related-urls&gt;&lt;/urls&gt;&lt;/record&gt;&lt;/Cite&gt;&lt;/EndNote&gt;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(USDA,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Forecasted prices for 2030 are relatively stable in nominal terms or slight decline in real terms.</w:t>
            </w:r>
          </w:p>
        </w:tc>
      </w:tr>
      <w:tr w:rsidR="001D1322" w:rsidRPr="005403DD" w14:paraId="57F78D33" w14:textId="77777777" w:rsidTr="00C04DFB">
        <w:tc>
          <w:tcPr>
            <w:tcW w:w="1531" w:type="dxa"/>
            <w:tcBorders>
              <w:left w:val="single" w:sz="4" w:space="0" w:color="auto"/>
            </w:tcBorders>
          </w:tcPr>
          <w:p w14:paraId="7A646CE0" w14:textId="77777777" w:rsidR="001D1322" w:rsidRPr="005403DD" w:rsidRDefault="001D1322" w:rsidP="00C04DFB">
            <w:pPr>
              <w:rPr>
                <w:rFonts w:ascii="Corbel" w:eastAsia="Calibri" w:hAnsi="Corbel" w:cs="Times New Roman"/>
                <w:sz w:val="16"/>
                <w:szCs w:val="16"/>
                <w:lang w:val="en-AU"/>
              </w:rPr>
            </w:pPr>
          </w:p>
        </w:tc>
        <w:tc>
          <w:tcPr>
            <w:tcW w:w="1186" w:type="dxa"/>
          </w:tcPr>
          <w:p w14:paraId="79B1CE79" w14:textId="77777777" w:rsidR="001D1322" w:rsidRPr="005403DD" w:rsidRDefault="001D1322" w:rsidP="00C04DFB">
            <w:pPr>
              <w:rPr>
                <w:rFonts w:ascii="Corbel" w:eastAsia="Calibri" w:hAnsi="Corbel" w:cs="Times New Roman"/>
                <w:sz w:val="16"/>
                <w:szCs w:val="16"/>
                <w:lang w:val="en-AU"/>
              </w:rPr>
            </w:pPr>
          </w:p>
        </w:tc>
        <w:tc>
          <w:tcPr>
            <w:tcW w:w="1848" w:type="dxa"/>
            <w:tcBorders>
              <w:right w:val="single" w:sz="4" w:space="0" w:color="auto"/>
            </w:tcBorders>
          </w:tcPr>
          <w:p w14:paraId="354AF6F6"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Demand for agriculture exports &amp; consumption – meat: (prices RLCU per ton)</w:t>
            </w:r>
          </w:p>
        </w:tc>
        <w:tc>
          <w:tcPr>
            <w:tcW w:w="1950" w:type="dxa"/>
            <w:tcBorders>
              <w:left w:val="single" w:sz="4" w:space="0" w:color="auto"/>
            </w:tcBorders>
          </w:tcPr>
          <w:p w14:paraId="17F110B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Price decline in real terms on BAU (-10%)</w:t>
            </w:r>
          </w:p>
          <w:p w14:paraId="161AEBB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Livestock: $2444.4</w:t>
            </w:r>
          </w:p>
          <w:p w14:paraId="21D0830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Fish: $1,800.58</w:t>
            </w:r>
          </w:p>
          <w:p w14:paraId="57404178" w14:textId="77777777" w:rsidR="001D1322" w:rsidRPr="005403DD" w:rsidRDefault="001D1322" w:rsidP="00C04DFB">
            <w:pPr>
              <w:jc w:val="center"/>
              <w:rPr>
                <w:rFonts w:ascii="Corbel" w:eastAsia="Calibri" w:hAnsi="Corbel" w:cs="Times New Roman"/>
                <w:sz w:val="16"/>
                <w:szCs w:val="16"/>
                <w:lang w:val="en-AU"/>
              </w:rPr>
            </w:pPr>
          </w:p>
        </w:tc>
        <w:tc>
          <w:tcPr>
            <w:tcW w:w="1804" w:type="dxa"/>
          </w:tcPr>
          <w:p w14:paraId="571C77D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Real prices stable</w:t>
            </w:r>
          </w:p>
          <w:p w14:paraId="7A2DD4A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Livestock: 2716.30263079</w:t>
            </w:r>
          </w:p>
          <w:p w14:paraId="4B45212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Fish: 2000.64093</w:t>
            </w:r>
          </w:p>
          <w:p w14:paraId="3615BE71"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7B37D6C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2836A4E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Livestock: $2,716.30</w:t>
            </w:r>
          </w:p>
          <w:p w14:paraId="5361C07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Fish: $2000.64</w:t>
            </w:r>
          </w:p>
          <w:p w14:paraId="68222B3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Real prices stable.</w:t>
            </w:r>
          </w:p>
        </w:tc>
        <w:tc>
          <w:tcPr>
            <w:tcW w:w="1841" w:type="dxa"/>
          </w:tcPr>
          <w:p w14:paraId="01E0B27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Price decline in real terms on BAU (-10%)</w:t>
            </w:r>
          </w:p>
          <w:p w14:paraId="242BAF7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Livestock: $2444.4</w:t>
            </w:r>
          </w:p>
          <w:p w14:paraId="3AF7241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Fish: $1,800.58</w:t>
            </w:r>
          </w:p>
          <w:p w14:paraId="3630C8F2" w14:textId="77777777" w:rsidR="001D1322" w:rsidRPr="005403DD" w:rsidRDefault="001D1322" w:rsidP="00C04DFB">
            <w:pPr>
              <w:jc w:val="center"/>
              <w:rPr>
                <w:rFonts w:ascii="Corbel" w:eastAsia="Calibri" w:hAnsi="Corbel" w:cs="Times New Roman"/>
                <w:sz w:val="16"/>
                <w:szCs w:val="16"/>
                <w:lang w:val="en-AU"/>
              </w:rPr>
            </w:pPr>
          </w:p>
          <w:p w14:paraId="0899BB0B" w14:textId="77777777" w:rsidR="001D1322" w:rsidRPr="005403DD" w:rsidRDefault="001D1322" w:rsidP="00C04DFB">
            <w:pPr>
              <w:jc w:val="center"/>
              <w:rPr>
                <w:rFonts w:ascii="Corbel" w:eastAsia="Calibri" w:hAnsi="Corbel" w:cs="Times New Roman"/>
                <w:sz w:val="16"/>
                <w:szCs w:val="16"/>
                <w:lang w:val="en-AU"/>
              </w:rPr>
            </w:pPr>
          </w:p>
          <w:p w14:paraId="0CA94148" w14:textId="77777777" w:rsidR="001D1322" w:rsidRPr="005403DD" w:rsidRDefault="001D1322" w:rsidP="00C04DFB">
            <w:pPr>
              <w:jc w:val="center"/>
              <w:rPr>
                <w:rFonts w:ascii="Corbel" w:eastAsia="Calibri" w:hAnsi="Corbel" w:cs="Times New Roman"/>
                <w:sz w:val="16"/>
                <w:szCs w:val="16"/>
                <w:lang w:val="en-AU"/>
              </w:rPr>
            </w:pPr>
          </w:p>
        </w:tc>
        <w:tc>
          <w:tcPr>
            <w:tcW w:w="1701" w:type="dxa"/>
            <w:tcBorders>
              <w:right w:val="single" w:sz="4" w:space="0" w:color="auto"/>
            </w:tcBorders>
          </w:tcPr>
          <w:p w14:paraId="543A280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Real prices stable</w:t>
            </w:r>
          </w:p>
          <w:p w14:paraId="561F136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Livestock: 2716.30263079</w:t>
            </w:r>
          </w:p>
          <w:p w14:paraId="01371A8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Fish: 2000.64093</w:t>
            </w:r>
          </w:p>
          <w:p w14:paraId="3A00650F"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3C31D20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Agricultural commodity data from for Fiji from FAOSTAT database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&lt;EndNote&gt;&lt;Cite&gt;&lt;Author&gt;FAO&lt;/Author&gt;&lt;Year&gt;2017&lt;/Year&gt;&lt;RecNum&gt;1052&lt;/RecNum&gt;&lt;DisplayText&gt;(FAO, 2017)&lt;/DisplayText&gt;&lt;record&gt;&lt;rec-number&gt;1052&lt;/rec-number&gt;&lt;foreign-keys&gt;&lt;key app="EN" db-id="9vsrvaat7fadwtesfsrpw5w5t0x5v500ef25" timestamp="1565086591"&gt;1052&lt;/key&gt;&lt;/foreign-keys&gt;&lt;ref-type name="Dataset"&gt;59&lt;/ref-type&gt;&lt;contributors&gt;&lt;authors&gt;&lt;author&gt;FAO&lt;/author&gt;&lt;/authors&gt;&lt;/contributors&gt;&lt;titles&gt;&lt;title&gt;FAOSTAT database&lt;/title&gt;&lt;/titles&gt;&lt;dates&gt;&lt;year&gt;2017&lt;/year&gt;&lt;/dates&gt;&lt;pub-location&gt;Rome, Italy&lt;/pub-location&gt;&lt;urls&gt;&lt;related-urls&gt;&lt;url&gt;http://www.fao.org/faostat/en/#data/RL&lt;/url&gt;&lt;/related-urls&gt;&lt;/urls&gt;&lt;access-date&gt;03/02/18&lt;/access-date&gt;&lt;/record&gt;&lt;/Cite&gt;&lt;/EndNote&gt;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(FAO,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Parameterised on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AuthorYear="1"&gt;&lt;Author&gt;OECD&lt;/Author&gt;&lt;Year&gt;2017&lt;/Year&gt;&lt;RecNum&gt;942&lt;/RecNum&gt;&lt;DisplayText&gt;OECD and FAO (2017)&lt;/DisplayText&gt;&lt;record&gt;&lt;rec-number&gt;942&lt;/rec-number&gt;&lt;foreign-keys&gt;&lt;key app="EN" db-id="9vsrvaat7fadwtesfsrpw5w5t0x5v500ef25" timestamp="1544498524"&gt;942&lt;/key&gt;&lt;/foreign-keys&gt;&lt;ref-type name="Generic"&gt;13&lt;/ref-type&gt;&lt;contributors&gt;&lt;authors&gt;&lt;author&gt;OECD,&lt;/author&gt;&lt;author&gt;FAO,&lt;/author&gt;&lt;/authors&gt;&lt;/contributors&gt;&lt;titles&gt;&lt;title&gt;OECD-FAO Agricultural Outlook 2018-2027&lt;/title&gt;&lt;/titles&gt;&lt;dates&gt;&lt;year&gt;2017&lt;/year&gt;&lt;/dates&gt;&lt;pub-location&gt;Rome, Italy&lt;/pub-location&gt;&lt;publisher&gt;Organisation for Economic Cooperation and Development and the UN Food and Agricultural Organisation.&lt;/publisher&gt;&lt;urls&gt;&lt;/urls&gt;&lt;/record&gt;&lt;/Cite&gt;&lt;/EndNote&gt;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OECD and FAO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Agricultural Outlook. Meat production to increase by 15% by 2027; fish by 13%. Prices for meat to remain stable or decline slightly in real terms. Fish prices stable in real terms.</w:t>
            </w:r>
          </w:p>
          <w:p w14:paraId="5E5268B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Livestock CAGR: 1.26%pa; total 38.5%</w:t>
            </w:r>
          </w:p>
          <w:p w14:paraId="1A8769E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Fish CAGR: -2.08% pa; total -42.1%.</w:t>
            </w:r>
          </w:p>
        </w:tc>
      </w:tr>
      <w:tr w:rsidR="001D1322" w:rsidRPr="005403DD" w14:paraId="3026F4F5" w14:textId="77777777" w:rsidTr="00C04DFB">
        <w:tc>
          <w:tcPr>
            <w:tcW w:w="1531" w:type="dxa"/>
            <w:tcBorders>
              <w:left w:val="single" w:sz="4" w:space="0" w:color="auto"/>
            </w:tcBorders>
          </w:tcPr>
          <w:p w14:paraId="4EF0D124" w14:textId="77777777" w:rsidR="001D1322" w:rsidRPr="005403DD" w:rsidRDefault="001D1322" w:rsidP="00C04DFB">
            <w:pPr>
              <w:rPr>
                <w:rFonts w:ascii="Corbel" w:eastAsia="Calibri" w:hAnsi="Corbel" w:cs="Times New Roman"/>
                <w:sz w:val="16"/>
                <w:szCs w:val="16"/>
                <w:lang w:val="en-AU"/>
              </w:rPr>
            </w:pPr>
          </w:p>
        </w:tc>
        <w:tc>
          <w:tcPr>
            <w:tcW w:w="1186" w:type="dxa"/>
          </w:tcPr>
          <w:p w14:paraId="07943656"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5BF5361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Interest rates on debt (domestic/foreign)*</w:t>
            </w:r>
          </w:p>
          <w:p w14:paraId="6928062F" w14:textId="77777777" w:rsidR="001D1322" w:rsidRPr="005403DD" w:rsidRDefault="001D1322" w:rsidP="00C04DFB">
            <w:pPr>
              <w:rPr>
                <w:rFonts w:ascii="Corbel" w:eastAsia="Calibri" w:hAnsi="Corbel" w:cs="Times New Roman"/>
                <w:sz w:val="16"/>
                <w:szCs w:val="16"/>
                <w:lang w:val="en-AU"/>
              </w:rPr>
            </w:pPr>
          </w:p>
          <w:p w14:paraId="3F823B60" w14:textId="77777777" w:rsidR="001D1322" w:rsidRPr="005403DD" w:rsidRDefault="001D1322" w:rsidP="00C04DFB">
            <w:pPr>
              <w:rPr>
                <w:rFonts w:ascii="Corbel" w:eastAsia="Calibri" w:hAnsi="Corbel" w:cs="Times New Roman"/>
                <w:sz w:val="16"/>
                <w:szCs w:val="16"/>
                <w:lang w:val="en-AU"/>
              </w:rPr>
            </w:pPr>
          </w:p>
        </w:tc>
        <w:tc>
          <w:tcPr>
            <w:tcW w:w="1950" w:type="dxa"/>
            <w:tcBorders>
              <w:left w:val="single" w:sz="4" w:space="0" w:color="auto"/>
            </w:tcBorders>
          </w:tcPr>
          <w:p w14:paraId="022CA6D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Maintain</w:t>
            </w:r>
          </w:p>
        </w:tc>
        <w:tc>
          <w:tcPr>
            <w:tcW w:w="1804" w:type="dxa"/>
          </w:tcPr>
          <w:p w14:paraId="0609859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Maintain</w:t>
            </w:r>
          </w:p>
        </w:tc>
        <w:tc>
          <w:tcPr>
            <w:tcW w:w="1890" w:type="dxa"/>
            <w:shd w:val="clear" w:color="auto" w:fill="E7E6E6"/>
          </w:tcPr>
          <w:p w14:paraId="365597A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0CA847F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Rate: 6.386%</w:t>
            </w:r>
          </w:p>
          <w:p w14:paraId="2EDE8D67"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2AE36FC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Maintain</w:t>
            </w:r>
          </w:p>
        </w:tc>
        <w:tc>
          <w:tcPr>
            <w:tcW w:w="1701" w:type="dxa"/>
            <w:tcBorders>
              <w:right w:val="single" w:sz="4" w:space="0" w:color="auto"/>
            </w:tcBorders>
          </w:tcPr>
          <w:p w14:paraId="7242EF9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Maintain</w:t>
            </w:r>
          </w:p>
        </w:tc>
        <w:tc>
          <w:tcPr>
            <w:tcW w:w="2213" w:type="dxa"/>
            <w:tcBorders>
              <w:top w:val="single" w:sz="4" w:space="0" w:color="auto"/>
              <w:left w:val="single" w:sz="4" w:space="0" w:color="auto"/>
              <w:bottom w:val="single" w:sz="4" w:space="0" w:color="auto"/>
              <w:right w:val="single" w:sz="4" w:space="0" w:color="auto"/>
            </w:tcBorders>
          </w:tcPr>
          <w:p w14:paraId="0CEE61B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General government rate based on data on interest payments and government debt from government finance statistics for Fiji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&lt;EndNote&gt;&lt;Cite&gt;&lt;Author&gt;IMF&lt;/Author&gt;&lt;Year&gt;2017&lt;/Year&gt;&lt;RecNum&gt;1053&lt;/RecNum&gt;&lt;DisplayText&gt;(IMF, 2017, The World Bank, 2018)&lt;/DisplayText&gt;&lt;record&gt;&lt;rec-number&gt;1053&lt;/rec-number&gt;&lt;foreign-keys&gt;&lt;key app="EN" db-id="9vsrvaat7fadwtesfsrpw5w5t0x5v500ef25" timestamp="1565086952"&gt;1053&lt;/key&gt;&lt;/foreign-keys&gt;&lt;ref-type name="Dataset"&gt;59&lt;/ref-type&gt;&lt;contributors&gt;&lt;authors&gt;&lt;author&gt;IMF&lt;/author&gt;&lt;/authors&gt;&lt;secondary-authors&gt;&lt;author&gt;International Monetary Fund&lt;/author&gt;&lt;/secondary-authors&gt;&lt;/contributors&gt;&lt;titles&gt;&lt;title&gt;Government Finance Statistics&lt;/title&gt;&lt;/titles&gt;&lt;dates&gt;&lt;year&gt;2017&lt;/year&gt;&lt;/dates&gt;&lt;pub-location&gt;Washington, USA&lt;/pub-location&gt;&lt;urls&gt;&lt;related-urls&gt;&lt;url&gt;http://data.imf.org/?sk=a0867067-d23c-4ebc-ad23-d3b015045405&lt;/url&gt;&lt;/related-urls&gt;&lt;/urls&gt;&lt;access-date&gt;15/02/18&lt;/access-date&gt;&lt;/record&gt;&lt;/Cite&gt;&lt;Cite&gt;&lt;Author&gt;The World Bank&lt;/Author&gt;&lt;Year&gt;2018&lt;/Year&gt;&lt;RecNum&gt;1061&lt;/RecNum&gt;&lt;record&gt;&lt;rec-number&gt;1061&lt;/rec-number&gt;&lt;foreign-keys&gt;&lt;key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(IMF, 2017, 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Stabilised across all scenarios.</w:t>
            </w:r>
          </w:p>
        </w:tc>
      </w:tr>
      <w:tr w:rsidR="001D1322" w:rsidRPr="005403DD" w14:paraId="2921060B" w14:textId="77777777" w:rsidTr="00C04DFB">
        <w:tc>
          <w:tcPr>
            <w:tcW w:w="1531" w:type="dxa"/>
            <w:tcBorders>
              <w:left w:val="single" w:sz="4" w:space="0" w:color="auto"/>
            </w:tcBorders>
          </w:tcPr>
          <w:p w14:paraId="6190282E" w14:textId="77777777" w:rsidR="001D1322" w:rsidRPr="005403DD" w:rsidRDefault="001D1322" w:rsidP="00C04DFB">
            <w:pPr>
              <w:rPr>
                <w:rFonts w:ascii="Corbel" w:eastAsia="Calibri" w:hAnsi="Corbel" w:cs="Times New Roman"/>
                <w:sz w:val="16"/>
                <w:szCs w:val="16"/>
                <w:lang w:val="en-AU"/>
              </w:rPr>
            </w:pPr>
          </w:p>
        </w:tc>
        <w:tc>
          <w:tcPr>
            <w:tcW w:w="1186" w:type="dxa"/>
          </w:tcPr>
          <w:p w14:paraId="726249F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3FBD9AF2"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Tax rate on international trade (Taxes on int’l trade as share of imports; Additional taxes on international trade as share of GDP)*</w:t>
            </w:r>
          </w:p>
        </w:tc>
        <w:tc>
          <w:tcPr>
            <w:tcW w:w="1950" w:type="dxa"/>
            <w:tcBorders>
              <w:left w:val="single" w:sz="4" w:space="0" w:color="auto"/>
            </w:tcBorders>
          </w:tcPr>
          <w:p w14:paraId="67EE118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33242DA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(reduce by 1% as share GDP)</w:t>
            </w:r>
          </w:p>
        </w:tc>
        <w:tc>
          <w:tcPr>
            <w:tcW w:w="1804" w:type="dxa"/>
          </w:tcPr>
          <w:p w14:paraId="0DF955C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315CD73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(reduce by 1% as share GDP)</w:t>
            </w:r>
          </w:p>
        </w:tc>
        <w:tc>
          <w:tcPr>
            <w:tcW w:w="1890" w:type="dxa"/>
            <w:shd w:val="clear" w:color="auto" w:fill="E7E6E6"/>
          </w:tcPr>
          <w:p w14:paraId="51BA031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68168C6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Share imports: 9.347%</w:t>
            </w:r>
          </w:p>
          <w:p w14:paraId="441665C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Share GDP: 6.679%</w:t>
            </w:r>
          </w:p>
        </w:tc>
        <w:tc>
          <w:tcPr>
            <w:tcW w:w="1841" w:type="dxa"/>
          </w:tcPr>
          <w:p w14:paraId="2A4C3D6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p w14:paraId="49DC0FF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 by 2% as share GDP)</w:t>
            </w:r>
          </w:p>
        </w:tc>
        <w:tc>
          <w:tcPr>
            <w:tcW w:w="1701" w:type="dxa"/>
            <w:tcBorders>
              <w:right w:val="single" w:sz="4" w:space="0" w:color="auto"/>
            </w:tcBorders>
          </w:tcPr>
          <w:p w14:paraId="1A5CC95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p w14:paraId="74A44C2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 by 2% as share GDP)</w:t>
            </w:r>
          </w:p>
          <w:p w14:paraId="5E09FCDC" w14:textId="77777777" w:rsidR="001D1322" w:rsidRPr="005403DD" w:rsidRDefault="001D1322" w:rsidP="00C04DFB">
            <w:pPr>
              <w:jc w:val="center"/>
              <w:rPr>
                <w:rFonts w:ascii="Corbel" w:eastAsia="Calibri" w:hAnsi="Corbel" w:cs="Times New Roman"/>
                <w:sz w:val="16"/>
                <w:szCs w:val="16"/>
                <w:lang w:val="en-AU"/>
              </w:rPr>
            </w:pPr>
          </w:p>
          <w:p w14:paraId="4036607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+5% GDP pa</w:t>
            </w:r>
          </w:p>
        </w:tc>
        <w:tc>
          <w:tcPr>
            <w:tcW w:w="2213" w:type="dxa"/>
            <w:tcBorders>
              <w:top w:val="single" w:sz="4" w:space="0" w:color="auto"/>
              <w:left w:val="single" w:sz="4" w:space="0" w:color="auto"/>
              <w:bottom w:val="single" w:sz="4" w:space="0" w:color="auto"/>
              <w:right w:val="single" w:sz="4" w:space="0" w:color="auto"/>
            </w:tcBorders>
          </w:tcPr>
          <w:p w14:paraId="011F4ED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International trade tax rates based on IMF data for Fiji 1990-2016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&lt;EndNote&gt;&lt;Cite&gt;&lt;Author&gt;IMF&lt;/Author&gt;&lt;Year&gt;2017&lt;/Year&gt;&lt;RecNum&gt;1053&lt;/RecNum&gt;&lt;DisplayText&gt;(IMF, 2017, The World Bank, 2018)&lt;/DisplayText&gt;&lt;record&gt;&lt;rec-number&gt;1053&lt;/rec-number&gt;&lt;foreign-keys&gt;&lt;key app="EN" db-id="9vsrvaat7fadwtesfsrpw5w5t0x5v500ef25" timestamp="1565086952"&gt;1053&lt;/key&gt;&lt;/foreign-keys&gt;&lt;ref-type name="Dataset"&gt;59&lt;/ref-type&gt;&lt;contributors&gt;&lt;authors&gt;&lt;author&gt;IMF&lt;/author&gt;&lt;/authors&gt;&lt;secondary-authors&gt;&lt;author&gt;International Monetary Fund&lt;/author&gt;&lt;/secondary-authors&gt;&lt;/contributors&gt;&lt;titles&gt;&lt;title&gt;Government Finance Statistics&lt;/title&gt;&lt;/titles&gt;&lt;dates&gt;&lt;year&gt;2017&lt;/year&gt;&lt;/dates&gt;&lt;pub-location&gt;Washington, USA&lt;/pub-location&gt;&lt;urls&gt;&lt;related-urls&gt;&lt;url&gt;http://data.imf.org/?sk=a0867067-d23c-4ebc-ad23-d3b015045405&lt;/url&gt;&lt;/related-urls&gt;&lt;/urls&gt;&lt;access-date&gt;15/02/18&lt;/access-date&gt;&lt;/record&gt;&lt;/Cite&gt;&lt;Cite&gt;&lt;Author&gt;The World Bank&lt;/Author&gt;&lt;Year&gt;2018&lt;/Year&gt;&lt;RecNum&gt;1061&lt;/RecNum&gt;&lt;record&gt;&lt;rec-number&gt;1061&lt;/rec-number&gt;&lt;foreign-keys&gt;&lt;key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(IMF, 2017, 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Low-medium parameters estimated based on BAU and timeseries data (max = 8.2%; min = 4.2% GDP).</w:t>
            </w:r>
          </w:p>
        </w:tc>
      </w:tr>
      <w:tr w:rsidR="001D1322" w:rsidRPr="005403DD" w14:paraId="1CFB646A" w14:textId="77777777" w:rsidTr="00C04DFB">
        <w:tc>
          <w:tcPr>
            <w:tcW w:w="1531" w:type="dxa"/>
            <w:tcBorders>
              <w:left w:val="single" w:sz="4" w:space="0" w:color="auto"/>
            </w:tcBorders>
          </w:tcPr>
          <w:p w14:paraId="72F1AFB5" w14:textId="77777777" w:rsidR="001D1322" w:rsidRPr="005403DD" w:rsidRDefault="001D1322" w:rsidP="00C04DFB">
            <w:pPr>
              <w:rPr>
                <w:rFonts w:ascii="Corbel" w:eastAsia="Calibri" w:hAnsi="Corbel" w:cs="Times New Roman"/>
                <w:sz w:val="16"/>
                <w:szCs w:val="16"/>
                <w:lang w:val="en-AU"/>
              </w:rPr>
            </w:pPr>
          </w:p>
        </w:tc>
        <w:tc>
          <w:tcPr>
            <w:tcW w:w="1186" w:type="dxa"/>
          </w:tcPr>
          <w:p w14:paraId="3CEEA4AF"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2A309B6D"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Infrastructure expenditure (% GDP – </w:t>
            </w:r>
            <w:r w:rsidRPr="005403DD">
              <w:rPr>
                <w:rFonts w:ascii="Corbel" w:eastAsia="Calibri" w:hAnsi="Corbel" w:cs="Times New Roman"/>
                <w:sz w:val="16"/>
                <w:szCs w:val="16"/>
                <w:lang w:val="en-AU"/>
              </w:rPr>
              <w:lastRenderedPageBreak/>
              <w:t>transport; SDG expenditure paved road; SDG expenditure rail as % GDP)</w:t>
            </w:r>
          </w:p>
        </w:tc>
        <w:tc>
          <w:tcPr>
            <w:tcW w:w="1950" w:type="dxa"/>
            <w:tcBorders>
              <w:left w:val="single" w:sz="4" w:space="0" w:color="auto"/>
            </w:tcBorders>
          </w:tcPr>
          <w:p w14:paraId="25C773E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High for roads</w:t>
            </w:r>
          </w:p>
          <w:p w14:paraId="6FB5129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(3%; +road expenditure 0.5% GDP)</w:t>
            </w:r>
          </w:p>
        </w:tc>
        <w:tc>
          <w:tcPr>
            <w:tcW w:w="1804" w:type="dxa"/>
          </w:tcPr>
          <w:p w14:paraId="1097303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No additional</w:t>
            </w:r>
          </w:p>
        </w:tc>
        <w:tc>
          <w:tcPr>
            <w:tcW w:w="1890" w:type="dxa"/>
            <w:shd w:val="clear" w:color="auto" w:fill="E7E6E6"/>
          </w:tcPr>
          <w:p w14:paraId="1322073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1B7AF91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2.497% GDP</w:t>
            </w:r>
          </w:p>
          <w:p w14:paraId="57B368E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(0.02497)</w:t>
            </w:r>
          </w:p>
        </w:tc>
        <w:tc>
          <w:tcPr>
            <w:tcW w:w="1841" w:type="dxa"/>
          </w:tcPr>
          <w:p w14:paraId="18CB8B6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High</w:t>
            </w:r>
          </w:p>
          <w:p w14:paraId="53AFDE6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(3%; +road expenditure 0.25% GDP)</w:t>
            </w:r>
          </w:p>
        </w:tc>
        <w:tc>
          <w:tcPr>
            <w:tcW w:w="1701" w:type="dxa"/>
            <w:tcBorders>
              <w:right w:val="single" w:sz="4" w:space="0" w:color="auto"/>
            </w:tcBorders>
          </w:tcPr>
          <w:p w14:paraId="1CF5375F" w14:textId="647E9CCD" w:rsidR="001D1322" w:rsidRDefault="00F56486" w:rsidP="00C04DFB">
            <w:pPr>
              <w:jc w:val="center"/>
              <w:rPr>
                <w:rFonts w:ascii="Corbel" w:eastAsia="Calibri" w:hAnsi="Corbel" w:cs="Times New Roman"/>
                <w:sz w:val="16"/>
                <w:szCs w:val="16"/>
                <w:lang w:val="en-AU"/>
              </w:rPr>
            </w:pPr>
            <w:r>
              <w:rPr>
                <w:rFonts w:ascii="Corbel" w:eastAsia="Calibri" w:hAnsi="Corbel" w:cs="Times New Roman"/>
                <w:sz w:val="16"/>
                <w:szCs w:val="16"/>
                <w:lang w:val="en-AU"/>
              </w:rPr>
              <w:lastRenderedPageBreak/>
              <w:t xml:space="preserve">-0.2% GDP on </w:t>
            </w:r>
            <w:r w:rsidR="001C185C">
              <w:rPr>
                <w:rFonts w:ascii="Corbel" w:eastAsia="Calibri" w:hAnsi="Corbel" w:cs="Times New Roman"/>
                <w:sz w:val="16"/>
                <w:szCs w:val="16"/>
                <w:lang w:val="en-AU"/>
              </w:rPr>
              <w:t>roads</w:t>
            </w:r>
          </w:p>
          <w:p w14:paraId="68525709" w14:textId="39E1EA0F" w:rsidR="001C185C" w:rsidRDefault="001C185C" w:rsidP="00C04DFB">
            <w:pPr>
              <w:jc w:val="center"/>
              <w:rPr>
                <w:rFonts w:ascii="Corbel" w:eastAsia="Calibri" w:hAnsi="Corbel" w:cs="Times New Roman"/>
                <w:sz w:val="16"/>
                <w:szCs w:val="16"/>
                <w:lang w:val="en-AU"/>
              </w:rPr>
            </w:pPr>
          </w:p>
          <w:p w14:paraId="53419664" w14:textId="38F2F7A6" w:rsidR="00B442C4" w:rsidRPr="005403DD" w:rsidRDefault="00B442C4" w:rsidP="00B442C4">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ST_CLIMATE</w:t>
            </w:r>
            <w:r w:rsidR="0001704C">
              <w:rPr>
                <w:rFonts w:ascii="Corbel" w:eastAsia="Calibri" w:hAnsi="Corbel" w:cs="Times New Roman"/>
                <w:sz w:val="16"/>
                <w:szCs w:val="16"/>
                <w:lang w:val="en-AU"/>
              </w:rPr>
              <w:t xml:space="preserve"> -0.25</w:t>
            </w:r>
            <w:r w:rsidRPr="005403DD">
              <w:rPr>
                <w:rFonts w:ascii="Corbel" w:eastAsia="Calibri" w:hAnsi="Corbel" w:cs="Times New Roman"/>
                <w:sz w:val="16"/>
                <w:szCs w:val="16"/>
                <w:lang w:val="en-AU"/>
              </w:rPr>
              <w:t>% GDP pa</w:t>
            </w:r>
            <w:r w:rsidR="0001704C">
              <w:rPr>
                <w:rFonts w:ascii="Corbel" w:eastAsia="Calibri" w:hAnsi="Corbel" w:cs="Times New Roman"/>
                <w:sz w:val="16"/>
                <w:szCs w:val="16"/>
                <w:lang w:val="en-AU"/>
              </w:rPr>
              <w:t xml:space="preserve"> on roads</w:t>
            </w:r>
          </w:p>
          <w:p w14:paraId="2ABDED33" w14:textId="77777777" w:rsidR="00B442C4" w:rsidRPr="005403DD" w:rsidRDefault="00B442C4" w:rsidP="005C4C7B">
            <w:pPr>
              <w:rPr>
                <w:rFonts w:ascii="Corbel" w:eastAsia="Calibri" w:hAnsi="Corbel" w:cs="Times New Roman"/>
                <w:sz w:val="16"/>
                <w:szCs w:val="16"/>
                <w:lang w:val="en-AU"/>
              </w:rPr>
            </w:pPr>
          </w:p>
          <w:p w14:paraId="091EBCF1" w14:textId="5B3DBB15" w:rsidR="001D1322" w:rsidRDefault="001D1322" w:rsidP="00C04DFB">
            <w:pPr>
              <w:jc w:val="center"/>
              <w:rPr>
                <w:rFonts w:ascii="Corbel" w:eastAsia="Calibri" w:hAnsi="Corbel" w:cs="Times New Roman"/>
                <w:sz w:val="16"/>
                <w:szCs w:val="16"/>
                <w:shd w:val="clear" w:color="auto" w:fill="AFCEEB"/>
                <w:lang w:val="en-AU"/>
              </w:rPr>
            </w:pPr>
            <w:r w:rsidRPr="005403DD">
              <w:rPr>
                <w:rFonts w:ascii="Corbel" w:eastAsia="Calibri" w:hAnsi="Corbel" w:cs="Times New Roman"/>
                <w:sz w:val="16"/>
                <w:szCs w:val="16"/>
                <w:shd w:val="clear" w:color="auto" w:fill="AFCEEB"/>
                <w:lang w:val="en-AU"/>
              </w:rPr>
              <w:t xml:space="preserve">ST_SDG: </w:t>
            </w:r>
            <w:r w:rsidR="00B442C4">
              <w:rPr>
                <w:rFonts w:ascii="Corbel" w:eastAsia="Calibri" w:hAnsi="Corbel" w:cs="Times New Roman"/>
                <w:sz w:val="16"/>
                <w:szCs w:val="16"/>
                <w:shd w:val="clear" w:color="auto" w:fill="AFCEEB"/>
                <w:lang w:val="en-AU"/>
              </w:rPr>
              <w:t>-0.35</w:t>
            </w:r>
            <w:r w:rsidRPr="005403DD">
              <w:rPr>
                <w:rFonts w:ascii="Corbel" w:eastAsia="Calibri" w:hAnsi="Corbel" w:cs="Times New Roman"/>
                <w:sz w:val="16"/>
                <w:szCs w:val="16"/>
                <w:shd w:val="clear" w:color="auto" w:fill="AFCEEB"/>
                <w:lang w:val="en-AU"/>
              </w:rPr>
              <w:t>% GDP</w:t>
            </w:r>
            <w:r w:rsidR="0001704C">
              <w:rPr>
                <w:rFonts w:ascii="Corbel" w:eastAsia="Calibri" w:hAnsi="Corbel" w:cs="Times New Roman"/>
                <w:sz w:val="16"/>
                <w:szCs w:val="16"/>
                <w:shd w:val="clear" w:color="auto" w:fill="AFCEEB"/>
                <w:lang w:val="en-AU"/>
              </w:rPr>
              <w:t xml:space="preserve"> pa (</w:t>
            </w:r>
            <w:r w:rsidR="00B442C4">
              <w:rPr>
                <w:rFonts w:ascii="Corbel" w:eastAsia="Calibri" w:hAnsi="Corbel" w:cs="Times New Roman"/>
                <w:sz w:val="16"/>
                <w:szCs w:val="16"/>
                <w:shd w:val="clear" w:color="auto" w:fill="AFCEEB"/>
                <w:lang w:val="en-AU"/>
              </w:rPr>
              <w:t>roads</w:t>
            </w:r>
            <w:r w:rsidR="0001704C">
              <w:rPr>
                <w:rFonts w:ascii="Corbel" w:eastAsia="Calibri" w:hAnsi="Corbel" w:cs="Times New Roman"/>
                <w:sz w:val="16"/>
                <w:szCs w:val="16"/>
                <w:shd w:val="clear" w:color="auto" w:fill="AFCEEB"/>
                <w:lang w:val="en-AU"/>
              </w:rPr>
              <w:t>)</w:t>
            </w:r>
          </w:p>
          <w:p w14:paraId="2FA25FCE" w14:textId="615BB31E" w:rsidR="001C185C" w:rsidRPr="005403DD" w:rsidRDefault="001C185C" w:rsidP="00C04DFB">
            <w:pPr>
              <w:jc w:val="center"/>
              <w:rPr>
                <w:rFonts w:ascii="Corbel" w:eastAsia="Calibri" w:hAnsi="Corbel" w:cs="Times New Roman"/>
                <w:sz w:val="16"/>
                <w:szCs w:val="16"/>
                <w:lang w:val="en-AU"/>
              </w:rPr>
            </w:pPr>
            <w:r>
              <w:rPr>
                <w:rFonts w:ascii="Corbel" w:eastAsia="Calibri" w:hAnsi="Corbel" w:cs="Times New Roman"/>
                <w:sz w:val="16"/>
                <w:szCs w:val="16"/>
                <w:shd w:val="clear" w:color="auto" w:fill="AFCEEB"/>
                <w:lang w:val="en-AU"/>
              </w:rPr>
              <w:t>+</w:t>
            </w:r>
            <w:r w:rsidR="00B442C4">
              <w:rPr>
                <w:rFonts w:ascii="Corbel" w:eastAsia="Calibri" w:hAnsi="Corbel" w:cs="Times New Roman"/>
                <w:sz w:val="16"/>
                <w:szCs w:val="16"/>
                <w:shd w:val="clear" w:color="auto" w:fill="AFCEEB"/>
                <w:lang w:val="en-AU"/>
              </w:rPr>
              <w:t xml:space="preserve">0.15% GDP </w:t>
            </w:r>
            <w:r w:rsidR="0001704C">
              <w:rPr>
                <w:rFonts w:ascii="Corbel" w:eastAsia="Calibri" w:hAnsi="Corbel" w:cs="Times New Roman"/>
                <w:sz w:val="16"/>
                <w:szCs w:val="16"/>
                <w:shd w:val="clear" w:color="auto" w:fill="AFCEEB"/>
                <w:lang w:val="en-AU"/>
              </w:rPr>
              <w:t>pa  (r</w:t>
            </w:r>
            <w:r w:rsidR="00B442C4">
              <w:rPr>
                <w:rFonts w:ascii="Corbel" w:eastAsia="Calibri" w:hAnsi="Corbel" w:cs="Times New Roman"/>
                <w:sz w:val="16"/>
                <w:szCs w:val="16"/>
                <w:shd w:val="clear" w:color="auto" w:fill="AFCEEB"/>
                <w:lang w:val="en-AU"/>
              </w:rPr>
              <w:t>ail</w:t>
            </w:r>
            <w:r w:rsidR="0001704C">
              <w:rPr>
                <w:rFonts w:ascii="Corbel" w:eastAsia="Calibri" w:hAnsi="Corbel" w:cs="Times New Roman"/>
                <w:sz w:val="16"/>
                <w:szCs w:val="16"/>
                <w:shd w:val="clear" w:color="auto" w:fill="AFCEEB"/>
                <w:lang w:val="en-AU"/>
              </w:rPr>
              <w:t>)</w:t>
            </w:r>
          </w:p>
        </w:tc>
        <w:tc>
          <w:tcPr>
            <w:tcW w:w="2213" w:type="dxa"/>
            <w:tcBorders>
              <w:top w:val="single" w:sz="4" w:space="0" w:color="auto"/>
              <w:left w:val="single" w:sz="4" w:space="0" w:color="auto"/>
              <w:bottom w:val="single" w:sz="4" w:space="0" w:color="auto"/>
              <w:right w:val="single" w:sz="4" w:space="0" w:color="auto"/>
            </w:tcBorders>
          </w:tcPr>
          <w:p w14:paraId="03422E6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 xml:space="preserve">Road expenditure estimates based on available data on </w:t>
            </w:r>
            <w:r w:rsidRPr="005403DD">
              <w:rPr>
                <w:rFonts w:ascii="Corbel" w:eastAsia="Calibri" w:hAnsi="Corbel" w:cs="Times New Roman"/>
                <w:sz w:val="16"/>
                <w:szCs w:val="16"/>
                <w:lang w:val="en-AU"/>
              </w:rPr>
              <w:lastRenderedPageBreak/>
              <w:t xml:space="preserve">government expenditure </w:t>
            </w:r>
            <w:r w:rsidRPr="005403DD">
              <w:rPr>
                <w:rFonts w:ascii="Corbel" w:eastAsia="Calibri" w:hAnsi="Corbel" w:cs="Times New Roman"/>
                <w:sz w:val="16"/>
                <w:szCs w:val="16"/>
                <w:lang w:val="en-AU"/>
              </w:rPr>
              <w:fldChar w:fldCharType="begin">
                <w:fldData xml:space="preserve">PEVuZE5vdGU+PENpdGU+PEF1dGhvcj5GaWppIFJvYWRzIEF1dGhvcml0eTwvQXV0aG9yPjxZZWFy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</w:fldData>
              </w:fldChar>
            </w:r>
            <w:r w:rsidRPr="005403DD">
              <w:rPr>
                <w:rFonts w:ascii="Corbel" w:eastAsia="Calibri" w:hAnsi="Corbel" w:cs="Times New Roman"/>
                <w:sz w:val="16"/>
                <w:szCs w:val="16"/>
                <w:lang w:val="en-AU"/>
              </w:rPr>
              <w:instrText xml:space="preserve"> ADDIN EN.CITE </w:instrText>
            </w:r>
            <w:r w:rsidRPr="005403DD">
              <w:rPr>
                <w:rFonts w:ascii="Corbel" w:eastAsia="Calibri" w:hAnsi="Corbel" w:cs="Times New Roman"/>
                <w:sz w:val="16"/>
                <w:szCs w:val="16"/>
                <w:lang w:val="en-AU"/>
              </w:rPr>
              <w:fldChar w:fldCharType="begin">
                <w:fldData xml:space="preserve">PEVuZE5vdGU+PENpdGU+PEF1dGhvcj5GaWppIFJvYWRzIEF1dGhvcml0eTwvQXV0aG9yPjxZZWFy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</w:fldData>
              </w:fldChar>
            </w:r>
            <w:r w:rsidRPr="005403DD">
              <w:rPr>
                <w:rFonts w:ascii="Corbel" w:eastAsia="Calibri" w:hAnsi="Corbel" w:cs="Times New Roman"/>
                <w:sz w:val="16"/>
                <w:szCs w:val="16"/>
                <w:lang w:val="en-AU"/>
              </w:rPr>
              <w:instrText xml:space="preserve"> ADDIN EN.CITE.DATA </w:instrText>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(Fiji Roads Authority, 2016, Collier et al., 2015, World Bank, 2015)</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transportation infrastructure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w:t>
            </w:r>
          </w:p>
        </w:tc>
      </w:tr>
      <w:tr w:rsidR="001D1322" w:rsidRPr="005403DD" w14:paraId="1262D59D" w14:textId="77777777" w:rsidTr="00C04DFB">
        <w:tc>
          <w:tcPr>
            <w:tcW w:w="1531" w:type="dxa"/>
            <w:tcBorders>
              <w:left w:val="single" w:sz="4" w:space="0" w:color="auto"/>
            </w:tcBorders>
          </w:tcPr>
          <w:p w14:paraId="7347EA0F" w14:textId="77777777" w:rsidR="001D1322" w:rsidRPr="005403DD" w:rsidRDefault="001D1322" w:rsidP="00C04DFB">
            <w:pPr>
              <w:rPr>
                <w:rFonts w:ascii="Corbel" w:eastAsia="Calibri" w:hAnsi="Corbel" w:cs="Times New Roman"/>
                <w:sz w:val="16"/>
                <w:szCs w:val="16"/>
                <w:lang w:val="en-AU"/>
              </w:rPr>
            </w:pPr>
          </w:p>
        </w:tc>
        <w:tc>
          <w:tcPr>
            <w:tcW w:w="1186" w:type="dxa"/>
          </w:tcPr>
          <w:p w14:paraId="28EB3118"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61C73212"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Agriculture expenditure – sustainable biomass</w:t>
            </w:r>
          </w:p>
        </w:tc>
        <w:tc>
          <w:tcPr>
            <w:tcW w:w="1950" w:type="dxa"/>
            <w:tcBorders>
              <w:left w:val="single" w:sz="4" w:space="0" w:color="auto"/>
            </w:tcBorders>
          </w:tcPr>
          <w:p w14:paraId="31D8B9E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804" w:type="dxa"/>
          </w:tcPr>
          <w:p w14:paraId="626092D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Additional for sustainable biomass</w:t>
            </w:r>
          </w:p>
          <w:p w14:paraId="2DEDCCE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 p/a</w:t>
            </w:r>
          </w:p>
        </w:tc>
        <w:tc>
          <w:tcPr>
            <w:tcW w:w="1890" w:type="dxa"/>
            <w:shd w:val="clear" w:color="auto" w:fill="E7E6E6"/>
          </w:tcPr>
          <w:p w14:paraId="16DA4D0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841" w:type="dxa"/>
          </w:tcPr>
          <w:p w14:paraId="4FC9C53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701" w:type="dxa"/>
            <w:tcBorders>
              <w:right w:val="single" w:sz="4" w:space="0" w:color="auto"/>
            </w:tcBorders>
          </w:tcPr>
          <w:p w14:paraId="0AA0516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Additional for sustainable biomass</w:t>
            </w:r>
          </w:p>
          <w:p w14:paraId="435FEEF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 p/a</w:t>
            </w:r>
          </w:p>
          <w:p w14:paraId="525FD1BF" w14:textId="77777777" w:rsidR="001D1322" w:rsidRPr="005403DD" w:rsidRDefault="001D1322" w:rsidP="00C04DFB">
            <w:pPr>
              <w:jc w:val="center"/>
              <w:rPr>
                <w:rFonts w:ascii="Corbel" w:eastAsia="Calibri" w:hAnsi="Corbel" w:cs="Times New Roman"/>
                <w:sz w:val="16"/>
                <w:szCs w:val="16"/>
                <w:lang w:val="en-AU"/>
              </w:rPr>
            </w:pPr>
          </w:p>
          <w:p w14:paraId="40FE7FE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+0.5% GDP pa</w:t>
            </w:r>
          </w:p>
        </w:tc>
        <w:tc>
          <w:tcPr>
            <w:tcW w:w="2213" w:type="dxa"/>
            <w:tcBorders>
              <w:top w:val="single" w:sz="4" w:space="0" w:color="auto"/>
              <w:left w:val="single" w:sz="4" w:space="0" w:color="auto"/>
              <w:bottom w:val="single" w:sz="4" w:space="0" w:color="auto"/>
              <w:right w:val="single" w:sz="4" w:space="0" w:color="auto"/>
            </w:tcBorders>
          </w:tcPr>
          <w:p w14:paraId="7E7E8461" w14:textId="77EC2592"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Additional expenditure parameterised based on Government of Fiji investment estimates included in NDC Roadmap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Fiji&lt;/Author&gt;&lt;Year&gt;2017&lt;/Year&gt;&lt;RecNum&gt;1188&lt;/RecNum&gt;&lt;DisplayText&gt;(Government of Fiji, 2017b)&lt;/DisplayText&gt;&lt;record&gt;&lt;rec-number&gt;1188&lt;/rec-number&gt;&lt;foreign-keys&gt;&lt;key app="EN" db-id="9vsrvaat7fadwtesfsrpw5w5t0x5v500ef25" timestamp="1575336677"&gt;1188&lt;/key&gt;&lt;/foreign-keys&gt;&lt;ref-type name="Generic"&gt;13&lt;/ref-type&gt;&lt;contributors&gt;&lt;authors&gt;&lt;author&gt;Government of Fiji,&lt;/author&gt;&lt;/authors&gt;&lt;/contributors&gt;&lt;titles&gt;&lt;title&gt;Fiji NDC Implementation Roadmap 2017-2030&lt;/title&gt;&lt;/titles&gt;&lt;dates&gt;&lt;year&gt;2017&lt;/year&gt;&lt;/dates&gt;&lt;pub-location&gt;Suva, Fiji&lt;/pub-location&gt;&lt;publisher&gt;Government of Fiji&lt;/publisher&gt;&lt;urls&gt;&lt;related-urls&gt;&lt;url&gt;https://cop23.com.fj/wp-content/uploads/2018/03/FIJI-NDC-IMPLEMENTATION-ROADMAP_LOWRES.pdf&lt;/url&gt;&lt;/related-urls&gt;&lt;/urls&gt;&lt;/record&gt;&lt;/Cite&gt;&lt;/EndNote&gt;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2017b)</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and LEDS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2018a)</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Investments estimated for period 2020 to 2030. Additional investment needs:</w:t>
            </w:r>
          </w:p>
          <w:p w14:paraId="56A982E9"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2021-2025: US$7m (4,000 ha)</w:t>
            </w:r>
          </w:p>
          <w:p w14:paraId="40100048"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2026-2030: US$19m (14,000ha)</w:t>
            </w:r>
          </w:p>
          <w:p w14:paraId="40E7A99D"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Total = US$26m</w:t>
            </w:r>
          </w:p>
        </w:tc>
      </w:tr>
      <w:tr w:rsidR="001D1322" w:rsidRPr="005403DD" w14:paraId="7280DD46" w14:textId="77777777" w:rsidTr="00C04DFB">
        <w:tc>
          <w:tcPr>
            <w:tcW w:w="1531" w:type="dxa"/>
            <w:tcBorders>
              <w:left w:val="single" w:sz="4" w:space="0" w:color="auto"/>
            </w:tcBorders>
          </w:tcPr>
          <w:p w14:paraId="74A998E3" w14:textId="77777777" w:rsidR="001D1322" w:rsidRPr="005403DD" w:rsidRDefault="001D1322" w:rsidP="00C04DFB">
            <w:pPr>
              <w:rPr>
                <w:rFonts w:ascii="Corbel" w:eastAsia="Calibri" w:hAnsi="Corbel" w:cs="Times New Roman"/>
                <w:sz w:val="16"/>
                <w:szCs w:val="16"/>
                <w:lang w:val="en-AU"/>
              </w:rPr>
            </w:pPr>
          </w:p>
        </w:tc>
        <w:tc>
          <w:tcPr>
            <w:tcW w:w="1186" w:type="dxa"/>
          </w:tcPr>
          <w:p w14:paraId="295B26CA"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28EBE3A2"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Tax rate on income and profits (% GDP; additional taxes on income and profits as % GDP)*</w:t>
            </w:r>
          </w:p>
        </w:tc>
        <w:tc>
          <w:tcPr>
            <w:tcW w:w="1950" w:type="dxa"/>
            <w:tcBorders>
              <w:left w:val="single" w:sz="4" w:space="0" w:color="auto"/>
            </w:tcBorders>
          </w:tcPr>
          <w:p w14:paraId="7C8885E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1C86F1A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 = 0.051)</w:t>
            </w:r>
          </w:p>
        </w:tc>
        <w:tc>
          <w:tcPr>
            <w:tcW w:w="1804" w:type="dxa"/>
          </w:tcPr>
          <w:p w14:paraId="7FF04BD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409A19D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 = 0.051)</w:t>
            </w:r>
          </w:p>
        </w:tc>
        <w:tc>
          <w:tcPr>
            <w:tcW w:w="1890" w:type="dxa"/>
            <w:shd w:val="clear" w:color="auto" w:fill="E7E6E6"/>
          </w:tcPr>
          <w:p w14:paraId="72DF64A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r w:rsidRPr="005403DD">
              <w:rPr>
                <w:rFonts w:ascii="Corbel" w:eastAsia="Calibri" w:hAnsi="Corbel" w:cs="Times New Roman"/>
                <w:sz w:val="16"/>
                <w:szCs w:val="16"/>
                <w:lang w:val="en-AU"/>
              </w:rPr>
              <w:br/>
              <w:t>7.087% GDP</w:t>
            </w:r>
          </w:p>
          <w:p w14:paraId="7F24BF3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0.07687</w:t>
            </w:r>
          </w:p>
        </w:tc>
        <w:tc>
          <w:tcPr>
            <w:tcW w:w="1841" w:type="dxa"/>
          </w:tcPr>
          <w:p w14:paraId="3FC99B7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345D29E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 = 0.o9)</w:t>
            </w:r>
          </w:p>
        </w:tc>
        <w:tc>
          <w:tcPr>
            <w:tcW w:w="1701" w:type="dxa"/>
            <w:tcBorders>
              <w:right w:val="single" w:sz="4" w:space="0" w:color="auto"/>
            </w:tcBorders>
          </w:tcPr>
          <w:p w14:paraId="751C387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p w14:paraId="56AEE8A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 = 0.08)</w:t>
            </w:r>
          </w:p>
          <w:p w14:paraId="0F2003CC" w14:textId="77777777" w:rsidR="001D1322" w:rsidRPr="005403DD" w:rsidRDefault="001D1322" w:rsidP="00C04DFB">
            <w:pPr>
              <w:jc w:val="center"/>
              <w:rPr>
                <w:rFonts w:ascii="Corbel" w:eastAsia="Calibri" w:hAnsi="Corbel" w:cs="Times New Roman"/>
                <w:sz w:val="16"/>
                <w:szCs w:val="16"/>
                <w:lang w:val="en-AU"/>
              </w:rPr>
            </w:pPr>
          </w:p>
          <w:p w14:paraId="5A3E5444" w14:textId="77777777" w:rsidR="001D1322" w:rsidRPr="005403DD" w:rsidRDefault="001D1322" w:rsidP="00C04DFB">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ST_CLIMATE +2% GDP pa</w:t>
            </w:r>
          </w:p>
          <w:p w14:paraId="2433A685" w14:textId="77777777" w:rsidR="001D1322" w:rsidRPr="005403DD" w:rsidRDefault="001D1322" w:rsidP="00C04DFB">
            <w:pPr>
              <w:jc w:val="center"/>
              <w:rPr>
                <w:rFonts w:ascii="Corbel" w:eastAsia="Calibri" w:hAnsi="Corbel" w:cs="Times New Roman"/>
                <w:sz w:val="16"/>
                <w:szCs w:val="16"/>
                <w:lang w:val="en-AU"/>
              </w:rPr>
            </w:pPr>
          </w:p>
          <w:p w14:paraId="6C8812C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+4% GDP pa</w:t>
            </w:r>
          </w:p>
        </w:tc>
        <w:tc>
          <w:tcPr>
            <w:tcW w:w="2213" w:type="dxa"/>
            <w:tcBorders>
              <w:top w:val="single" w:sz="4" w:space="0" w:color="auto"/>
              <w:left w:val="single" w:sz="4" w:space="0" w:color="auto"/>
              <w:bottom w:val="single" w:sz="4" w:space="0" w:color="auto"/>
              <w:right w:val="single" w:sz="4" w:space="0" w:color="auto"/>
            </w:tcBorders>
          </w:tcPr>
          <w:p w14:paraId="3B45740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Tax rate on income and profits based on IMF data for Fiji 1990-2016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&lt;EndNote&gt;&lt;Cite&gt;&lt;Author&gt;IMF&lt;/Author&gt;&lt;Year&gt;2017&lt;/Year&gt;&lt;RecNum&gt;1053&lt;/RecNum&gt;&lt;DisplayText&gt;(IMF, 2017, The World Bank, 2018)&lt;/DisplayText&gt;&lt;record&gt;&lt;rec-number&gt;1053&lt;/rec-number&gt;&lt;foreign-keys&gt;&lt;key app="EN" db-id="9vsrvaat7fadwtesfsrpw5w5t0x5v500ef25" timestamp="1565086952"&gt;1053&lt;/key&gt;&lt;/foreign-keys&gt;&lt;ref-type name="Dataset"&gt;59&lt;/ref-type&gt;&lt;contributors&gt;&lt;authors&gt;&lt;author&gt;IMF&lt;/author&gt;&lt;/authors&gt;&lt;secondary-authors&gt;&lt;author&gt;International Monetary Fund&lt;/author&gt;&lt;/secondary-authors&gt;&lt;/contributors&gt;&lt;titles&gt;&lt;title&gt;Government Finance Statistics&lt;/title&gt;&lt;/titles&gt;&lt;dates&gt;&lt;year&gt;2017&lt;/year&gt;&lt;/dates&gt;&lt;pub-location&gt;Washington, USA&lt;/pub-location&gt;&lt;urls&gt;&lt;related-urls&gt;&lt;url&gt;http://data.imf.org/?sk=a0867067-d23c-4ebc-ad23-d3b015045405&lt;/url&gt;&lt;/related-urls&gt;&lt;/urls&gt;&lt;access-date&gt;15/02/18&lt;/access-date&gt;&lt;/record&gt;&lt;/Cite&gt;&lt;Cite&gt;&lt;Author&gt;The World Bank&lt;/Author&gt;&lt;Year&gt;2018&lt;/Year&gt;&lt;RecNum&gt;1061&lt;/RecNum&gt;&lt;record&gt;&lt;rec-number&gt;1061&lt;/rec-number&gt;&lt;foreign-keys&gt;&lt;key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(IMF, 2017, 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Low-medium parameters estimated based on BAU and timeseries data (max = 10.4%; min = 6.8%)</w:t>
            </w:r>
          </w:p>
        </w:tc>
      </w:tr>
      <w:tr w:rsidR="001D1322" w:rsidRPr="005403DD" w14:paraId="47362D91" w14:textId="77777777" w:rsidTr="00C04DFB">
        <w:tc>
          <w:tcPr>
            <w:tcW w:w="1531" w:type="dxa"/>
            <w:tcBorders>
              <w:left w:val="single" w:sz="4" w:space="0" w:color="auto"/>
            </w:tcBorders>
          </w:tcPr>
          <w:p w14:paraId="54B5B120" w14:textId="77777777" w:rsidR="001D1322" w:rsidRPr="005403DD" w:rsidRDefault="001D1322" w:rsidP="00C04DFB">
            <w:pPr>
              <w:rPr>
                <w:rFonts w:ascii="Corbel" w:eastAsia="Calibri" w:hAnsi="Corbel" w:cs="Times New Roman"/>
                <w:sz w:val="16"/>
                <w:szCs w:val="16"/>
                <w:lang w:val="en-AU"/>
              </w:rPr>
            </w:pPr>
          </w:p>
        </w:tc>
        <w:tc>
          <w:tcPr>
            <w:tcW w:w="1186" w:type="dxa"/>
          </w:tcPr>
          <w:p w14:paraId="59590BA4"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4820657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Tax rate on consumption (GST) (% GDP; additional taxes on consumption as % GDP)*</w:t>
            </w:r>
          </w:p>
        </w:tc>
        <w:tc>
          <w:tcPr>
            <w:tcW w:w="1950" w:type="dxa"/>
            <w:tcBorders>
              <w:left w:val="single" w:sz="4" w:space="0" w:color="auto"/>
            </w:tcBorders>
          </w:tcPr>
          <w:p w14:paraId="1DE0C29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5295340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12% GDP (-2%)</w:t>
            </w:r>
          </w:p>
        </w:tc>
        <w:tc>
          <w:tcPr>
            <w:tcW w:w="1804" w:type="dxa"/>
          </w:tcPr>
          <w:p w14:paraId="40FACED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70DDA1B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17% GDP (+3%)</w:t>
            </w:r>
          </w:p>
        </w:tc>
        <w:tc>
          <w:tcPr>
            <w:tcW w:w="1890" w:type="dxa"/>
            <w:shd w:val="clear" w:color="auto" w:fill="E7E6E6"/>
          </w:tcPr>
          <w:p w14:paraId="019299C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7021C06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14% GDP</w:t>
            </w:r>
          </w:p>
          <w:p w14:paraId="59DF253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0.13996</w:t>
            </w:r>
          </w:p>
        </w:tc>
        <w:tc>
          <w:tcPr>
            <w:tcW w:w="1841" w:type="dxa"/>
          </w:tcPr>
          <w:p w14:paraId="60A335F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Medium</w:t>
            </w:r>
          </w:p>
          <w:p w14:paraId="705980F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13% GDP (-1%)</w:t>
            </w:r>
          </w:p>
        </w:tc>
        <w:tc>
          <w:tcPr>
            <w:tcW w:w="1701" w:type="dxa"/>
            <w:tcBorders>
              <w:right w:val="single" w:sz="4" w:space="0" w:color="auto"/>
            </w:tcBorders>
          </w:tcPr>
          <w:p w14:paraId="34B688A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59A6778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17% GDP (+3%)</w:t>
            </w:r>
          </w:p>
          <w:p w14:paraId="6243E9E7" w14:textId="77777777" w:rsidR="001D1322" w:rsidRPr="005403DD" w:rsidRDefault="001D1322" w:rsidP="00C04DFB">
            <w:pPr>
              <w:jc w:val="center"/>
              <w:rPr>
                <w:rFonts w:ascii="Corbel" w:eastAsia="Calibri" w:hAnsi="Corbel" w:cs="Times New Roman"/>
                <w:sz w:val="16"/>
                <w:szCs w:val="16"/>
                <w:lang w:val="en-AU"/>
              </w:rPr>
            </w:pPr>
          </w:p>
          <w:p w14:paraId="627132C9" w14:textId="77777777" w:rsidR="001D1322" w:rsidRPr="005403DD" w:rsidRDefault="001D1322" w:rsidP="00C04DFB">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ST_CLIMATE +5% GDP pa</w:t>
            </w:r>
          </w:p>
          <w:p w14:paraId="2BB62A21" w14:textId="77777777" w:rsidR="001D1322" w:rsidRPr="005403DD" w:rsidRDefault="001D1322" w:rsidP="00C04DFB">
            <w:pPr>
              <w:jc w:val="center"/>
              <w:rPr>
                <w:rFonts w:ascii="Corbel" w:eastAsia="Calibri" w:hAnsi="Corbel" w:cs="Times New Roman"/>
                <w:sz w:val="16"/>
                <w:szCs w:val="16"/>
                <w:lang w:val="en-AU"/>
              </w:rPr>
            </w:pPr>
          </w:p>
          <w:p w14:paraId="067AF70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+5% GDP pa</w:t>
            </w:r>
          </w:p>
        </w:tc>
        <w:tc>
          <w:tcPr>
            <w:tcW w:w="2213" w:type="dxa"/>
            <w:tcBorders>
              <w:top w:val="single" w:sz="4" w:space="0" w:color="auto"/>
              <w:left w:val="single" w:sz="4" w:space="0" w:color="auto"/>
              <w:bottom w:val="single" w:sz="4" w:space="0" w:color="auto"/>
              <w:right w:val="single" w:sz="4" w:space="0" w:color="auto"/>
            </w:tcBorders>
          </w:tcPr>
          <w:p w14:paraId="3664770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Tax rate on consumption based on IMF data for Australia 1990-2016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&lt;EndNote&gt;&lt;Cite&gt;&lt;Author&gt;IMF&lt;/Author&gt;&lt;Year&gt;2017&lt;/Year&gt;&lt;RecNum&gt;1053&lt;/RecNum&gt;&lt;DisplayText&gt;(IMF, 2017, The World Bank, 2018)&lt;/DisplayText&gt;&lt;record&gt;&lt;rec-number&gt;1053&lt;/rec-number&gt;&lt;foreign-keys&gt;&lt;key app="EN" db-id="9vsrvaat7fadwtesfsrpw5w5t0x5v500ef25" timestamp="1565086952"&gt;1053&lt;/key&gt;&lt;/foreign-keys&gt;&lt;ref-type name="Dataset"&gt;59&lt;/ref-type&gt;&lt;contributors&gt;&lt;authors&gt;&lt;author&gt;IMF&lt;/author&gt;&lt;/authors&gt;&lt;secondary-authors&gt;&lt;author&gt;International Monetary Fund&lt;/author&gt;&lt;/secondary-authors&gt;&lt;/contributors&gt;&lt;titles&gt;&lt;title&gt;Government Finance Statistics&lt;/title&gt;&lt;/titles&gt;&lt;dates&gt;&lt;year&gt;2017&lt;/year&gt;&lt;/dates&gt;&lt;pub-location&gt;Washington, USA&lt;/pub-location&gt;&lt;urls&gt;&lt;related-urls&gt;&lt;url&gt;http://data.imf.org/?sk=a0867067-d23c-4ebc-ad23-d3b015045405&lt;/url&gt;&lt;/related-urls&gt;&lt;/urls&gt;&lt;access-date&gt;15/02/18&lt;/access-date&gt;&lt;/record&gt;&lt;/Cite&gt;&lt;Cite&gt;&lt;Author&gt;The World Bank&lt;/Author&gt;&lt;Year&gt;2018&lt;/Year&gt;&lt;RecNum&gt;1061&lt;/RecNum&gt;&lt;record&gt;&lt;rec-number&gt;1061&lt;/rec-number&gt;&lt;foreign-keys&gt;&lt;key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(IMF, 2017, 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Low to high parameters based on BAU and timeseries data (max = 15.1; min = 5.7%)</w:t>
            </w:r>
          </w:p>
        </w:tc>
      </w:tr>
      <w:tr w:rsidR="001D1322" w:rsidRPr="005403DD" w14:paraId="284A0D48" w14:textId="77777777" w:rsidTr="00C04DFB">
        <w:tc>
          <w:tcPr>
            <w:tcW w:w="1531" w:type="dxa"/>
            <w:tcBorders>
              <w:left w:val="single" w:sz="4" w:space="0" w:color="auto"/>
            </w:tcBorders>
          </w:tcPr>
          <w:p w14:paraId="047EE31B" w14:textId="01AF38BB" w:rsidR="001D1322" w:rsidRPr="00C458A2" w:rsidRDefault="001D1322" w:rsidP="00C04DFB">
            <w:pPr>
              <w:rPr>
                <w:rFonts w:ascii="Corbel" w:eastAsia="Calibri" w:hAnsi="Corbel" w:cs="Times New Roman"/>
                <w:sz w:val="16"/>
                <w:szCs w:val="16"/>
              </w:rPr>
            </w:pPr>
          </w:p>
        </w:tc>
        <w:tc>
          <w:tcPr>
            <w:tcW w:w="1186" w:type="dxa"/>
          </w:tcPr>
          <w:p w14:paraId="12DB249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7C17FEB5"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Official Exchange Rate</w:t>
            </w:r>
          </w:p>
        </w:tc>
        <w:tc>
          <w:tcPr>
            <w:tcW w:w="1950" w:type="dxa"/>
            <w:tcBorders>
              <w:left w:val="single" w:sz="4" w:space="0" w:color="auto"/>
            </w:tcBorders>
          </w:tcPr>
          <w:p w14:paraId="3F9372F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Remain stable</w:t>
            </w:r>
          </w:p>
          <w:p w14:paraId="16AF634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2.087 FJD/USD</w:t>
            </w:r>
          </w:p>
        </w:tc>
        <w:tc>
          <w:tcPr>
            <w:tcW w:w="1804" w:type="dxa"/>
          </w:tcPr>
          <w:p w14:paraId="617F541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Remain stable</w:t>
            </w:r>
          </w:p>
          <w:p w14:paraId="6CC98E8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2.087 FJD/USD</w:t>
            </w:r>
          </w:p>
        </w:tc>
        <w:tc>
          <w:tcPr>
            <w:tcW w:w="1890" w:type="dxa"/>
            <w:shd w:val="clear" w:color="auto" w:fill="E7E6E6"/>
          </w:tcPr>
          <w:p w14:paraId="0B6ED12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3559961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2.087 FJD/USD</w:t>
            </w:r>
          </w:p>
        </w:tc>
        <w:tc>
          <w:tcPr>
            <w:tcW w:w="1841" w:type="dxa"/>
          </w:tcPr>
          <w:p w14:paraId="48DEAAB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Remain stable</w:t>
            </w:r>
          </w:p>
          <w:p w14:paraId="2147421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2.087 FJD/USD</w:t>
            </w:r>
          </w:p>
        </w:tc>
        <w:tc>
          <w:tcPr>
            <w:tcW w:w="1701" w:type="dxa"/>
            <w:tcBorders>
              <w:right w:val="single" w:sz="4" w:space="0" w:color="auto"/>
            </w:tcBorders>
          </w:tcPr>
          <w:p w14:paraId="45BE19A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Remain stable</w:t>
            </w:r>
          </w:p>
          <w:p w14:paraId="28EB249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2.087 FJD/USD</w:t>
            </w:r>
          </w:p>
        </w:tc>
        <w:tc>
          <w:tcPr>
            <w:tcW w:w="2213" w:type="dxa"/>
            <w:tcBorders>
              <w:top w:val="single" w:sz="4" w:space="0" w:color="auto"/>
              <w:left w:val="single" w:sz="4" w:space="0" w:color="auto"/>
              <w:bottom w:val="single" w:sz="4" w:space="0" w:color="auto"/>
              <w:right w:val="single" w:sz="4" w:space="0" w:color="auto"/>
            </w:tcBorders>
          </w:tcPr>
          <w:p w14:paraId="5FE67CA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Official exchange rate data for Fiji 1990-2018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 xml:space="preserve">(The World </w:t>
            </w:r>
            <w:r w:rsidRPr="005403DD">
              <w:rPr>
                <w:rFonts w:ascii="Corbel" w:eastAsia="Calibri" w:hAnsi="Corbel" w:cs="Times New Roman"/>
                <w:noProof/>
                <w:sz w:val="16"/>
                <w:szCs w:val="16"/>
                <w:lang w:val="en-AU"/>
              </w:rPr>
              <w:lastRenderedPageBreak/>
              <w:t>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Future projection based on assumption of constant real exchange rate, and US inflation at 2.5%.</w:t>
            </w:r>
          </w:p>
        </w:tc>
      </w:tr>
      <w:tr w:rsidR="00D82082" w:rsidRPr="005403DD" w14:paraId="16B77857" w14:textId="77777777" w:rsidTr="00C04DFB">
        <w:tc>
          <w:tcPr>
            <w:tcW w:w="1531" w:type="dxa"/>
            <w:tcBorders>
              <w:left w:val="single" w:sz="4" w:space="0" w:color="auto"/>
            </w:tcBorders>
            <w:shd w:val="clear" w:color="auto" w:fill="E7E6E6"/>
          </w:tcPr>
          <w:p w14:paraId="3BEC567A" w14:textId="77777777" w:rsidR="001D1322" w:rsidRPr="005403DD" w:rsidRDefault="001D1322" w:rsidP="00C04DFB">
            <w:pPr>
              <w:rPr>
                <w:rFonts w:ascii="Corbel" w:eastAsia="Calibri" w:hAnsi="Corbel" w:cs="Times New Roman"/>
                <w:color w:val="FF0000"/>
                <w:sz w:val="16"/>
                <w:szCs w:val="16"/>
                <w:lang w:val="en-AU"/>
              </w:rPr>
            </w:pPr>
          </w:p>
        </w:tc>
        <w:tc>
          <w:tcPr>
            <w:tcW w:w="1186" w:type="dxa"/>
            <w:shd w:val="clear" w:color="auto" w:fill="E7E6E6"/>
          </w:tcPr>
          <w:p w14:paraId="74BE5F8F" w14:textId="77777777" w:rsidR="001D1322" w:rsidRPr="005403DD" w:rsidRDefault="001D1322" w:rsidP="00C04DFB">
            <w:pPr>
              <w:rPr>
                <w:rFonts w:ascii="Corbel" w:eastAsia="Calibri" w:hAnsi="Corbel" w:cs="Times New Roman"/>
                <w:color w:val="FF0000"/>
                <w:sz w:val="16"/>
                <w:szCs w:val="16"/>
                <w:lang w:val="en-AU"/>
              </w:rPr>
            </w:pPr>
          </w:p>
        </w:tc>
        <w:tc>
          <w:tcPr>
            <w:tcW w:w="1848" w:type="dxa"/>
            <w:tcBorders>
              <w:right w:val="single" w:sz="4" w:space="0" w:color="auto"/>
            </w:tcBorders>
            <w:shd w:val="clear" w:color="auto" w:fill="E7E6E6"/>
          </w:tcPr>
          <w:p w14:paraId="4664D79A" w14:textId="77777777" w:rsidR="001D1322" w:rsidRPr="005403DD" w:rsidRDefault="001D1322" w:rsidP="00C04DFB">
            <w:pPr>
              <w:rPr>
                <w:rFonts w:ascii="Corbel" w:eastAsia="Calibri" w:hAnsi="Corbel" w:cs="Times New Roman"/>
                <w:color w:val="FF0000"/>
                <w:sz w:val="16"/>
                <w:szCs w:val="16"/>
                <w:lang w:val="en-AU"/>
              </w:rPr>
            </w:pPr>
          </w:p>
        </w:tc>
        <w:tc>
          <w:tcPr>
            <w:tcW w:w="1950" w:type="dxa"/>
            <w:tcBorders>
              <w:left w:val="single" w:sz="4" w:space="0" w:color="auto"/>
            </w:tcBorders>
            <w:shd w:val="clear" w:color="auto" w:fill="E7E6E6"/>
          </w:tcPr>
          <w:p w14:paraId="25B00317" w14:textId="77777777" w:rsidR="001D1322" w:rsidRPr="005403DD" w:rsidRDefault="001D1322" w:rsidP="00C04DFB">
            <w:pPr>
              <w:jc w:val="center"/>
              <w:rPr>
                <w:rFonts w:ascii="Corbel" w:eastAsia="Calibri" w:hAnsi="Corbel" w:cs="Times New Roman"/>
                <w:color w:val="FF0000"/>
                <w:sz w:val="16"/>
                <w:szCs w:val="16"/>
                <w:lang w:val="en-AU"/>
              </w:rPr>
            </w:pPr>
          </w:p>
        </w:tc>
        <w:tc>
          <w:tcPr>
            <w:tcW w:w="1804" w:type="dxa"/>
            <w:shd w:val="clear" w:color="auto" w:fill="E7E6E6"/>
          </w:tcPr>
          <w:p w14:paraId="6C736285" w14:textId="77777777" w:rsidR="001D1322" w:rsidRPr="005403DD" w:rsidRDefault="001D1322" w:rsidP="00C04DFB">
            <w:pPr>
              <w:jc w:val="center"/>
              <w:rPr>
                <w:rFonts w:ascii="Corbel" w:eastAsia="Calibri" w:hAnsi="Corbel" w:cs="Times New Roman"/>
                <w:color w:val="FF0000"/>
                <w:sz w:val="16"/>
                <w:szCs w:val="16"/>
                <w:lang w:val="en-AU"/>
              </w:rPr>
            </w:pPr>
          </w:p>
        </w:tc>
        <w:tc>
          <w:tcPr>
            <w:tcW w:w="1890" w:type="dxa"/>
            <w:shd w:val="clear" w:color="auto" w:fill="E7E6E6"/>
          </w:tcPr>
          <w:p w14:paraId="21976801" w14:textId="77777777" w:rsidR="001D1322" w:rsidRPr="005403DD" w:rsidRDefault="001D1322" w:rsidP="00C04DFB">
            <w:pPr>
              <w:jc w:val="center"/>
              <w:rPr>
                <w:rFonts w:ascii="Corbel" w:eastAsia="Calibri" w:hAnsi="Corbel" w:cs="Times New Roman"/>
                <w:color w:val="FF0000"/>
                <w:sz w:val="16"/>
                <w:szCs w:val="16"/>
                <w:lang w:val="en-AU"/>
              </w:rPr>
            </w:pPr>
          </w:p>
        </w:tc>
        <w:tc>
          <w:tcPr>
            <w:tcW w:w="1841" w:type="dxa"/>
            <w:shd w:val="clear" w:color="auto" w:fill="E7E6E6"/>
          </w:tcPr>
          <w:p w14:paraId="487DA031" w14:textId="77777777" w:rsidR="001D1322" w:rsidRPr="005403DD" w:rsidRDefault="001D1322" w:rsidP="00C04DFB">
            <w:pPr>
              <w:jc w:val="center"/>
              <w:rPr>
                <w:rFonts w:ascii="Corbel" w:eastAsia="Calibri" w:hAnsi="Corbel" w:cs="Times New Roman"/>
                <w:color w:val="FF0000"/>
                <w:sz w:val="16"/>
                <w:szCs w:val="16"/>
                <w:lang w:val="en-AU"/>
              </w:rPr>
            </w:pPr>
          </w:p>
        </w:tc>
        <w:tc>
          <w:tcPr>
            <w:tcW w:w="1701" w:type="dxa"/>
            <w:tcBorders>
              <w:right w:val="single" w:sz="4" w:space="0" w:color="auto"/>
            </w:tcBorders>
            <w:shd w:val="clear" w:color="auto" w:fill="E7E6E6"/>
          </w:tcPr>
          <w:p w14:paraId="167749A0" w14:textId="77777777" w:rsidR="001D1322" w:rsidRPr="005403DD" w:rsidRDefault="001D1322" w:rsidP="00C04DFB">
            <w:pPr>
              <w:jc w:val="center"/>
              <w:rPr>
                <w:rFonts w:ascii="Corbel" w:eastAsia="Calibri" w:hAnsi="Corbel" w:cs="Times New Roman"/>
                <w:color w:val="FF0000"/>
                <w:sz w:val="16"/>
                <w:szCs w:val="16"/>
                <w:lang w:val="en-AU"/>
              </w:rPr>
            </w:pPr>
          </w:p>
        </w:tc>
        <w:tc>
          <w:tcPr>
            <w:tcW w:w="2213" w:type="dxa"/>
            <w:tcBorders>
              <w:top w:val="single" w:sz="4" w:space="0" w:color="auto"/>
              <w:left w:val="single" w:sz="4" w:space="0" w:color="auto"/>
              <w:bottom w:val="single" w:sz="4" w:space="0" w:color="auto"/>
              <w:right w:val="single" w:sz="4" w:space="0" w:color="auto"/>
            </w:tcBorders>
            <w:shd w:val="clear" w:color="auto" w:fill="E7E6E6"/>
          </w:tcPr>
          <w:p w14:paraId="79504016" w14:textId="77777777" w:rsidR="001D1322" w:rsidRPr="005403DD" w:rsidRDefault="001D1322" w:rsidP="00C04DFB">
            <w:pPr>
              <w:jc w:val="center"/>
              <w:rPr>
                <w:rFonts w:ascii="Corbel" w:eastAsia="Calibri" w:hAnsi="Corbel" w:cs="Times New Roman"/>
                <w:color w:val="FF0000"/>
                <w:sz w:val="16"/>
                <w:szCs w:val="16"/>
                <w:lang w:val="en-AU"/>
              </w:rPr>
            </w:pPr>
          </w:p>
        </w:tc>
      </w:tr>
      <w:tr w:rsidR="001D1322" w:rsidRPr="005403DD" w14:paraId="1DE08F0A" w14:textId="77777777" w:rsidTr="00C04DFB">
        <w:tc>
          <w:tcPr>
            <w:tcW w:w="1531" w:type="dxa"/>
            <w:tcBorders>
              <w:left w:val="single" w:sz="4" w:space="0" w:color="auto"/>
            </w:tcBorders>
          </w:tcPr>
          <w:p w14:paraId="17906E43" w14:textId="4BF10D27" w:rsidR="001D1322" w:rsidRPr="005403DD" w:rsidRDefault="001D1322" w:rsidP="00C04DFB">
            <w:pPr>
              <w:rPr>
                <w:rFonts w:ascii="Corbel" w:eastAsia="Calibri" w:hAnsi="Corbel" w:cs="Times New Roman"/>
                <w:b/>
                <w:sz w:val="16"/>
                <w:szCs w:val="16"/>
                <w:lang w:val="en-AU"/>
              </w:rPr>
            </w:pPr>
            <w:r w:rsidRPr="005403DD">
              <w:rPr>
                <w:rFonts w:ascii="Corbel" w:eastAsia="Calibri" w:hAnsi="Corbel" w:cs="Times New Roman"/>
                <w:b/>
                <w:sz w:val="16"/>
                <w:szCs w:val="16"/>
                <w:lang w:val="en-AU"/>
              </w:rPr>
              <w:t>4.</w:t>
            </w:r>
            <w:r w:rsidR="00467D99">
              <w:rPr>
                <w:rFonts w:ascii="Corbel" w:eastAsia="Calibri" w:hAnsi="Corbel" w:cs="Times New Roman"/>
                <w:b/>
                <w:sz w:val="16"/>
                <w:szCs w:val="16"/>
                <w:lang w:val="en-AU"/>
              </w:rPr>
              <w:t xml:space="preserve"> Energy</w:t>
            </w:r>
            <w:r w:rsidR="00D82082">
              <w:rPr>
                <w:rFonts w:ascii="Corbel" w:eastAsia="Calibri" w:hAnsi="Corbel" w:cs="Times New Roman"/>
                <w:b/>
                <w:sz w:val="16"/>
                <w:szCs w:val="16"/>
                <w:lang w:val="en-AU"/>
              </w:rPr>
              <w:t xml:space="preserve"> &amp; E</w:t>
            </w:r>
            <w:r w:rsidRPr="005403DD">
              <w:rPr>
                <w:rFonts w:ascii="Corbel" w:eastAsia="Calibri" w:hAnsi="Corbel" w:cs="Times New Roman"/>
                <w:b/>
                <w:sz w:val="16"/>
                <w:szCs w:val="16"/>
                <w:lang w:val="en-AU"/>
              </w:rPr>
              <w:t xml:space="preserve">nvironment </w:t>
            </w:r>
          </w:p>
        </w:tc>
        <w:tc>
          <w:tcPr>
            <w:tcW w:w="1186" w:type="dxa"/>
          </w:tcPr>
          <w:p w14:paraId="1AE2ACDA"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050DD6A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Fossil constraints</w:t>
            </w:r>
          </w:p>
        </w:tc>
        <w:tc>
          <w:tcPr>
            <w:tcW w:w="1950" w:type="dxa"/>
            <w:tcBorders>
              <w:left w:val="single" w:sz="4" w:space="0" w:color="auto"/>
            </w:tcBorders>
          </w:tcPr>
          <w:p w14:paraId="7EEF912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804" w:type="dxa"/>
          </w:tcPr>
          <w:p w14:paraId="479FE3D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Shift away from fossil fuels</w:t>
            </w:r>
          </w:p>
        </w:tc>
        <w:tc>
          <w:tcPr>
            <w:tcW w:w="1890" w:type="dxa"/>
            <w:shd w:val="clear" w:color="auto" w:fill="E7E6E6"/>
          </w:tcPr>
          <w:p w14:paraId="5BF3F61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tc>
        <w:tc>
          <w:tcPr>
            <w:tcW w:w="1841" w:type="dxa"/>
          </w:tcPr>
          <w:p w14:paraId="39347B1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701" w:type="dxa"/>
            <w:tcBorders>
              <w:right w:val="single" w:sz="4" w:space="0" w:color="auto"/>
            </w:tcBorders>
          </w:tcPr>
          <w:p w14:paraId="2D62032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Shift away from fossil fuels</w:t>
            </w:r>
          </w:p>
        </w:tc>
        <w:tc>
          <w:tcPr>
            <w:tcW w:w="2213" w:type="dxa"/>
            <w:tcBorders>
              <w:top w:val="single" w:sz="4" w:space="0" w:color="auto"/>
              <w:left w:val="single" w:sz="4" w:space="0" w:color="auto"/>
              <w:bottom w:val="single" w:sz="4" w:space="0" w:color="auto"/>
              <w:right w:val="single" w:sz="4" w:space="0" w:color="auto"/>
            </w:tcBorders>
          </w:tcPr>
          <w:p w14:paraId="2420EAE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1967EE3F" w14:textId="77777777" w:rsidTr="00C04DFB">
        <w:tc>
          <w:tcPr>
            <w:tcW w:w="1531" w:type="dxa"/>
            <w:tcBorders>
              <w:left w:val="single" w:sz="4" w:space="0" w:color="auto"/>
            </w:tcBorders>
          </w:tcPr>
          <w:p w14:paraId="4ADC346B" w14:textId="77777777" w:rsidR="001D1322" w:rsidRPr="005403DD" w:rsidRDefault="001D1322" w:rsidP="00C04DFB">
            <w:pPr>
              <w:rPr>
                <w:rFonts w:ascii="Corbel" w:eastAsia="Calibri" w:hAnsi="Corbel" w:cs="Times New Roman"/>
                <w:sz w:val="16"/>
                <w:szCs w:val="16"/>
                <w:lang w:val="en-AU"/>
              </w:rPr>
            </w:pPr>
          </w:p>
        </w:tc>
        <w:tc>
          <w:tcPr>
            <w:tcW w:w="1186" w:type="dxa"/>
          </w:tcPr>
          <w:p w14:paraId="7CD3D924"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663E25F9"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Environment </w:t>
            </w:r>
          </w:p>
          <w:p w14:paraId="7943B0DF" w14:textId="77777777" w:rsidR="001D1322" w:rsidRPr="005403DD" w:rsidRDefault="001D1322" w:rsidP="00C04DFB">
            <w:pPr>
              <w:rPr>
                <w:rFonts w:ascii="Corbel" w:eastAsia="Calibri" w:hAnsi="Corbel" w:cs="Times New Roman"/>
                <w:sz w:val="16"/>
                <w:szCs w:val="16"/>
                <w:lang w:val="en-AU"/>
              </w:rPr>
            </w:pPr>
          </w:p>
        </w:tc>
        <w:tc>
          <w:tcPr>
            <w:tcW w:w="1950" w:type="dxa"/>
            <w:tcBorders>
              <w:left w:val="single" w:sz="4" w:space="0" w:color="auto"/>
            </w:tcBorders>
          </w:tcPr>
          <w:p w14:paraId="34E55F0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Serious degradation</w:t>
            </w:r>
          </w:p>
        </w:tc>
        <w:tc>
          <w:tcPr>
            <w:tcW w:w="1804" w:type="dxa"/>
          </w:tcPr>
          <w:p w14:paraId="5E7BB83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Improving conditions over time</w:t>
            </w:r>
          </w:p>
        </w:tc>
        <w:tc>
          <w:tcPr>
            <w:tcW w:w="1890" w:type="dxa"/>
            <w:shd w:val="clear" w:color="auto" w:fill="E7E6E6"/>
          </w:tcPr>
          <w:p w14:paraId="4B569E3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5500C9C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Forest cover: 52.1% </w:t>
            </w:r>
          </w:p>
          <w:p w14:paraId="1A4A6FD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 List Index: 0.61</w:t>
            </w:r>
          </w:p>
          <w:p w14:paraId="34B0CDE4"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7DD76E4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Continued degradation</w:t>
            </w:r>
          </w:p>
        </w:tc>
        <w:tc>
          <w:tcPr>
            <w:tcW w:w="1701" w:type="dxa"/>
            <w:tcBorders>
              <w:right w:val="single" w:sz="4" w:space="0" w:color="auto"/>
            </w:tcBorders>
          </w:tcPr>
          <w:p w14:paraId="4CAF954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Improving conditions over time</w:t>
            </w:r>
          </w:p>
        </w:tc>
        <w:tc>
          <w:tcPr>
            <w:tcW w:w="2213" w:type="dxa"/>
            <w:tcBorders>
              <w:top w:val="single" w:sz="4" w:space="0" w:color="auto"/>
              <w:left w:val="single" w:sz="4" w:space="0" w:color="auto"/>
              <w:bottom w:val="single" w:sz="4" w:space="0" w:color="auto"/>
              <w:right w:val="single" w:sz="4" w:space="0" w:color="auto"/>
            </w:tcBorders>
          </w:tcPr>
          <w:p w14:paraId="06FFABA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Forest cover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&lt;EndNote&gt;&lt;Cite&gt;&lt;Author&gt;FAO&lt;/Author&gt;&lt;Year&gt;2017&lt;/Year&gt;&lt;RecNum&gt;1052&lt;/RecNum&gt;&lt;DisplayText&gt;(FAO, 2017)&lt;/DisplayText&gt;&lt;record&gt;&lt;rec-number&gt;1052&lt;/rec-number&gt;&lt;foreign-keys&gt;&lt;key app="EN" db-id="9vsrvaat7fadwtesfsrpw5w5t0x5v500ef25" timestamp="1565086591"&gt;1052&lt;/key&gt;&lt;/foreign-keys&gt;&lt;ref-type name="Dataset"&gt;59&lt;/ref-type&gt;&lt;contributors&gt;&lt;authors&gt;&lt;author&gt;FAO&lt;/author&gt;&lt;/authors&gt;&lt;/contributors&gt;&lt;titles&gt;&lt;title&gt;FAOSTAT database&lt;/title&gt;&lt;/titles&gt;&lt;dates&gt;&lt;year&gt;2017&lt;/year&gt;&lt;/dates&gt;&lt;pub-location&gt;Rome, Italy&lt;/pub-location&gt;&lt;urls&gt;&lt;related-urls&gt;&lt;url&gt;http://www.fao.org/faostat/en/#data/RL&lt;/url&gt;&lt;/related-urls&gt;&lt;/urls&gt;&lt;access-date&gt;03/02/18&lt;/access-date&gt;&lt;/record&gt;&lt;/Cite&gt;&lt;/EndNote&gt;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(FAO,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threatened species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&lt;EndNote&gt;&lt;Cite&gt;&lt;Author&gt;IUCN&lt;/Author&gt;&lt;Year&gt;2019&lt;/Year&gt;&lt;RecNum&gt;1198&lt;/RecNum&gt;&lt;DisplayText&gt;(IUCN, 2019)&lt;/DisplayText&gt;&lt;record&gt;&lt;rec-number&gt;1198&lt;/rec-number&gt;&lt;foreign-keys&gt;&lt;key app="EN" db-id="9vsrvaat7fadwtesfsrpw5w5t0x5v500ef25" timestamp="1576210237"&gt;1198&lt;/key&gt;&lt;/foreign-keys&gt;&lt;ref-type name="Dataset"&gt;59&lt;/ref-type&gt;&lt;contributors&gt;&lt;authors&gt;&lt;author&gt;IUCN,&lt;/author&gt;&lt;/authors&gt;&lt;secondary-authors&gt;&lt;author&gt;IUCN Global Species Programme&lt;/author&gt;&lt;/secondary-authors&gt;&lt;/contributors&gt;&lt;titles&gt;&lt;title&gt;Red List Index&lt;/title&gt;&lt;/titles&gt;&lt;dates&gt;&lt;year&gt;2019&lt;/year&gt;&lt;/dates&gt;&lt;pub-location&gt;Cambridge&lt;/pub-location&gt;&lt;publisher&gt;IUCN&lt;/publisher&gt;&lt;urls&gt;&lt;related-urls&gt;&lt;url&gt;https://www.iucnredlist.org/assessment/red-list-index&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(IUCN, 2019)</w:t>
            </w:r>
            <w:r w:rsidRPr="005403DD">
              <w:rPr>
                <w:rFonts w:ascii="Corbel" w:eastAsia="Calibri" w:hAnsi="Corbel" w:cs="Times New Roman"/>
                <w:sz w:val="16"/>
                <w:szCs w:val="16"/>
                <w:lang w:val="en-AU"/>
              </w:rPr>
              <w:fldChar w:fldCharType="end"/>
            </w:r>
          </w:p>
        </w:tc>
      </w:tr>
      <w:tr w:rsidR="001D1322" w:rsidRPr="005403DD" w14:paraId="2DA0C010" w14:textId="77777777" w:rsidTr="00C04DFB">
        <w:tc>
          <w:tcPr>
            <w:tcW w:w="1531" w:type="dxa"/>
            <w:tcBorders>
              <w:left w:val="single" w:sz="4" w:space="0" w:color="auto"/>
            </w:tcBorders>
          </w:tcPr>
          <w:p w14:paraId="432BA78D" w14:textId="77777777" w:rsidR="001D1322" w:rsidRPr="005403DD" w:rsidRDefault="001D1322" w:rsidP="00C04DFB">
            <w:pPr>
              <w:rPr>
                <w:rFonts w:ascii="Corbel" w:eastAsia="Calibri" w:hAnsi="Corbel" w:cs="Times New Roman"/>
                <w:sz w:val="16"/>
                <w:szCs w:val="16"/>
                <w:lang w:val="en-AU"/>
              </w:rPr>
            </w:pPr>
          </w:p>
        </w:tc>
        <w:tc>
          <w:tcPr>
            <w:tcW w:w="1186" w:type="dxa"/>
          </w:tcPr>
          <w:p w14:paraId="7CC79CB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10D335A7"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Land use</w:t>
            </w:r>
          </w:p>
        </w:tc>
        <w:tc>
          <w:tcPr>
            <w:tcW w:w="1950" w:type="dxa"/>
            <w:tcBorders>
              <w:left w:val="single" w:sz="4" w:space="0" w:color="auto"/>
            </w:tcBorders>
          </w:tcPr>
          <w:p w14:paraId="11BE0B2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Limited regulation; continued deforestation; rapid conversion of land for agriculture/settlements</w:t>
            </w:r>
          </w:p>
        </w:tc>
        <w:tc>
          <w:tcPr>
            <w:tcW w:w="1804" w:type="dxa"/>
          </w:tcPr>
          <w:p w14:paraId="42BFB07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Strong regulations to manage environmental trade-offs; reforestation increases forest area</w:t>
            </w:r>
          </w:p>
        </w:tc>
        <w:tc>
          <w:tcPr>
            <w:tcW w:w="1890" w:type="dxa"/>
            <w:shd w:val="clear" w:color="auto" w:fill="E7E6E6"/>
          </w:tcPr>
          <w:p w14:paraId="4EE0928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186216B8"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060E43E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Limited regulation; continued deforestation; rapid conversion of land for agriculture/settlements</w:t>
            </w:r>
          </w:p>
        </w:tc>
        <w:tc>
          <w:tcPr>
            <w:tcW w:w="1701" w:type="dxa"/>
            <w:tcBorders>
              <w:right w:val="single" w:sz="4" w:space="0" w:color="auto"/>
            </w:tcBorders>
          </w:tcPr>
          <w:p w14:paraId="6C4E903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Strong regulations to manage environmental trade-offs; reforestation increases forest area</w:t>
            </w:r>
          </w:p>
        </w:tc>
        <w:tc>
          <w:tcPr>
            <w:tcW w:w="2213" w:type="dxa"/>
            <w:tcBorders>
              <w:top w:val="single" w:sz="4" w:space="0" w:color="auto"/>
              <w:left w:val="single" w:sz="4" w:space="0" w:color="auto"/>
              <w:bottom w:val="single" w:sz="4" w:space="0" w:color="auto"/>
              <w:right w:val="single" w:sz="4" w:space="0" w:color="auto"/>
            </w:tcBorders>
          </w:tcPr>
          <w:p w14:paraId="1D003FE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400A163A" w14:textId="77777777" w:rsidTr="00C04DFB">
        <w:tc>
          <w:tcPr>
            <w:tcW w:w="1531" w:type="dxa"/>
            <w:tcBorders>
              <w:left w:val="single" w:sz="4" w:space="0" w:color="auto"/>
            </w:tcBorders>
          </w:tcPr>
          <w:p w14:paraId="0AF4E74E" w14:textId="77777777" w:rsidR="001D1322" w:rsidRPr="005403DD" w:rsidRDefault="001D1322" w:rsidP="00C04DFB">
            <w:pPr>
              <w:rPr>
                <w:rFonts w:ascii="Corbel" w:eastAsia="Calibri" w:hAnsi="Corbel" w:cs="Times New Roman"/>
                <w:sz w:val="16"/>
                <w:szCs w:val="16"/>
                <w:lang w:val="en-AU"/>
              </w:rPr>
            </w:pPr>
          </w:p>
        </w:tc>
        <w:tc>
          <w:tcPr>
            <w:tcW w:w="1186" w:type="dxa"/>
          </w:tcPr>
          <w:p w14:paraId="705A455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52242387"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Agriculture</w:t>
            </w:r>
          </w:p>
        </w:tc>
        <w:tc>
          <w:tcPr>
            <w:tcW w:w="1950" w:type="dxa"/>
            <w:tcBorders>
              <w:left w:val="single" w:sz="4" w:space="0" w:color="auto"/>
            </w:tcBorders>
          </w:tcPr>
          <w:p w14:paraId="4F73DFF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 in large-scale farming; highly managed, resource-intensive; productivity limited by climate</w:t>
            </w:r>
          </w:p>
        </w:tc>
        <w:tc>
          <w:tcPr>
            <w:tcW w:w="1804" w:type="dxa"/>
          </w:tcPr>
          <w:p w14:paraId="2B63CC1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Increased spread of sustainable farming practices, water efficiency and productivity</w:t>
            </w:r>
          </w:p>
        </w:tc>
        <w:tc>
          <w:tcPr>
            <w:tcW w:w="1890" w:type="dxa"/>
            <w:shd w:val="clear" w:color="auto" w:fill="E7E6E6"/>
          </w:tcPr>
          <w:p w14:paraId="2E9A560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71E2BD5A"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2287271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 in large-scale farming; highly managed, resource-intensive; productivity limited by climate</w:t>
            </w:r>
          </w:p>
        </w:tc>
        <w:tc>
          <w:tcPr>
            <w:tcW w:w="1701" w:type="dxa"/>
            <w:tcBorders>
              <w:right w:val="single" w:sz="4" w:space="0" w:color="auto"/>
            </w:tcBorders>
          </w:tcPr>
          <w:p w14:paraId="35F3B83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Increased spread of sustainable farming practices, water efficiency and productivity</w:t>
            </w:r>
          </w:p>
        </w:tc>
        <w:tc>
          <w:tcPr>
            <w:tcW w:w="2213" w:type="dxa"/>
            <w:tcBorders>
              <w:top w:val="single" w:sz="4" w:space="0" w:color="auto"/>
              <w:left w:val="single" w:sz="4" w:space="0" w:color="auto"/>
              <w:bottom w:val="single" w:sz="4" w:space="0" w:color="auto"/>
              <w:right w:val="single" w:sz="4" w:space="0" w:color="auto"/>
            </w:tcBorders>
          </w:tcPr>
          <w:p w14:paraId="61EF9A9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5A4DB71A" w14:textId="77777777" w:rsidTr="00C04DFB">
        <w:tc>
          <w:tcPr>
            <w:tcW w:w="1531" w:type="dxa"/>
            <w:tcBorders>
              <w:left w:val="single" w:sz="4" w:space="0" w:color="auto"/>
            </w:tcBorders>
          </w:tcPr>
          <w:p w14:paraId="5E038F94" w14:textId="77777777" w:rsidR="001D1322" w:rsidRPr="005403DD" w:rsidRDefault="001D1322" w:rsidP="00C04DFB">
            <w:pPr>
              <w:rPr>
                <w:rFonts w:ascii="Corbel" w:eastAsia="Calibri" w:hAnsi="Corbel" w:cs="Times New Roman"/>
                <w:b/>
                <w:sz w:val="16"/>
                <w:szCs w:val="16"/>
                <w:lang w:val="en-AU"/>
              </w:rPr>
            </w:pPr>
          </w:p>
        </w:tc>
        <w:tc>
          <w:tcPr>
            <w:tcW w:w="1186" w:type="dxa"/>
          </w:tcPr>
          <w:p w14:paraId="49A7F8C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4C00E115"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Electricity capacity costs</w:t>
            </w:r>
          </w:p>
        </w:tc>
        <w:tc>
          <w:tcPr>
            <w:tcW w:w="1950" w:type="dxa"/>
            <w:tcBorders>
              <w:left w:val="single" w:sz="4" w:space="0" w:color="auto"/>
            </w:tcBorders>
          </w:tcPr>
          <w:p w14:paraId="58C7D23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 change</w:t>
            </w:r>
          </w:p>
        </w:tc>
        <w:tc>
          <w:tcPr>
            <w:tcW w:w="1804" w:type="dxa"/>
          </w:tcPr>
          <w:p w14:paraId="04D7B3C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 change</w:t>
            </w:r>
          </w:p>
        </w:tc>
        <w:tc>
          <w:tcPr>
            <w:tcW w:w="1890" w:type="dxa"/>
            <w:shd w:val="clear" w:color="auto" w:fill="E7E6E6"/>
          </w:tcPr>
          <w:p w14:paraId="6218136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 (CSIRO cost projections; EIA)</w:t>
            </w:r>
          </w:p>
          <w:p w14:paraId="50AC84B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2030 estimates (USD10/kw):</w:t>
            </w:r>
          </w:p>
          <w:p w14:paraId="056D6DA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Oil: 982.5</w:t>
            </w:r>
          </w:p>
          <w:p w14:paraId="52155AF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Gas: 982.5</w:t>
            </w:r>
          </w:p>
          <w:p w14:paraId="184F9CC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Coal: 2,000</w:t>
            </w:r>
          </w:p>
          <w:p w14:paraId="413D8EF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Hydro: 4,000</w:t>
            </w:r>
          </w:p>
          <w:p w14:paraId="71A1DD4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Wind: 1,600</w:t>
            </w:r>
          </w:p>
          <w:p w14:paraId="69B23D2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Solar: 1,200</w:t>
            </w:r>
          </w:p>
          <w:p w14:paraId="75E053D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Nuclear: 6,100</w:t>
            </w:r>
          </w:p>
          <w:p w14:paraId="39FD16B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Bio/WTE: 1,600</w:t>
            </w:r>
          </w:p>
          <w:p w14:paraId="3D5CC8D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Biogas: 3,000</w:t>
            </w:r>
          </w:p>
        </w:tc>
        <w:tc>
          <w:tcPr>
            <w:tcW w:w="1841" w:type="dxa"/>
          </w:tcPr>
          <w:p w14:paraId="2B91A49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 change</w:t>
            </w:r>
          </w:p>
        </w:tc>
        <w:tc>
          <w:tcPr>
            <w:tcW w:w="1701" w:type="dxa"/>
            <w:tcBorders>
              <w:right w:val="single" w:sz="4" w:space="0" w:color="auto"/>
            </w:tcBorders>
          </w:tcPr>
          <w:p w14:paraId="0D640F7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 change</w:t>
            </w:r>
          </w:p>
        </w:tc>
        <w:tc>
          <w:tcPr>
            <w:tcW w:w="2213" w:type="dxa"/>
            <w:tcBorders>
              <w:top w:val="single" w:sz="4" w:space="0" w:color="auto"/>
              <w:left w:val="single" w:sz="4" w:space="0" w:color="auto"/>
              <w:bottom w:val="single" w:sz="4" w:space="0" w:color="auto"/>
              <w:right w:val="single" w:sz="4" w:space="0" w:color="auto"/>
            </w:tcBorders>
          </w:tcPr>
          <w:p w14:paraId="52B1530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Electricity capacity costs are estimates based on global, regional and national cost projections </w:t>
            </w:r>
          </w:p>
          <w:p w14:paraId="77CBA389" w14:textId="10740C88"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&lt;EndNote&gt;&lt;Cite&gt;&lt;Author&gt;Hayward&lt;/Author&gt;&lt;Year&gt;2017&lt;/Year&gt;&lt;RecNum&gt;874&lt;/RecNum&gt;&lt;DisplayText&gt;(Hayward and Graham, 2017)&lt;/DisplayText&gt;&lt;record&gt;&lt;rec-number&gt;874&lt;/rec-number&gt;&lt;foreign-keys&gt;&lt;key app="EN" db-id="9vsrvaat7fadwtesfsrpw5w5t0x5v500ef25" timestamp="1542423420"&gt;874&lt;/key&gt;&lt;/foreign-keys&gt;&lt;ref-type name="Generic"&gt;13&lt;/ref-type&gt;&lt;contributors&gt;&lt;authors&gt;&lt;author&gt;Hayward, JA&lt;/author&gt;&lt;author&gt;Graham, PW&lt;/author&gt;&lt;/authors&gt;&lt;/contributors&gt;&lt;titles&gt;&lt;title&gt;Electricity generation technology cost projections, 2017-2015&lt;/title&gt;&lt;/titles&gt;&lt;dates&gt;&lt;year&gt;2017&lt;/year&gt;&lt;/dates&gt;&lt;pub-location&gt;Australia&lt;/pub-location&gt;&lt;publisher&gt;CSIRO&lt;/publisher&gt;&lt;urls&gt;&lt;/urls&gt;&lt;/record&gt;&lt;/Cite&gt;&lt;/EndNote&gt;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(Hayward and Graham,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w:t>
            </w:r>
            <w:r w:rsidRPr="005403DD">
              <w:rPr>
                <w:rFonts w:ascii="Corbel" w:eastAsia="Calibri" w:hAnsi="Corbel" w:cs="Times New Roman"/>
                <w:sz w:val="16"/>
                <w:szCs w:val="16"/>
                <w:lang w:val="en-AU"/>
              </w:rPr>
              <w:fldChar w:fldCharType="begin">
                <w:fldData xml:space="preserve">PEVuZE5vdGU+PENpdGU+PEF1dGhvcj5QcmFzYWQ8L0F1dGhvcj48WWVhcj4yMDE5PC9ZZWFyPjxS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</w:fldData>
              </w:fldChar>
            </w:r>
            <w:r w:rsidRPr="005403DD">
              <w:rPr>
                <w:rFonts w:ascii="Corbel" w:eastAsia="Calibri" w:hAnsi="Corbel" w:cs="Times New Roman"/>
                <w:sz w:val="16"/>
                <w:szCs w:val="16"/>
                <w:lang w:val="en-AU"/>
              </w:rPr>
              <w:instrText xml:space="preserve"> ADDIN EN.CITE </w:instrText>
            </w:r>
            <w:r w:rsidRPr="005403DD">
              <w:rPr>
                <w:rFonts w:ascii="Corbel" w:eastAsia="Calibri" w:hAnsi="Corbel" w:cs="Times New Roman"/>
                <w:sz w:val="16"/>
                <w:szCs w:val="16"/>
                <w:lang w:val="en-AU"/>
              </w:rPr>
              <w:fldChar w:fldCharType="begin">
                <w:fldData xml:space="preserve">PEVuZE5vdGU+PENpdGU+PEF1dGhvcj5QcmFzYWQ8L0F1dGhvcj48WWVhcj4yMDE5PC9ZZWFyPjxS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</w:fldData>
              </w:fldChar>
            </w:r>
            <w:r w:rsidRPr="005403DD">
              <w:rPr>
                <w:rFonts w:ascii="Corbel" w:eastAsia="Calibri" w:hAnsi="Corbel" w:cs="Times New Roman"/>
                <w:sz w:val="16"/>
                <w:szCs w:val="16"/>
                <w:lang w:val="en-AU"/>
              </w:rPr>
              <w:instrText xml:space="preserve"> ADDIN EN.CITE.DATA </w:instrText>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(Prasad and Raturi, 2019, IRENA, 2018, Government of Fiji, 2018a, Government of Fiji, 2017b)</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Renewable energy projections estimated based on Fiji’s NDC Roadmap investment requirements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&lt;EndNote&gt;&lt;Cite&gt;&lt;Author&gt;Government of Fiji&lt;/Author&gt;&lt;Year&gt;2017&lt;/Year&gt;&lt;RecNum&gt;1188&lt;/RecNum&gt;&lt;DisplayText&gt;(Government of Fiji, 2017b)&lt;/DisplayText&gt;&lt;record&gt;&lt;rec-number&gt;1188&lt;/rec-number&gt;&lt;foreign-keys&gt;&lt;key app="EN" db-id="9vsrvaat7fadwtesfsrpw5w5t0x5v500ef25" timestamp="1575336677"&gt;1188&lt;/key&gt;&lt;/foreign-keys&gt;&lt;ref-type name="Generic"&gt;13&lt;/ref-type&gt;&lt;contributors&gt;&lt;authors&gt;&lt;author&gt;Government of Fiji,&lt;/author&gt;&lt;/authors&gt;&lt;/contributors&gt;&lt;titles&gt;&lt;title&gt;Fiji NDC Implementation Roadmap 2017-2030&lt;/title&gt;&lt;/titles&gt;&lt;dates&gt;&lt;year&gt;2017&lt;/year&gt;&lt;/dates&gt;&lt;pub-location&gt;Suva, Fiji&lt;/pub-location&gt;&lt;publisher&gt;Government of Fiji&lt;/publisher&gt;&lt;urls&gt;&lt;related-urls&gt;&lt;url&gt;https://cop23.com.fj/wp-content/uploads/2018/03/FIJI-NDC-IMPLEMENTATION-ROADMAP_LOWRES.pdf&lt;/url&gt;&lt;/related-urls&gt;&lt;/urls&gt;&lt;/record&gt;&lt;/Cite&gt;&lt;/EndNote&gt;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(Government of Fiji, 2017b)</w:t>
            </w:r>
            <w:r w:rsidRPr="005403DD">
              <w:rPr>
                <w:rFonts w:ascii="Corbel" w:eastAsia="Calibri" w:hAnsi="Corbel" w:cs="Times New Roman"/>
                <w:sz w:val="16"/>
                <w:szCs w:val="16"/>
                <w:lang w:val="en-AU"/>
              </w:rPr>
              <w:fldChar w:fldCharType="end"/>
            </w:r>
          </w:p>
        </w:tc>
      </w:tr>
      <w:tr w:rsidR="001D1322" w:rsidRPr="005403DD" w14:paraId="7AE16108" w14:textId="77777777" w:rsidTr="00C04DFB">
        <w:tc>
          <w:tcPr>
            <w:tcW w:w="1531" w:type="dxa"/>
            <w:tcBorders>
              <w:left w:val="single" w:sz="4" w:space="0" w:color="auto"/>
            </w:tcBorders>
          </w:tcPr>
          <w:p w14:paraId="727655DB"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40C8A49A"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Policy</w:t>
            </w:r>
          </w:p>
        </w:tc>
        <w:tc>
          <w:tcPr>
            <w:tcW w:w="1848" w:type="dxa"/>
            <w:tcBorders>
              <w:right w:val="single" w:sz="4" w:space="0" w:color="auto"/>
            </w:tcBorders>
          </w:tcPr>
          <w:p w14:paraId="6C5F6D1A"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SDG Expenditure on solar (% GDP)</w:t>
            </w:r>
          </w:p>
        </w:tc>
        <w:tc>
          <w:tcPr>
            <w:tcW w:w="1950" w:type="dxa"/>
            <w:tcBorders>
              <w:left w:val="single" w:sz="4" w:space="0" w:color="auto"/>
            </w:tcBorders>
          </w:tcPr>
          <w:p w14:paraId="23E97163"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04" w:type="dxa"/>
          </w:tcPr>
          <w:p w14:paraId="4DAFAF04"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+1% GDP p/a small scale</w:t>
            </w:r>
          </w:p>
          <w:p w14:paraId="67DA144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(90% private; 10% public)</w:t>
            </w:r>
          </w:p>
          <w:p w14:paraId="3449C4BC"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890" w:type="dxa"/>
            <w:shd w:val="clear" w:color="auto" w:fill="E7E6E6"/>
          </w:tcPr>
          <w:p w14:paraId="0D0D3651"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lastRenderedPageBreak/>
              <w:t xml:space="preserve">None </w:t>
            </w:r>
          </w:p>
          <w:p w14:paraId="4EE988FB"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841" w:type="dxa"/>
          </w:tcPr>
          <w:p w14:paraId="7038F0EE"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701" w:type="dxa"/>
            <w:tcBorders>
              <w:right w:val="single" w:sz="4" w:space="0" w:color="auto"/>
            </w:tcBorders>
          </w:tcPr>
          <w:p w14:paraId="537FBBF1"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+1% GDP p/a small scale</w:t>
            </w:r>
          </w:p>
          <w:p w14:paraId="6659F28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 xml:space="preserve"> (90% private; 10% public)</w:t>
            </w:r>
          </w:p>
          <w:p w14:paraId="23BA070D" w14:textId="77777777" w:rsidR="001D1322" w:rsidRPr="005403DD" w:rsidRDefault="001D1322" w:rsidP="00C04DFB">
            <w:pPr>
              <w:jc w:val="center"/>
              <w:rPr>
                <w:rFonts w:ascii="Corbel" w:eastAsia="Calibri" w:hAnsi="Corbel" w:cs="Times New Roman"/>
                <w:sz w:val="16"/>
                <w:szCs w:val="16"/>
                <w:lang w:val="en-AU"/>
              </w:rPr>
            </w:pPr>
          </w:p>
          <w:p w14:paraId="32AD47AE" w14:textId="77777777" w:rsidR="001D1322" w:rsidRPr="005403DD" w:rsidRDefault="001D1322" w:rsidP="00C04DFB">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ST_CLIMATE +2% GDP small-scale solar and +1% GDP large-scale solar</w:t>
            </w:r>
          </w:p>
          <w:p w14:paraId="3CA39C67" w14:textId="77777777" w:rsidR="001D1322" w:rsidRPr="005403DD" w:rsidRDefault="001D1322" w:rsidP="00C04DFB">
            <w:pPr>
              <w:jc w:val="center"/>
              <w:rPr>
                <w:rFonts w:ascii="Corbel" w:eastAsia="Calibri" w:hAnsi="Corbel" w:cs="Times New Roman"/>
                <w:color w:val="000000" w:themeColor="text1"/>
                <w:sz w:val="16"/>
                <w:szCs w:val="16"/>
                <w:lang w:val="en-AU"/>
              </w:rPr>
            </w:pPr>
          </w:p>
          <w:p w14:paraId="6BB3EC1D"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sz w:val="16"/>
                <w:szCs w:val="16"/>
                <w:shd w:val="clear" w:color="auto" w:fill="AFCEEB"/>
                <w:lang w:val="en-AU"/>
              </w:rPr>
              <w:t>ST_SDG: +4% GDP pa small-scale and 4% pa large scale</w:t>
            </w:r>
          </w:p>
        </w:tc>
        <w:tc>
          <w:tcPr>
            <w:tcW w:w="2213" w:type="dxa"/>
            <w:tcBorders>
              <w:top w:val="single" w:sz="4" w:space="0" w:color="auto"/>
              <w:left w:val="single" w:sz="4" w:space="0" w:color="auto"/>
              <w:bottom w:val="single" w:sz="4" w:space="0" w:color="auto"/>
              <w:right w:val="single" w:sz="4" w:space="0" w:color="auto"/>
            </w:tcBorders>
          </w:tcPr>
          <w:p w14:paraId="7076066C" w14:textId="4A5C1871"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lastRenderedPageBreak/>
              <w:t xml:space="preserve">Additional expenditure parameterised based on Government of Fiji </w:t>
            </w:r>
            <w:r w:rsidRPr="005403DD">
              <w:rPr>
                <w:rFonts w:ascii="Corbel" w:eastAsia="Calibri" w:hAnsi="Corbel" w:cs="Times New Roman"/>
                <w:color w:val="000000" w:themeColor="text1"/>
                <w:sz w:val="16"/>
                <w:szCs w:val="16"/>
                <w:lang w:val="en-AU"/>
              </w:rPr>
              <w:lastRenderedPageBreak/>
              <w:t xml:space="preserve">investment estimates included in NDC Roadmap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Fiji&lt;/Author&gt;&lt;Year&gt;2017&lt;/Year&gt;&lt;RecNum&gt;1188&lt;/RecNum&gt;&lt;DisplayText&gt;(Government of Fiji, 2017b)&lt;/DisplayText&gt;&lt;record&gt;&lt;rec-number&gt;1188&lt;/rec-number&gt;&lt;foreign-keys&gt;&lt;key app="EN" db-id="9vsrvaat7fadwtesfsrpw5w5t0x5v500ef25" timestamp="1575336677"&gt;1188&lt;/key&gt;&lt;/foreign-keys&gt;&lt;ref-type name="Generic"&gt;13&lt;/ref-type&gt;&lt;contributors&gt;&lt;authors&gt;&lt;author&gt;Government of Fiji,&lt;/author&gt;&lt;/authors&gt;&lt;/contributors&gt;&lt;titles&gt;&lt;title&gt;Fiji NDC Implementation Roadmap 2017-2030&lt;/title&gt;&lt;/titles&gt;&lt;dates&gt;&lt;year&gt;2017&lt;/year&gt;&lt;/dates&gt;&lt;pub-location&gt;Suva, Fiji&lt;/pub-location&gt;&lt;publisher&gt;Government of Fiji&lt;/publisher&gt;&lt;urls&gt;&lt;related-urls&gt;&lt;url&gt;https://cop23.com.fj/wp-content/uploads/2018/03/FIJI-NDC-IMPLEMENTATION-ROADMAP_LOWRES.pdf&lt;/url&gt;&lt;/related-urls&gt;&lt;/urls&gt;&lt;/record&gt;&lt;/Cite&gt;&lt;/EndNote&gt;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2017b)</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and LEDS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2018a)</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Investments estimated for period 2020 to 2030. Additional investment needs= ~US$200m + US$700m grid upgrades/storage. Estimated costs for solar PV @ US$1,200 to 1,800.</w:t>
            </w:r>
          </w:p>
        </w:tc>
      </w:tr>
      <w:tr w:rsidR="001D1322" w:rsidRPr="005403DD" w14:paraId="0AB02DDC" w14:textId="77777777" w:rsidTr="00C04DFB">
        <w:tc>
          <w:tcPr>
            <w:tcW w:w="1531" w:type="dxa"/>
            <w:tcBorders>
              <w:left w:val="single" w:sz="4" w:space="0" w:color="auto"/>
            </w:tcBorders>
          </w:tcPr>
          <w:p w14:paraId="33545D3A"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46895482"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Policy</w:t>
            </w:r>
          </w:p>
        </w:tc>
        <w:tc>
          <w:tcPr>
            <w:tcW w:w="1848" w:type="dxa"/>
            <w:tcBorders>
              <w:right w:val="single" w:sz="4" w:space="0" w:color="auto"/>
            </w:tcBorders>
          </w:tcPr>
          <w:p w14:paraId="1D7BE249"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SDG Expenditure on large-scale biomass</w:t>
            </w:r>
          </w:p>
        </w:tc>
        <w:tc>
          <w:tcPr>
            <w:tcW w:w="1950" w:type="dxa"/>
            <w:tcBorders>
              <w:left w:val="single" w:sz="4" w:space="0" w:color="auto"/>
            </w:tcBorders>
          </w:tcPr>
          <w:p w14:paraId="34A4C2F1"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04" w:type="dxa"/>
          </w:tcPr>
          <w:p w14:paraId="2FD768C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 GDP p/a</w:t>
            </w:r>
          </w:p>
          <w:p w14:paraId="75DB49D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(50% private; 50% public)</w:t>
            </w:r>
          </w:p>
          <w:p w14:paraId="78ADD6F6" w14:textId="77777777" w:rsidR="001D1322" w:rsidRPr="005403DD" w:rsidRDefault="001D1322" w:rsidP="00C04DFB">
            <w:pPr>
              <w:jc w:val="center"/>
              <w:rPr>
                <w:rFonts w:ascii="Corbel" w:eastAsia="Calibri" w:hAnsi="Corbel" w:cs="Times New Roman"/>
                <w:sz w:val="16"/>
                <w:szCs w:val="16"/>
                <w:lang w:val="en-AU"/>
              </w:rPr>
            </w:pPr>
          </w:p>
          <w:p w14:paraId="401C8B63"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221C1DB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841" w:type="dxa"/>
          </w:tcPr>
          <w:p w14:paraId="2BAD03F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701" w:type="dxa"/>
            <w:tcBorders>
              <w:right w:val="single" w:sz="4" w:space="0" w:color="auto"/>
            </w:tcBorders>
          </w:tcPr>
          <w:p w14:paraId="277F138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 GDP p/a</w:t>
            </w:r>
          </w:p>
          <w:p w14:paraId="511DA76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(50% private; 50% public)</w:t>
            </w:r>
          </w:p>
          <w:p w14:paraId="79AB96BE" w14:textId="77777777" w:rsidR="001D1322" w:rsidRPr="005403DD" w:rsidRDefault="001D1322" w:rsidP="00C04DFB">
            <w:pPr>
              <w:jc w:val="center"/>
              <w:rPr>
                <w:rFonts w:ascii="Corbel" w:eastAsia="Calibri" w:hAnsi="Corbel" w:cs="Times New Roman"/>
                <w:sz w:val="16"/>
                <w:szCs w:val="16"/>
                <w:lang w:val="en-AU"/>
              </w:rPr>
            </w:pPr>
          </w:p>
          <w:p w14:paraId="46C2FB0C"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4125D74C" w14:textId="7F74133B"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Additional expenditure parameterised based on Government of Fiji investment estimates included in NDC Roadmap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Fiji&lt;/Author&gt;&lt;Year&gt;2017&lt;/Year&gt;&lt;RecNum&gt;1188&lt;/RecNum&gt;&lt;DisplayText&gt;(Government of Fiji, 2017b)&lt;/DisplayText&gt;&lt;record&gt;&lt;rec-number&gt;1188&lt;/rec-number&gt;&lt;foreign-keys&gt;&lt;key app="EN" db-id="9vsrvaat7fadwtesfsrpw5w5t0x5v500ef25" timestamp="1575336677"&gt;1188&lt;/key&gt;&lt;/foreign-keys&gt;&lt;ref-type name="Generic"&gt;13&lt;/ref-type&gt;&lt;contributors&gt;&lt;authors&gt;&lt;author&gt;Government of Fiji,&lt;/author&gt;&lt;/authors&gt;&lt;/contributors&gt;&lt;titles&gt;&lt;title&gt;Fiji NDC Implementation Roadmap 2017-2030&lt;/title&gt;&lt;/titles&gt;&lt;dates&gt;&lt;year&gt;2017&lt;/year&gt;&lt;/dates&gt;&lt;pub-location&gt;Suva, Fiji&lt;/pub-location&gt;&lt;publisher&gt;Government of Fiji&lt;/publisher&gt;&lt;urls&gt;&lt;related-urls&gt;&lt;url&gt;https://cop23.com.fj/wp-content/uploads/2018/03/FIJI-NDC-IMPLEMENTATION-ROADMAP_LOWRES.pdf&lt;/url&gt;&lt;/related-urls&gt;&lt;/urls&gt;&lt;/record&gt;&lt;/Cite&gt;&lt;/EndNote&gt;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2017b)</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and LEDS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2018a)</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Investments estimated for period 2020 to 2030. Additional investment needs = US$146m. Estimated costs for biomass @ US$1,600 per KW to US$4,000 per KW (biomass/biogas)</w:t>
            </w:r>
          </w:p>
          <w:p w14:paraId="63C15394" w14:textId="77777777" w:rsidR="001D1322" w:rsidRPr="005403DD" w:rsidRDefault="001D1322" w:rsidP="00C04DFB">
            <w:pPr>
              <w:jc w:val="center"/>
              <w:rPr>
                <w:rFonts w:ascii="Corbel" w:eastAsia="Calibri" w:hAnsi="Corbel" w:cs="Times New Roman"/>
                <w:color w:val="000000" w:themeColor="text1"/>
                <w:sz w:val="16"/>
                <w:szCs w:val="16"/>
                <w:lang w:val="en-AU"/>
              </w:rPr>
            </w:pPr>
          </w:p>
        </w:tc>
      </w:tr>
      <w:tr w:rsidR="001D1322" w:rsidRPr="005403DD" w14:paraId="33EDE2B0" w14:textId="77777777" w:rsidTr="00C04DFB">
        <w:tc>
          <w:tcPr>
            <w:tcW w:w="1531" w:type="dxa"/>
            <w:tcBorders>
              <w:left w:val="single" w:sz="4" w:space="0" w:color="auto"/>
            </w:tcBorders>
          </w:tcPr>
          <w:p w14:paraId="23DC0347"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4A7670AB"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Policy</w:t>
            </w:r>
          </w:p>
        </w:tc>
        <w:tc>
          <w:tcPr>
            <w:tcW w:w="1848" w:type="dxa"/>
            <w:tcBorders>
              <w:right w:val="single" w:sz="4" w:space="0" w:color="auto"/>
            </w:tcBorders>
          </w:tcPr>
          <w:p w14:paraId="3CCD1A9A"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SDG Expenditure on large-scale hydro</w:t>
            </w:r>
          </w:p>
        </w:tc>
        <w:tc>
          <w:tcPr>
            <w:tcW w:w="1950" w:type="dxa"/>
            <w:tcBorders>
              <w:left w:val="single" w:sz="4" w:space="0" w:color="auto"/>
            </w:tcBorders>
          </w:tcPr>
          <w:p w14:paraId="23824E8E"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04" w:type="dxa"/>
          </w:tcPr>
          <w:p w14:paraId="590C516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+1.5% GDP p/a</w:t>
            </w:r>
          </w:p>
          <w:p w14:paraId="489D03D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 (50% private; 50% public)</w:t>
            </w:r>
          </w:p>
          <w:p w14:paraId="4AA913E4"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536CE1ED"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1324219C" w14:textId="77777777" w:rsidR="001D1322" w:rsidRPr="005403DD" w:rsidRDefault="001D1322" w:rsidP="00C04DFB">
            <w:pPr>
              <w:jc w:val="center"/>
              <w:rPr>
                <w:rFonts w:ascii="Corbel" w:eastAsia="Calibri" w:hAnsi="Corbel" w:cs="Times New Roman"/>
                <w:sz w:val="16"/>
                <w:szCs w:val="16"/>
                <w:lang w:val="en-AU"/>
              </w:rPr>
            </w:pPr>
          </w:p>
        </w:tc>
        <w:tc>
          <w:tcPr>
            <w:tcW w:w="1701" w:type="dxa"/>
            <w:tcBorders>
              <w:right w:val="single" w:sz="4" w:space="0" w:color="auto"/>
            </w:tcBorders>
          </w:tcPr>
          <w:p w14:paraId="6C2A0F5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+1.5% GDP p/a</w:t>
            </w:r>
          </w:p>
          <w:p w14:paraId="249BB39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(50% private; 50% public)</w:t>
            </w:r>
          </w:p>
          <w:p w14:paraId="0445247D" w14:textId="77777777" w:rsidR="001D1322" w:rsidRPr="005403DD" w:rsidRDefault="001D1322" w:rsidP="00C04DFB">
            <w:pPr>
              <w:jc w:val="center"/>
              <w:rPr>
                <w:rFonts w:ascii="Corbel" w:eastAsia="Calibri" w:hAnsi="Corbel" w:cs="Times New Roman"/>
                <w:sz w:val="16"/>
                <w:szCs w:val="16"/>
                <w:lang w:val="en-AU"/>
              </w:rPr>
            </w:pPr>
          </w:p>
          <w:p w14:paraId="6B957C37" w14:textId="77777777" w:rsidR="001D1322" w:rsidRPr="005403DD" w:rsidRDefault="001D1322" w:rsidP="00C04DFB">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ST_CLIMATE +2.5% GDP pa</w:t>
            </w:r>
          </w:p>
          <w:p w14:paraId="60CB3BA5" w14:textId="77777777" w:rsidR="001D1322" w:rsidRPr="005403DD" w:rsidRDefault="001D1322" w:rsidP="00C04DFB">
            <w:pPr>
              <w:jc w:val="center"/>
              <w:rPr>
                <w:rFonts w:ascii="Corbel" w:eastAsia="Calibri" w:hAnsi="Corbel" w:cs="Times New Roman"/>
                <w:sz w:val="16"/>
                <w:szCs w:val="16"/>
                <w:lang w:val="en-AU"/>
              </w:rPr>
            </w:pPr>
          </w:p>
          <w:p w14:paraId="6FBC17E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+3% GDP pa</w:t>
            </w:r>
          </w:p>
        </w:tc>
        <w:tc>
          <w:tcPr>
            <w:tcW w:w="2213" w:type="dxa"/>
            <w:tcBorders>
              <w:top w:val="single" w:sz="4" w:space="0" w:color="auto"/>
              <w:left w:val="single" w:sz="4" w:space="0" w:color="auto"/>
              <w:bottom w:val="single" w:sz="4" w:space="0" w:color="auto"/>
              <w:right w:val="single" w:sz="4" w:space="0" w:color="auto"/>
            </w:tcBorders>
          </w:tcPr>
          <w:p w14:paraId="1DEE1FDC" w14:textId="6DDE761B"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Additional expenditure parameterised based on Government of Fiji investment estimates included in NDC Roadmap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Fiji&lt;/Author&gt;&lt;Year&gt;2017&lt;/Year&gt;&lt;RecNum&gt;1188&lt;/RecNum&gt;&lt;DisplayText&gt;(Government of Fiji, 2017b)&lt;/DisplayText&gt;&lt;record&gt;&lt;rec-number&gt;1188&lt;/rec-number&gt;&lt;foreign-keys&gt;&lt;key app="EN" db-id="9vsrvaat7fadwtesfsrpw5w5t0x5v500ef25" timestamp="1575336677"&gt;1188&lt;/key&gt;&lt;/foreign-keys&gt;&lt;ref-type name="Generic"&gt;13&lt;/ref-type&gt;&lt;contributors&gt;&lt;authors&gt;&lt;author&gt;Government of Fiji,&lt;/author&gt;&lt;/authors&gt;&lt;/contributors&gt;&lt;titles&gt;&lt;title&gt;Fiji NDC Implementation Roadmap 2017-2030&lt;/title&gt;&lt;/titles&gt;&lt;dates&gt;&lt;year&gt;2017&lt;/year&gt;&lt;/dates&gt;&lt;pub-location&gt;Suva, Fiji&lt;/pub-location&gt;&lt;publisher&gt;Government of Fiji&lt;/publisher&gt;&lt;urls&gt;&lt;related-urls&gt;&lt;url&gt;https://cop23.com.fj/wp-content/uploads/2018/03/FIJI-NDC-IMPLEMENTATION-ROADMAP_LOWRES.pdf&lt;/url&gt;&lt;/related-urls&gt;&lt;/urls&gt;&lt;/record&gt;&lt;/Cite&gt;&lt;/EndNote&gt;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2017b)</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and LEDS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2018a)</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Investments estimated for period 2020 to 2030. Additional investment </w:t>
            </w:r>
            <w:r w:rsidRPr="005403DD">
              <w:rPr>
                <w:rFonts w:ascii="Corbel" w:eastAsia="Calibri" w:hAnsi="Corbel" w:cs="Times New Roman"/>
                <w:color w:val="000000" w:themeColor="text1"/>
                <w:sz w:val="16"/>
                <w:szCs w:val="16"/>
                <w:lang w:val="en-AU"/>
              </w:rPr>
              <w:lastRenderedPageBreak/>
              <w:t>needs:US$523m. Estimated costs for hydro @US$6,000 per KW</w:t>
            </w:r>
          </w:p>
          <w:p w14:paraId="53490912" w14:textId="77777777" w:rsidR="001D1322" w:rsidRPr="005403DD" w:rsidRDefault="001D1322" w:rsidP="00C04DFB">
            <w:pPr>
              <w:jc w:val="center"/>
              <w:rPr>
                <w:rFonts w:ascii="Corbel" w:eastAsia="Calibri" w:hAnsi="Corbel" w:cs="Times New Roman"/>
                <w:color w:val="000000" w:themeColor="text1"/>
                <w:sz w:val="16"/>
                <w:szCs w:val="16"/>
                <w:lang w:val="en-AU"/>
              </w:rPr>
            </w:pPr>
          </w:p>
        </w:tc>
      </w:tr>
      <w:tr w:rsidR="001D1322" w:rsidRPr="005403DD" w14:paraId="1230ADA6" w14:textId="77777777" w:rsidTr="00C04DFB">
        <w:tc>
          <w:tcPr>
            <w:tcW w:w="1531" w:type="dxa"/>
            <w:tcBorders>
              <w:left w:val="single" w:sz="4" w:space="0" w:color="auto"/>
            </w:tcBorders>
          </w:tcPr>
          <w:p w14:paraId="481E4A09"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4D0B1BC7"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Policy</w:t>
            </w:r>
          </w:p>
        </w:tc>
        <w:tc>
          <w:tcPr>
            <w:tcW w:w="1848" w:type="dxa"/>
            <w:tcBorders>
              <w:right w:val="single" w:sz="4" w:space="0" w:color="auto"/>
            </w:tcBorders>
          </w:tcPr>
          <w:p w14:paraId="3E357956"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SDG Expenditure for vehicle efficiency</w:t>
            </w:r>
          </w:p>
        </w:tc>
        <w:tc>
          <w:tcPr>
            <w:tcW w:w="1950" w:type="dxa"/>
            <w:tcBorders>
              <w:left w:val="single" w:sz="4" w:space="0" w:color="auto"/>
            </w:tcBorders>
          </w:tcPr>
          <w:p w14:paraId="247C9C21"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04" w:type="dxa"/>
          </w:tcPr>
          <w:p w14:paraId="5B7E6731"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+0.6% GDP p/a</w:t>
            </w:r>
          </w:p>
          <w:p w14:paraId="1B49AE66"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890" w:type="dxa"/>
            <w:shd w:val="clear" w:color="auto" w:fill="E7E6E6"/>
          </w:tcPr>
          <w:p w14:paraId="74B45299"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41" w:type="dxa"/>
          </w:tcPr>
          <w:p w14:paraId="44D1A5BA"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701" w:type="dxa"/>
            <w:tcBorders>
              <w:right w:val="single" w:sz="4" w:space="0" w:color="auto"/>
            </w:tcBorders>
          </w:tcPr>
          <w:p w14:paraId="39CFAB02"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+0.6% GDP p/a</w:t>
            </w:r>
          </w:p>
          <w:p w14:paraId="6EE04EC7" w14:textId="77777777" w:rsidR="001D1322" w:rsidRPr="005403DD" w:rsidRDefault="001D1322" w:rsidP="00C04DFB">
            <w:pPr>
              <w:jc w:val="center"/>
              <w:rPr>
                <w:rFonts w:ascii="Corbel" w:eastAsia="Calibri" w:hAnsi="Corbel" w:cs="Times New Roman"/>
                <w:color w:val="000000" w:themeColor="text1"/>
                <w:sz w:val="16"/>
                <w:szCs w:val="16"/>
                <w:lang w:val="en-AU"/>
              </w:rPr>
            </w:pPr>
          </w:p>
          <w:p w14:paraId="2E3B2D71" w14:textId="77777777" w:rsidR="001D1322" w:rsidRPr="005403DD" w:rsidRDefault="001D1322" w:rsidP="00C04DFB">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ST_CLIMATE: +1% GDP pa</w:t>
            </w:r>
          </w:p>
          <w:p w14:paraId="2F4B1959" w14:textId="77777777" w:rsidR="001D1322" w:rsidRPr="005403DD" w:rsidRDefault="001D1322" w:rsidP="00C04DFB">
            <w:pPr>
              <w:jc w:val="center"/>
              <w:rPr>
                <w:rFonts w:ascii="Corbel" w:eastAsia="Calibri" w:hAnsi="Corbel" w:cs="Times New Roman"/>
                <w:color w:val="000000" w:themeColor="text1"/>
                <w:sz w:val="16"/>
                <w:szCs w:val="16"/>
                <w:lang w:val="en-AU"/>
              </w:rPr>
            </w:pPr>
          </w:p>
          <w:p w14:paraId="6F18483E"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sz w:val="16"/>
                <w:szCs w:val="16"/>
                <w:shd w:val="clear" w:color="auto" w:fill="AFCEEB"/>
                <w:lang w:val="en-AU"/>
              </w:rPr>
              <w:t>ST_SDG: +1.5% GDP pa</w:t>
            </w:r>
          </w:p>
          <w:p w14:paraId="1198555B"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1C0F4E04" w14:textId="311E4E65"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Additional expenditure parameterised based on Government of Fiji investment estimates for transport GHG mitigation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Fiji&lt;/Author&gt;&lt;Year&gt;2018&lt;/Year&gt;&lt;RecNum&gt;1160&lt;/RecNum&gt;&lt;DisplayText&gt;(Government of Fiji, 2018a, Government of Fiji, 2017b)&lt;/DisplayText&gt;&lt;record&gt;&lt;rec-number&gt;1160&lt;/rec-number&gt;&lt;foreign-keys&gt;&lt;key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Cite&gt;&lt;Author&gt;Government of Fiji&lt;/Author&gt;&lt;Year&gt;2017&lt;/Year&gt;&lt;RecNum&gt;1188&lt;/RecNum&gt;&lt;record&gt;&lt;rec-number&gt;1188&lt;/rec-number&gt;&lt;foreign-keys&gt;&lt;key app="EN" db-id="9vsrvaat7fadwtesfsrpw5w5t0x5v500ef25" timestamp="1575336677"&gt;1188&lt;/key&gt;&lt;/foreign-keys&gt;&lt;ref-type name="Generic"&gt;13&lt;/ref-type&gt;&lt;contributors&gt;&lt;authors&gt;&lt;author&gt;Government of Fiji,&lt;/author&gt;&lt;/authors&gt;&lt;/contributors&gt;&lt;titles&gt;&lt;title&gt;Fiji NDC Implementation Roadmap 2017-2030&lt;/title&gt;&lt;/titles&gt;&lt;dates&gt;&lt;year&gt;2017&lt;/year&gt;&lt;/dates&gt;&lt;pub-location&gt;Suva, Fiji&lt;/pub-location&gt;&lt;publisher&gt;Government of Fiji&lt;/publisher&gt;&lt;urls&gt;&lt;related-urls&gt;&lt;url&gt;https://cop23.com.fj/wp-content/uploads/2018/03/FIJI-NDC-IMPLEMENTATION-ROADMAP_LOWRES.pdf&lt;/url&gt;&lt;/related-urls&gt;&lt;/urls&gt;&lt;/record&gt;&lt;/Cite&gt;&lt;/EndNote&gt;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2018a, Government of Fiji, 2017b)</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Includes a vehicle replacement program (US$940m) and truck fuel efficiency (US$3m). </w:t>
            </w:r>
          </w:p>
        </w:tc>
      </w:tr>
      <w:tr w:rsidR="001D1322" w:rsidRPr="005403DD" w14:paraId="7D9AD16E" w14:textId="77777777" w:rsidTr="00C04DFB">
        <w:tc>
          <w:tcPr>
            <w:tcW w:w="1531" w:type="dxa"/>
            <w:tcBorders>
              <w:left w:val="single" w:sz="4" w:space="0" w:color="auto"/>
            </w:tcBorders>
          </w:tcPr>
          <w:p w14:paraId="708263A3" w14:textId="77777777" w:rsidR="001D1322" w:rsidRPr="005403DD" w:rsidRDefault="001D1322" w:rsidP="00C04DFB">
            <w:pPr>
              <w:rPr>
                <w:rFonts w:ascii="Corbel" w:eastAsia="Calibri" w:hAnsi="Corbel" w:cs="Times New Roman"/>
                <w:sz w:val="16"/>
                <w:szCs w:val="16"/>
                <w:lang w:val="en-AU"/>
              </w:rPr>
            </w:pPr>
          </w:p>
        </w:tc>
        <w:tc>
          <w:tcPr>
            <w:tcW w:w="1186" w:type="dxa"/>
          </w:tcPr>
          <w:p w14:paraId="5535561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7A35273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HEVs – hybrid and electric vehicles</w:t>
            </w:r>
          </w:p>
        </w:tc>
        <w:tc>
          <w:tcPr>
            <w:tcW w:w="1950" w:type="dxa"/>
            <w:tcBorders>
              <w:left w:val="single" w:sz="4" w:space="0" w:color="auto"/>
            </w:tcBorders>
          </w:tcPr>
          <w:p w14:paraId="642F62C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Same as baseline</w:t>
            </w:r>
          </w:p>
        </w:tc>
        <w:tc>
          <w:tcPr>
            <w:tcW w:w="1804" w:type="dxa"/>
          </w:tcPr>
          <w:p w14:paraId="08ECF31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Final 25% new vehicles electric</w:t>
            </w:r>
          </w:p>
        </w:tc>
        <w:tc>
          <w:tcPr>
            <w:tcW w:w="1890" w:type="dxa"/>
            <w:shd w:val="clear" w:color="auto" w:fill="E7E6E6"/>
          </w:tcPr>
          <w:p w14:paraId="0537675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Present ~0.5% of new vehicles electric</w:t>
            </w:r>
          </w:p>
          <w:p w14:paraId="398368B7"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0155099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Same as baseline</w:t>
            </w:r>
          </w:p>
        </w:tc>
        <w:tc>
          <w:tcPr>
            <w:tcW w:w="1701" w:type="dxa"/>
            <w:tcBorders>
              <w:right w:val="single" w:sz="4" w:space="0" w:color="auto"/>
            </w:tcBorders>
          </w:tcPr>
          <w:p w14:paraId="365E199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Final 25% new vehicles electric</w:t>
            </w:r>
          </w:p>
          <w:p w14:paraId="53094625" w14:textId="77777777" w:rsidR="001D1322" w:rsidRPr="005403DD" w:rsidRDefault="001D1322" w:rsidP="00C04DFB">
            <w:pPr>
              <w:jc w:val="center"/>
              <w:rPr>
                <w:rFonts w:ascii="Corbel" w:eastAsia="Calibri" w:hAnsi="Corbel" w:cs="Times New Roman"/>
                <w:sz w:val="16"/>
                <w:szCs w:val="16"/>
                <w:lang w:val="en-AU"/>
              </w:rPr>
            </w:pPr>
          </w:p>
          <w:p w14:paraId="25D4E1E5" w14:textId="77777777" w:rsidR="001D1322" w:rsidRPr="005403DD" w:rsidRDefault="001D1322" w:rsidP="00C04DFB">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ST_CLIMATE: 100% new vehicles electric</w:t>
            </w:r>
          </w:p>
          <w:p w14:paraId="72EAC99B" w14:textId="77777777" w:rsidR="001D1322" w:rsidRPr="005403DD" w:rsidRDefault="001D1322" w:rsidP="00C04DFB">
            <w:pPr>
              <w:jc w:val="center"/>
              <w:rPr>
                <w:rFonts w:ascii="Corbel" w:eastAsia="Calibri" w:hAnsi="Corbel" w:cs="Times New Roman"/>
                <w:sz w:val="16"/>
                <w:szCs w:val="16"/>
                <w:lang w:val="en-AU"/>
              </w:rPr>
            </w:pPr>
          </w:p>
          <w:p w14:paraId="3445411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100% new vehicles electric</w:t>
            </w:r>
          </w:p>
        </w:tc>
        <w:tc>
          <w:tcPr>
            <w:tcW w:w="2213" w:type="dxa"/>
            <w:tcBorders>
              <w:top w:val="single" w:sz="4" w:space="0" w:color="auto"/>
              <w:left w:val="single" w:sz="4" w:space="0" w:color="auto"/>
              <w:bottom w:val="single" w:sz="4" w:space="0" w:color="auto"/>
              <w:right w:val="single" w:sz="4" w:space="0" w:color="auto"/>
            </w:tcBorders>
          </w:tcPr>
          <w:p w14:paraId="5FDEB38B" w14:textId="0A2A151B"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Based on Fiji LEDS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(Government of Fiji, 2018a)</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BAU is based on the LEDS BAU unconditional scenario. GE and ST based on High Ambition Scenario in LEDS. Note the additional cost of EV passenger vehicle is USD5,000. Reaching 100% EVs is estimated at around USD 1.1 billion.  Financial incentive schemes will be needed to encourage adoption of EVs. For ST/GE set at 25%; and 80% for very high ambition.</w:t>
            </w:r>
          </w:p>
        </w:tc>
      </w:tr>
      <w:tr w:rsidR="001D1322" w:rsidRPr="005403DD" w14:paraId="52D75FE2" w14:textId="77777777" w:rsidTr="00C04DFB">
        <w:tc>
          <w:tcPr>
            <w:tcW w:w="1531" w:type="dxa"/>
            <w:tcBorders>
              <w:left w:val="single" w:sz="4" w:space="0" w:color="auto"/>
            </w:tcBorders>
          </w:tcPr>
          <w:p w14:paraId="3761656B"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2E7C8879"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Policy</w:t>
            </w:r>
          </w:p>
        </w:tc>
        <w:tc>
          <w:tcPr>
            <w:tcW w:w="1848" w:type="dxa"/>
            <w:tcBorders>
              <w:right w:val="single" w:sz="4" w:space="0" w:color="auto"/>
            </w:tcBorders>
          </w:tcPr>
          <w:p w14:paraId="7A8C522F"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SDG Expenditure for energy efficiency of industry</w:t>
            </w:r>
          </w:p>
        </w:tc>
        <w:tc>
          <w:tcPr>
            <w:tcW w:w="1950" w:type="dxa"/>
            <w:tcBorders>
              <w:left w:val="single" w:sz="4" w:space="0" w:color="auto"/>
            </w:tcBorders>
          </w:tcPr>
          <w:p w14:paraId="7439D92C"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04" w:type="dxa"/>
          </w:tcPr>
          <w:p w14:paraId="6A4D4FD0"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+0.1% GDP p/a</w:t>
            </w:r>
          </w:p>
          <w:p w14:paraId="32FBCEE2"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890" w:type="dxa"/>
            <w:shd w:val="clear" w:color="auto" w:fill="E7E6E6"/>
          </w:tcPr>
          <w:p w14:paraId="013C724C"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41" w:type="dxa"/>
          </w:tcPr>
          <w:p w14:paraId="06F977F3"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701" w:type="dxa"/>
            <w:tcBorders>
              <w:right w:val="single" w:sz="4" w:space="0" w:color="auto"/>
            </w:tcBorders>
          </w:tcPr>
          <w:p w14:paraId="2B7B4A72"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+0.1% GDP p/a</w:t>
            </w:r>
          </w:p>
          <w:p w14:paraId="33E3B9FD" w14:textId="77777777" w:rsidR="001D1322" w:rsidRPr="005403DD" w:rsidRDefault="001D1322" w:rsidP="00C04DFB">
            <w:pPr>
              <w:jc w:val="center"/>
              <w:rPr>
                <w:rFonts w:ascii="Corbel" w:eastAsia="Calibri" w:hAnsi="Corbel" w:cs="Times New Roman"/>
                <w:color w:val="000000" w:themeColor="text1"/>
                <w:sz w:val="16"/>
                <w:szCs w:val="16"/>
                <w:lang w:val="en-AU"/>
              </w:rPr>
            </w:pPr>
          </w:p>
          <w:p w14:paraId="4262F471" w14:textId="77777777" w:rsidR="001D1322" w:rsidRPr="005403DD" w:rsidRDefault="001D1322" w:rsidP="00C04DFB">
            <w:pPr>
              <w:shd w:val="clear" w:color="auto" w:fill="ED7D31" w:themeFill="accent2"/>
              <w:jc w:val="center"/>
              <w:rPr>
                <w:rFonts w:ascii="Corbel" w:eastAsia="Calibri" w:hAnsi="Corbel" w:cs="Times New Roman"/>
                <w:color w:val="000000" w:themeColor="text1"/>
                <w:sz w:val="16"/>
                <w:szCs w:val="16"/>
                <w:lang w:val="en-AU"/>
              </w:rPr>
            </w:pPr>
            <w:r w:rsidRPr="005403DD">
              <w:rPr>
                <w:rFonts w:ascii="Corbel" w:eastAsia="Calibri" w:hAnsi="Corbel" w:cs="Times New Roman"/>
                <w:sz w:val="16"/>
                <w:szCs w:val="16"/>
                <w:lang w:val="en-AU"/>
              </w:rPr>
              <w:t>ST_HIGH +0.8% GDP pa</w:t>
            </w:r>
          </w:p>
          <w:p w14:paraId="694866DB" w14:textId="77777777" w:rsidR="001D1322" w:rsidRPr="005403DD" w:rsidRDefault="001D1322" w:rsidP="00C04DFB">
            <w:pPr>
              <w:jc w:val="center"/>
              <w:rPr>
                <w:rFonts w:ascii="Corbel" w:eastAsia="Calibri" w:hAnsi="Corbel" w:cs="Times New Roman"/>
                <w:color w:val="000000" w:themeColor="text1"/>
                <w:sz w:val="16"/>
                <w:szCs w:val="16"/>
                <w:lang w:val="en-AU"/>
              </w:rPr>
            </w:pPr>
          </w:p>
          <w:p w14:paraId="199ED2F3"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sz w:val="16"/>
                <w:szCs w:val="16"/>
                <w:shd w:val="clear" w:color="auto" w:fill="AFCEEB"/>
                <w:lang w:val="en-AU"/>
              </w:rPr>
              <w:t>ST_SDG: 1.5% GDP pa</w:t>
            </w:r>
          </w:p>
        </w:tc>
        <w:tc>
          <w:tcPr>
            <w:tcW w:w="2213" w:type="dxa"/>
            <w:tcBorders>
              <w:top w:val="single" w:sz="4" w:space="0" w:color="auto"/>
              <w:left w:val="single" w:sz="4" w:space="0" w:color="auto"/>
              <w:bottom w:val="single" w:sz="4" w:space="0" w:color="auto"/>
              <w:right w:val="single" w:sz="4" w:space="0" w:color="auto"/>
            </w:tcBorders>
          </w:tcPr>
          <w:p w14:paraId="7D0F839F" w14:textId="5C85105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Additional expenditure parameterised based on Fiji LEDS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2018a)</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Includes energy efficiency program for business costed at USD2m over short-term. A further </w:t>
            </w:r>
            <w:r w:rsidRPr="005403DD">
              <w:rPr>
                <w:rFonts w:ascii="Corbel" w:eastAsia="Calibri" w:hAnsi="Corbel" w:cs="Times New Roman"/>
                <w:color w:val="000000" w:themeColor="text1"/>
                <w:sz w:val="16"/>
                <w:szCs w:val="16"/>
                <w:lang w:val="en-AU"/>
              </w:rPr>
              <w:lastRenderedPageBreak/>
              <w:t>USD4m is allocated for public sector energy efficiency.</w:t>
            </w:r>
          </w:p>
          <w:p w14:paraId="573978AD" w14:textId="77777777" w:rsidR="001D1322" w:rsidRPr="005403DD" w:rsidRDefault="001D1322" w:rsidP="00C04DFB">
            <w:pPr>
              <w:rPr>
                <w:rFonts w:ascii="Corbel" w:eastAsia="Calibri" w:hAnsi="Corbel" w:cs="Times New Roman"/>
                <w:color w:val="000000" w:themeColor="text1"/>
                <w:sz w:val="16"/>
                <w:szCs w:val="16"/>
                <w:lang w:val="en-AU"/>
              </w:rPr>
            </w:pPr>
          </w:p>
        </w:tc>
      </w:tr>
      <w:tr w:rsidR="001D1322" w:rsidRPr="005403DD" w14:paraId="2D5ECBB2" w14:textId="77777777" w:rsidTr="00C04DFB">
        <w:tc>
          <w:tcPr>
            <w:tcW w:w="1531" w:type="dxa"/>
            <w:tcBorders>
              <w:left w:val="single" w:sz="4" w:space="0" w:color="auto"/>
            </w:tcBorders>
          </w:tcPr>
          <w:p w14:paraId="2B86558B"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5B8C7350"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Policy</w:t>
            </w:r>
          </w:p>
        </w:tc>
        <w:tc>
          <w:tcPr>
            <w:tcW w:w="1848" w:type="dxa"/>
            <w:tcBorders>
              <w:right w:val="single" w:sz="4" w:space="0" w:color="auto"/>
            </w:tcBorders>
          </w:tcPr>
          <w:p w14:paraId="36309848"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SDG Expenditure for energy efficiency households</w:t>
            </w:r>
          </w:p>
        </w:tc>
        <w:tc>
          <w:tcPr>
            <w:tcW w:w="1950" w:type="dxa"/>
            <w:tcBorders>
              <w:left w:val="single" w:sz="4" w:space="0" w:color="auto"/>
            </w:tcBorders>
          </w:tcPr>
          <w:p w14:paraId="014EE24B"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04" w:type="dxa"/>
          </w:tcPr>
          <w:p w14:paraId="4A4C0C72"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+0.1% GDP p/a</w:t>
            </w:r>
          </w:p>
          <w:p w14:paraId="628649E7"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1890" w:type="dxa"/>
            <w:shd w:val="clear" w:color="auto" w:fill="E7E6E6"/>
          </w:tcPr>
          <w:p w14:paraId="54CE1C13"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841" w:type="dxa"/>
          </w:tcPr>
          <w:p w14:paraId="0217FA18"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None</w:t>
            </w:r>
          </w:p>
        </w:tc>
        <w:tc>
          <w:tcPr>
            <w:tcW w:w="1701" w:type="dxa"/>
            <w:tcBorders>
              <w:right w:val="single" w:sz="4" w:space="0" w:color="auto"/>
            </w:tcBorders>
          </w:tcPr>
          <w:p w14:paraId="6CE2217D"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+0.1% GDP p/a</w:t>
            </w:r>
          </w:p>
          <w:p w14:paraId="3A2BB026" w14:textId="77777777" w:rsidR="001D1322" w:rsidRPr="005403DD" w:rsidRDefault="001D1322" w:rsidP="00C04DFB">
            <w:pPr>
              <w:jc w:val="center"/>
              <w:rPr>
                <w:rFonts w:ascii="Corbel" w:eastAsia="Calibri" w:hAnsi="Corbel" w:cs="Times New Roman"/>
                <w:color w:val="000000" w:themeColor="text1"/>
                <w:sz w:val="16"/>
                <w:szCs w:val="16"/>
                <w:lang w:val="en-AU"/>
              </w:rPr>
            </w:pPr>
          </w:p>
          <w:p w14:paraId="39117666" w14:textId="77777777" w:rsidR="001D1322" w:rsidRPr="005403DD" w:rsidRDefault="001D1322" w:rsidP="00C04DFB">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ST_HIGH +0.8% GDP pa</w:t>
            </w:r>
          </w:p>
          <w:p w14:paraId="6DF803AA" w14:textId="77777777" w:rsidR="001D1322" w:rsidRPr="005403DD" w:rsidRDefault="001D1322" w:rsidP="00C04DFB">
            <w:pPr>
              <w:jc w:val="center"/>
              <w:rPr>
                <w:rFonts w:ascii="Corbel" w:eastAsia="Calibri" w:hAnsi="Corbel" w:cs="Times New Roman"/>
                <w:color w:val="000000" w:themeColor="text1"/>
                <w:sz w:val="16"/>
                <w:szCs w:val="16"/>
                <w:lang w:val="en-AU"/>
              </w:rPr>
            </w:pPr>
          </w:p>
          <w:p w14:paraId="5EB17E14"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sz w:val="16"/>
                <w:szCs w:val="16"/>
                <w:shd w:val="clear" w:color="auto" w:fill="AFCEEB"/>
                <w:lang w:val="en-AU"/>
              </w:rPr>
              <w:t>ST_SDG: +1% GDP pa</w:t>
            </w:r>
          </w:p>
          <w:p w14:paraId="5A3E9FB4" w14:textId="77777777" w:rsidR="001D1322" w:rsidRPr="005403DD" w:rsidRDefault="001D1322" w:rsidP="00C04DFB">
            <w:pPr>
              <w:jc w:val="center"/>
              <w:rPr>
                <w:rFonts w:ascii="Corbel" w:eastAsia="Calibri" w:hAnsi="Corbel" w:cs="Times New Roman"/>
                <w:color w:val="000000" w:themeColor="text1"/>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2F819F72" w14:textId="2DE780E8"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Additional expenditure parameterised based on Fiji LEDS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(Government of Fiji, 2018a)</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xml:space="preserve">. Includes energy efficiency measures for households. Efficient appliances (~FJD2,000 per household) and domestic lighting (~45 FJD/household). 2030 target is for 100% households with efficient lights and fridge). Total number of households in Fiji in 2013 was ~180,000. </w:t>
            </w:r>
          </w:p>
          <w:p w14:paraId="1ACEB733"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Energy performance standards and labelling at $1.5m over short-term and building standards at$0.5m.</w:t>
            </w:r>
          </w:p>
          <w:p w14:paraId="0756F0C1" w14:textId="77777777" w:rsidR="001D1322" w:rsidRPr="005403DD" w:rsidRDefault="001D1322" w:rsidP="00C04DFB">
            <w:pPr>
              <w:jc w:val="center"/>
              <w:rPr>
                <w:rFonts w:ascii="Corbel" w:eastAsia="Calibri" w:hAnsi="Corbel" w:cs="Times New Roman"/>
                <w:color w:val="000000" w:themeColor="text1"/>
                <w:sz w:val="16"/>
                <w:szCs w:val="16"/>
                <w:lang w:val="en-AU"/>
              </w:rPr>
            </w:pPr>
          </w:p>
        </w:tc>
      </w:tr>
      <w:tr w:rsidR="001D1322" w:rsidRPr="005403DD" w14:paraId="64A4E9DB" w14:textId="77777777" w:rsidTr="00C04DFB">
        <w:trPr>
          <w:trHeight w:val="860"/>
        </w:trPr>
        <w:tc>
          <w:tcPr>
            <w:tcW w:w="1531" w:type="dxa"/>
            <w:tcBorders>
              <w:left w:val="single" w:sz="4" w:space="0" w:color="auto"/>
            </w:tcBorders>
          </w:tcPr>
          <w:p w14:paraId="28B92C41" w14:textId="77777777" w:rsidR="001D1322" w:rsidRPr="005403DD" w:rsidRDefault="001D1322" w:rsidP="00C04DFB">
            <w:pPr>
              <w:rPr>
                <w:rFonts w:ascii="Corbel" w:eastAsia="Calibri" w:hAnsi="Corbel" w:cs="Times New Roman"/>
                <w:sz w:val="16"/>
                <w:szCs w:val="16"/>
                <w:lang w:val="en-AU"/>
              </w:rPr>
            </w:pPr>
          </w:p>
        </w:tc>
        <w:tc>
          <w:tcPr>
            <w:tcW w:w="1186" w:type="dxa"/>
          </w:tcPr>
          <w:p w14:paraId="62E3831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4D29F70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Environment </w:t>
            </w:r>
          </w:p>
          <w:p w14:paraId="5DF5CAC9"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(Forest cover % land area; SoC density; Benefits index for biodiversity)</w:t>
            </w:r>
          </w:p>
        </w:tc>
        <w:tc>
          <w:tcPr>
            <w:tcW w:w="1950" w:type="dxa"/>
            <w:tcBorders>
              <w:left w:val="single" w:sz="4" w:space="0" w:color="auto"/>
            </w:tcBorders>
          </w:tcPr>
          <w:p w14:paraId="397170A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Serious degradation</w:t>
            </w:r>
          </w:p>
        </w:tc>
        <w:tc>
          <w:tcPr>
            <w:tcW w:w="1804" w:type="dxa"/>
          </w:tcPr>
          <w:p w14:paraId="4FFBF5F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Improving conditions over time</w:t>
            </w:r>
          </w:p>
        </w:tc>
        <w:tc>
          <w:tcPr>
            <w:tcW w:w="1890" w:type="dxa"/>
            <w:shd w:val="clear" w:color="auto" w:fill="E7E6E6"/>
          </w:tcPr>
          <w:p w14:paraId="1017ADC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77730CE6"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13C2D0B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Continued degradation</w:t>
            </w:r>
          </w:p>
        </w:tc>
        <w:tc>
          <w:tcPr>
            <w:tcW w:w="1701" w:type="dxa"/>
            <w:tcBorders>
              <w:right w:val="single" w:sz="4" w:space="0" w:color="auto"/>
            </w:tcBorders>
          </w:tcPr>
          <w:p w14:paraId="33CCB09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Improving conditions over time</w:t>
            </w:r>
          </w:p>
        </w:tc>
        <w:tc>
          <w:tcPr>
            <w:tcW w:w="2213" w:type="dxa"/>
            <w:tcBorders>
              <w:top w:val="single" w:sz="4" w:space="0" w:color="auto"/>
              <w:left w:val="single" w:sz="4" w:space="0" w:color="auto"/>
              <w:bottom w:val="single" w:sz="4" w:space="0" w:color="auto"/>
              <w:right w:val="single" w:sz="4" w:space="0" w:color="auto"/>
            </w:tcBorders>
          </w:tcPr>
          <w:p w14:paraId="4E9FD46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45998CAC" w14:textId="77777777" w:rsidTr="00C04DFB">
        <w:tc>
          <w:tcPr>
            <w:tcW w:w="1531" w:type="dxa"/>
            <w:tcBorders>
              <w:left w:val="single" w:sz="4" w:space="0" w:color="auto"/>
            </w:tcBorders>
          </w:tcPr>
          <w:p w14:paraId="25AC605C" w14:textId="77777777" w:rsidR="001D1322" w:rsidRPr="005403DD" w:rsidRDefault="001D1322" w:rsidP="00C04DFB">
            <w:pPr>
              <w:rPr>
                <w:rFonts w:ascii="Corbel" w:eastAsia="Calibri" w:hAnsi="Corbel" w:cs="Times New Roman"/>
                <w:sz w:val="16"/>
                <w:szCs w:val="16"/>
                <w:lang w:val="en-AU"/>
              </w:rPr>
            </w:pPr>
          </w:p>
        </w:tc>
        <w:tc>
          <w:tcPr>
            <w:tcW w:w="1186" w:type="dxa"/>
          </w:tcPr>
          <w:p w14:paraId="60F96F2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5C2B15A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Land use</w:t>
            </w:r>
          </w:p>
        </w:tc>
        <w:tc>
          <w:tcPr>
            <w:tcW w:w="1950" w:type="dxa"/>
            <w:tcBorders>
              <w:left w:val="single" w:sz="4" w:space="0" w:color="auto"/>
            </w:tcBorders>
          </w:tcPr>
          <w:p w14:paraId="7BEB38C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Limited regulation; deforestation; more rapid conversion of land for agriculture/settlements</w:t>
            </w:r>
          </w:p>
        </w:tc>
        <w:tc>
          <w:tcPr>
            <w:tcW w:w="1804" w:type="dxa"/>
          </w:tcPr>
          <w:p w14:paraId="09EE2D9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Strong regulations to manage environmental trade-offs; reforestation increases forest area</w:t>
            </w:r>
          </w:p>
        </w:tc>
        <w:tc>
          <w:tcPr>
            <w:tcW w:w="1890" w:type="dxa"/>
            <w:shd w:val="clear" w:color="auto" w:fill="E7E6E6"/>
          </w:tcPr>
          <w:p w14:paraId="1156F68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503BA31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Forest cover: 52.1% (0.521)</w:t>
            </w:r>
          </w:p>
          <w:p w14:paraId="1AED2066"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16009783" w14:textId="054E128C"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Limited regulation; continued deforestation; more rapid conversion of land for agric</w:t>
            </w:r>
            <w:r w:rsidR="005F7E4F">
              <w:rPr>
                <w:rFonts w:ascii="Corbel" w:eastAsia="Calibri" w:hAnsi="Corbel" w:cs="Times New Roman"/>
                <w:sz w:val="16"/>
                <w:szCs w:val="16"/>
                <w:lang w:val="en-AU"/>
              </w:rPr>
              <w:t>ulture</w:t>
            </w:r>
            <w:r w:rsidRPr="005403DD">
              <w:rPr>
                <w:rFonts w:ascii="Corbel" w:eastAsia="Calibri" w:hAnsi="Corbel" w:cs="Times New Roman"/>
                <w:sz w:val="16"/>
                <w:szCs w:val="16"/>
                <w:lang w:val="en-AU"/>
              </w:rPr>
              <w:t>/settlements</w:t>
            </w:r>
          </w:p>
        </w:tc>
        <w:tc>
          <w:tcPr>
            <w:tcW w:w="1701" w:type="dxa"/>
            <w:tcBorders>
              <w:right w:val="single" w:sz="4" w:space="0" w:color="auto"/>
            </w:tcBorders>
          </w:tcPr>
          <w:p w14:paraId="2FC147B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Strong regulations to manage environmental trade-offs; reforestation increases forest area</w:t>
            </w:r>
          </w:p>
        </w:tc>
        <w:tc>
          <w:tcPr>
            <w:tcW w:w="2213" w:type="dxa"/>
            <w:tcBorders>
              <w:top w:val="single" w:sz="4" w:space="0" w:color="auto"/>
              <w:left w:val="single" w:sz="4" w:space="0" w:color="auto"/>
              <w:bottom w:val="single" w:sz="4" w:space="0" w:color="auto"/>
              <w:right w:val="single" w:sz="4" w:space="0" w:color="auto"/>
            </w:tcBorders>
          </w:tcPr>
          <w:p w14:paraId="24EA24F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Data on forest cover for Fiji 1990-2017 from FAO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&lt;EndNote&gt;&lt;Cite&gt;&lt;Author&gt;FAO&lt;/Author&gt;&lt;Year&gt;2017&lt;/Year&gt;&lt;RecNum&gt;1052&lt;/RecNum&gt;&lt;DisplayText&gt;(FAO, 2017)&lt;/DisplayText&gt;&lt;record&gt;&lt;rec-number&gt;1052&lt;/rec-number&gt;&lt;foreign-keys&gt;&lt;key app="EN" db-id="9vsrvaat7fadwtesfsrpw5w5t0x5v500ef25" timestamp="1565086591"&gt;1052&lt;/key&gt;&lt;/foreign-keys&gt;&lt;ref-type name="Dataset"&gt;59&lt;/ref-type&gt;&lt;contributors&gt;&lt;authors&gt;&lt;author&gt;FAO&lt;/author&gt;&lt;/authors&gt;&lt;/contributors&gt;&lt;titles&gt;&lt;title&gt;FAOSTAT database&lt;/title&gt;&lt;/titles&gt;&lt;dates&gt;&lt;year&gt;2017&lt;/year&gt;&lt;/dates&gt;&lt;pub-location&gt;Rome, Italy&lt;/pub-location&gt;&lt;urls&gt;&lt;related-urls&gt;&lt;url&gt;http://www.fao.org/faostat/en/#data/RL&lt;/url&gt;&lt;/related-urls&gt;&lt;/urls&gt;&lt;access-date&gt;03/02/18&lt;/access-date&gt;&lt;/record&gt;&lt;/Cite&gt;&lt;/EndNote&gt;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(FAO,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w:t>
            </w:r>
          </w:p>
        </w:tc>
      </w:tr>
      <w:tr w:rsidR="001D1322" w:rsidRPr="005403DD" w14:paraId="64837A45" w14:textId="77777777" w:rsidTr="00C04DFB">
        <w:tc>
          <w:tcPr>
            <w:tcW w:w="1531" w:type="dxa"/>
            <w:tcBorders>
              <w:left w:val="single" w:sz="4" w:space="0" w:color="auto"/>
            </w:tcBorders>
          </w:tcPr>
          <w:p w14:paraId="2EB67402" w14:textId="77777777" w:rsidR="001D1322" w:rsidRPr="005403DD" w:rsidRDefault="001D1322" w:rsidP="00C04DFB">
            <w:pPr>
              <w:rPr>
                <w:rFonts w:ascii="Corbel" w:eastAsia="Calibri" w:hAnsi="Corbel" w:cs="Times New Roman"/>
                <w:sz w:val="16"/>
                <w:szCs w:val="16"/>
                <w:lang w:val="en-AU"/>
              </w:rPr>
            </w:pPr>
          </w:p>
        </w:tc>
        <w:tc>
          <w:tcPr>
            <w:tcW w:w="1186" w:type="dxa"/>
          </w:tcPr>
          <w:p w14:paraId="288D3C2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4D4A872D"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Agriculture</w:t>
            </w:r>
          </w:p>
        </w:tc>
        <w:tc>
          <w:tcPr>
            <w:tcW w:w="1950" w:type="dxa"/>
            <w:tcBorders>
              <w:left w:val="single" w:sz="4" w:space="0" w:color="auto"/>
            </w:tcBorders>
          </w:tcPr>
          <w:p w14:paraId="3F30BAB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 in large-scale farming; highly managed, resource-intensive; productivity limited by climate</w:t>
            </w:r>
          </w:p>
        </w:tc>
        <w:tc>
          <w:tcPr>
            <w:tcW w:w="1804" w:type="dxa"/>
          </w:tcPr>
          <w:p w14:paraId="4B77D18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Increased spread of sustainable farming practices, water efficiency and productivity</w:t>
            </w:r>
          </w:p>
        </w:tc>
        <w:tc>
          <w:tcPr>
            <w:tcW w:w="1890" w:type="dxa"/>
            <w:shd w:val="clear" w:color="auto" w:fill="E7E6E6"/>
          </w:tcPr>
          <w:p w14:paraId="4EACFF3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5DC84B34"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67FA02BF" w14:textId="1619AF8E" w:rsidR="001D1322" w:rsidRPr="005403DD" w:rsidRDefault="003908FC" w:rsidP="00C04DFB">
            <w:pPr>
              <w:jc w:val="center"/>
              <w:rPr>
                <w:rFonts w:ascii="Corbel" w:eastAsia="Calibri" w:hAnsi="Corbel" w:cs="Times New Roman"/>
                <w:sz w:val="16"/>
                <w:szCs w:val="16"/>
                <w:lang w:val="en-AU"/>
              </w:rPr>
            </w:pPr>
            <w:r w:rsidRPr="0023349E">
              <w:rPr>
                <w:rFonts w:ascii="Corbel" w:eastAsia="Calibri" w:hAnsi="Corbel" w:cs="Times New Roman"/>
                <w:sz w:val="16"/>
                <w:szCs w:val="16"/>
                <w:lang w:val="en-AU"/>
              </w:rPr>
              <w:t>Increase in large-scale farming; highly managed, resource-intensive; productivity limited by climate</w:t>
            </w:r>
          </w:p>
        </w:tc>
        <w:tc>
          <w:tcPr>
            <w:tcW w:w="1701" w:type="dxa"/>
            <w:tcBorders>
              <w:right w:val="single" w:sz="4" w:space="0" w:color="auto"/>
            </w:tcBorders>
          </w:tcPr>
          <w:p w14:paraId="7D48591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Increased spread of sustainable farming practices, water efficiency and productivity</w:t>
            </w:r>
          </w:p>
        </w:tc>
        <w:tc>
          <w:tcPr>
            <w:tcW w:w="2213" w:type="dxa"/>
            <w:tcBorders>
              <w:top w:val="single" w:sz="4" w:space="0" w:color="auto"/>
              <w:left w:val="single" w:sz="4" w:space="0" w:color="auto"/>
              <w:bottom w:val="single" w:sz="4" w:space="0" w:color="auto"/>
              <w:right w:val="single" w:sz="4" w:space="0" w:color="auto"/>
            </w:tcBorders>
          </w:tcPr>
          <w:p w14:paraId="5B8DA86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33D93191" w14:textId="77777777" w:rsidTr="00C04DFB">
        <w:tc>
          <w:tcPr>
            <w:tcW w:w="1531" w:type="dxa"/>
            <w:tcBorders>
              <w:left w:val="single" w:sz="4" w:space="0" w:color="auto"/>
            </w:tcBorders>
          </w:tcPr>
          <w:p w14:paraId="22F6A201" w14:textId="77777777" w:rsidR="001D1322" w:rsidRPr="005403DD" w:rsidRDefault="001D1322" w:rsidP="00C04DFB">
            <w:pPr>
              <w:rPr>
                <w:rFonts w:ascii="Corbel" w:eastAsia="Calibri" w:hAnsi="Corbel" w:cs="Times New Roman"/>
                <w:sz w:val="16"/>
                <w:szCs w:val="16"/>
                <w:lang w:val="en-AU"/>
              </w:rPr>
            </w:pPr>
          </w:p>
        </w:tc>
        <w:tc>
          <w:tcPr>
            <w:tcW w:w="1186" w:type="dxa"/>
          </w:tcPr>
          <w:p w14:paraId="6AB1BA48"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3F4445A8"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Expenditure on reforestation as % GDP</w:t>
            </w:r>
          </w:p>
        </w:tc>
        <w:tc>
          <w:tcPr>
            <w:tcW w:w="1950" w:type="dxa"/>
            <w:tcBorders>
              <w:left w:val="single" w:sz="4" w:space="0" w:color="auto"/>
            </w:tcBorders>
          </w:tcPr>
          <w:p w14:paraId="39310E4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trends</w:t>
            </w:r>
          </w:p>
          <w:p w14:paraId="29FDA83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 additional SDG expenditure)</w:t>
            </w:r>
          </w:p>
        </w:tc>
        <w:tc>
          <w:tcPr>
            <w:tcW w:w="1804" w:type="dxa"/>
          </w:tcPr>
          <w:p w14:paraId="032BFBF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 GDP p/a</w:t>
            </w:r>
          </w:p>
        </w:tc>
        <w:tc>
          <w:tcPr>
            <w:tcW w:w="1890" w:type="dxa"/>
            <w:shd w:val="clear" w:color="auto" w:fill="E7E6E6"/>
          </w:tcPr>
          <w:p w14:paraId="496DD10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trends</w:t>
            </w:r>
          </w:p>
          <w:p w14:paraId="14F7D58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 additional SDG expenditure)</w:t>
            </w:r>
          </w:p>
        </w:tc>
        <w:tc>
          <w:tcPr>
            <w:tcW w:w="1841" w:type="dxa"/>
          </w:tcPr>
          <w:p w14:paraId="02C7757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trends</w:t>
            </w:r>
          </w:p>
          <w:p w14:paraId="38F0F18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 additional SDG expenditure)</w:t>
            </w:r>
          </w:p>
        </w:tc>
        <w:tc>
          <w:tcPr>
            <w:tcW w:w="1701" w:type="dxa"/>
            <w:tcBorders>
              <w:right w:val="single" w:sz="4" w:space="0" w:color="auto"/>
            </w:tcBorders>
          </w:tcPr>
          <w:p w14:paraId="0E6F79F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 GDP p/a</w:t>
            </w:r>
          </w:p>
          <w:p w14:paraId="65A74ECC" w14:textId="77777777" w:rsidR="001D1322" w:rsidRPr="005403DD" w:rsidRDefault="001D1322" w:rsidP="00C04DFB">
            <w:pPr>
              <w:jc w:val="center"/>
              <w:rPr>
                <w:rFonts w:ascii="Corbel" w:eastAsia="Calibri" w:hAnsi="Corbel" w:cs="Times New Roman"/>
                <w:sz w:val="16"/>
                <w:szCs w:val="16"/>
                <w:lang w:val="en-AU"/>
              </w:rPr>
            </w:pPr>
          </w:p>
          <w:p w14:paraId="7531CFD6" w14:textId="77777777" w:rsidR="001D1322" w:rsidRPr="005403DD" w:rsidRDefault="001D1322" w:rsidP="00774A01">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12FF30CB" w14:textId="412C7CC3"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Fiji LEDS BAU scenario is for no change; High Ambition scenario is for 10,000 ha reforested with hardwood by 2050 and costed at USD12m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&lt;EndNote&gt;&lt;Cite&gt;&lt;Author&gt;Government of Fiji&lt;/Author&gt;&lt;Year&gt;2018&lt;/Year&gt;&lt;RecNum&gt;1160&lt;/RecNum&gt;&lt;DisplayText&gt;(Government of Fiji, 2018a)&lt;/DisplayText&gt;&lt;record&gt;&lt;rec-number&gt;1160&lt;/rec-number&gt;&lt;foreign-keys&gt;&lt;key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(Government of Fiji, 2018a)</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This equates to $1,200/ha. Fiji very high ambition scenario propose to establish ~80,000 hectares additional forest over 15 years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&lt;EndNote&gt;&lt;Cite&gt;&lt;Author&gt;Facility&lt;/Author&gt;&lt;Year&gt;2016&lt;/Year&gt;&lt;RecNum&gt;1206&lt;/RecNum&gt;&lt;DisplayText&gt;(Forest Carbon Partnership Facility, 2016, Government of Fiji, 2018a)&lt;/DisplayText&gt;&lt;record&gt;&lt;rec-number&gt;1206&lt;/rec-number&gt;&lt;foreign-keys&gt;&lt;key app="EN" db-id="9vsrvaat7fadwtesfsrpw5w5t0x5v500ef25" timestamp="1578808081"&gt;1206&lt;/key&gt;&lt;/foreign-keys&gt;&lt;ref-type name="Generic"&gt;13&lt;/ref-type&gt;&lt;contributors&gt;&lt;authors&gt;&lt;author&gt;Forest Carbon Partnership Facility,&lt;/author&gt;&lt;/authors&gt;&lt;/contributors&gt;&lt;titles&gt;&lt;title&gt;Emission Reductions Program Idea Note (ER-PIN)&lt;/title&gt;&lt;/titles&gt;&lt;dates&gt;&lt;year&gt;2016&lt;/year&gt;&lt;/dates&gt;&lt;pub-location&gt;Suva, Fiji&lt;/pub-location&gt;&lt;publisher&gt;World Bank&lt;/publisher&gt;&lt;urls&gt;&lt;related-urls&gt;&lt;url&gt;https://forestcarbonpartnership.org/system/files/documents/ER-PIN_Fiji_March2016_final.pdf&lt;/url&gt;&lt;/related-urls&gt;&lt;/urls&gt;&lt;/record&gt;&lt;/Cite&gt;&lt;Cite&gt;&lt;Author&gt;Government of Fiji&lt;/Author&gt;&lt;Year&gt;2018&lt;/Year&gt;&lt;RecNum&gt;1160&lt;/RecNum&gt;&lt;record&gt;&lt;rec-number&gt;1160&lt;/rec-number&gt;&lt;foreign-keys&gt;&lt;key app="EN" db-id="9vsrvaat7fadwtesfsrpw5w5t0x5v500ef25" timestamp="1574310880"&gt;1160&lt;/key&gt;&lt;/foreign-keys&gt;&lt;ref-type name="Generic"&gt;13&lt;/ref-type&gt;&lt;contributors&gt;&lt;authors&gt;&lt;author&gt;Government of Fiji,&lt;/author&gt;&lt;/authors&gt;&lt;/contributors&gt;&lt;titles&gt;&lt;title&gt;Fiji Low Emission Development Strategy 2018-2050&lt;/title&gt;&lt;/titles&gt;&lt;dates&gt;&lt;year&gt;2018&lt;/year&gt;&lt;/dates&gt;&lt;pub-location&gt;Fiji&lt;/pub-location&gt;&lt;publisher&gt;Government of the Republic of Fiji&lt;/publisher&gt;&lt;urls&gt;&lt;related-urls&gt;&lt;url&gt;https://unfccc.int/sites/default/files/resource/Fiji_Low%20Emission%20Development%20%20Strategy%202018%20-%202050.pdf&lt;/url&gt;&lt;/related-urls&gt;&lt;/urls&gt;&lt;/record&gt;&lt;/Cite&gt;&lt;/EndNote&gt;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(Forest Carbon Partnership Facility, 2016, Government of Fiji, 2018a)</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 $96m. </w:t>
            </w:r>
          </w:p>
          <w:p w14:paraId="62FF8C86" w14:textId="77777777" w:rsidR="001D1322" w:rsidRPr="005403DD" w:rsidRDefault="001D1322" w:rsidP="00C04DFB">
            <w:pPr>
              <w:jc w:val="center"/>
              <w:rPr>
                <w:rFonts w:ascii="Corbel" w:eastAsia="Calibri" w:hAnsi="Corbel" w:cs="Times New Roman"/>
                <w:sz w:val="16"/>
                <w:szCs w:val="16"/>
                <w:lang w:val="en-AU"/>
              </w:rPr>
            </w:pPr>
          </w:p>
          <w:p w14:paraId="00BED40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Forest carbon stock estimated at mean = 170 tCO2-e per hectare based on carbon stock assessment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&lt;EndNote&gt;&lt;Cite&gt;&lt;Author&gt;Payton&lt;/Author&gt;&lt;Year&gt;2011&lt;/Year&gt;&lt;RecNum&gt;1205&lt;/RecNum&gt;&lt;DisplayText&gt;(Payton and Weaver, 2011)&lt;/DisplayText&gt;&lt;record&gt;&lt;rec-number&gt;1205&lt;/rec-number&gt;&lt;foreign-keys&gt;&lt;key app="EN" db-id="9vsrvaat7fadwtesfsrpw5w5t0x5v500ef25" timestamp="1578722216"&gt;1205&lt;/key&gt;&lt;/foreign-keys&gt;&lt;ref-type name="Generic"&gt;13&lt;/ref-type&gt;&lt;contributors&gt;&lt;authors&gt;&lt;author&gt;Payton, I&lt;/author&gt;&lt;author&gt;Weaver, S&lt;/author&gt;&lt;/authors&gt;&lt;/contributors&gt;&lt;titles&gt;&lt;title&gt;Fiji National Forest Carbon Stock Assessment&lt;/title&gt;&lt;/titles&gt;&lt;dates&gt;&lt;year&gt;2011&lt;/year&gt;&lt;/dates&gt;&lt;pub-location&gt;Suva, Fiji&lt;/pub-location&gt;&lt;publisher&gt;Secretariat of the Pacific Community&lt;/publisher&gt;&lt;urls&gt;&lt;/urls&gt;&lt;/record&gt;&lt;/Cite&gt;&lt;/EndNote&gt;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(Payton and Weaver, 2011)</w:t>
            </w:r>
            <w:r w:rsidRPr="005403DD">
              <w:rPr>
                <w:rFonts w:ascii="Corbel" w:eastAsia="Calibri" w:hAnsi="Corbel" w:cs="Times New Roman"/>
                <w:sz w:val="16"/>
                <w:szCs w:val="16"/>
                <w:lang w:val="en-AU"/>
              </w:rPr>
              <w:fldChar w:fldCharType="end"/>
            </w:r>
          </w:p>
        </w:tc>
      </w:tr>
      <w:tr w:rsidR="001D1322" w:rsidRPr="005403DD" w14:paraId="77B9AA49" w14:textId="77777777" w:rsidTr="00C04DFB">
        <w:tc>
          <w:tcPr>
            <w:tcW w:w="1531" w:type="dxa"/>
            <w:tcBorders>
              <w:left w:val="single" w:sz="4" w:space="0" w:color="auto"/>
            </w:tcBorders>
          </w:tcPr>
          <w:p w14:paraId="2E4F486B" w14:textId="77777777" w:rsidR="001D1322" w:rsidRPr="005403DD" w:rsidRDefault="001D1322" w:rsidP="00C04DFB">
            <w:pPr>
              <w:rPr>
                <w:rFonts w:ascii="Corbel" w:eastAsia="Calibri" w:hAnsi="Corbel" w:cs="Times New Roman"/>
                <w:sz w:val="16"/>
                <w:szCs w:val="16"/>
                <w:lang w:val="en-AU"/>
              </w:rPr>
            </w:pPr>
          </w:p>
        </w:tc>
        <w:tc>
          <w:tcPr>
            <w:tcW w:w="1186" w:type="dxa"/>
          </w:tcPr>
          <w:p w14:paraId="3299ED74"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56373C4A"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Additional SDG expenditure on sustainable agriculture training ($)</w:t>
            </w:r>
          </w:p>
        </w:tc>
        <w:tc>
          <w:tcPr>
            <w:tcW w:w="1950" w:type="dxa"/>
            <w:tcBorders>
              <w:left w:val="single" w:sz="4" w:space="0" w:color="auto"/>
            </w:tcBorders>
          </w:tcPr>
          <w:p w14:paraId="2010CD7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804" w:type="dxa"/>
          </w:tcPr>
          <w:p w14:paraId="7FD18E3A" w14:textId="77777777" w:rsidR="001D1322"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+0.3% GDP p/a</w:t>
            </w:r>
          </w:p>
          <w:p w14:paraId="2F54E651" w14:textId="77777777" w:rsidR="008E09E1" w:rsidRDefault="008E09E1" w:rsidP="00C04DFB">
            <w:pPr>
              <w:jc w:val="center"/>
              <w:rPr>
                <w:rFonts w:ascii="Corbel" w:eastAsia="Calibri" w:hAnsi="Corbel" w:cs="Times New Roman"/>
                <w:sz w:val="16"/>
                <w:szCs w:val="16"/>
                <w:lang w:val="en-AU"/>
              </w:rPr>
            </w:pPr>
          </w:p>
          <w:p w14:paraId="3FA74A03" w14:textId="5CE0DD46" w:rsidR="008E09E1" w:rsidRPr="005403DD" w:rsidRDefault="008E09E1" w:rsidP="00C04DFB">
            <w:pPr>
              <w:jc w:val="center"/>
              <w:rPr>
                <w:rFonts w:ascii="Corbel" w:eastAsia="Calibri" w:hAnsi="Corbel" w:cs="Times New Roman"/>
                <w:sz w:val="16"/>
                <w:szCs w:val="16"/>
                <w:lang w:val="en-AU"/>
              </w:rPr>
            </w:pPr>
          </w:p>
        </w:tc>
        <w:tc>
          <w:tcPr>
            <w:tcW w:w="1890" w:type="dxa"/>
            <w:shd w:val="clear" w:color="auto" w:fill="E7E6E6"/>
          </w:tcPr>
          <w:p w14:paraId="0FCF31A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841" w:type="dxa"/>
          </w:tcPr>
          <w:p w14:paraId="1AAFAD7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tc>
        <w:tc>
          <w:tcPr>
            <w:tcW w:w="1701" w:type="dxa"/>
            <w:tcBorders>
              <w:right w:val="single" w:sz="4" w:space="0" w:color="auto"/>
            </w:tcBorders>
          </w:tcPr>
          <w:p w14:paraId="609EFFC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+0.3% GDP p/a</w:t>
            </w:r>
          </w:p>
        </w:tc>
        <w:tc>
          <w:tcPr>
            <w:tcW w:w="2213" w:type="dxa"/>
            <w:tcBorders>
              <w:top w:val="single" w:sz="4" w:space="0" w:color="auto"/>
              <w:left w:val="single" w:sz="4" w:space="0" w:color="auto"/>
              <w:bottom w:val="single" w:sz="4" w:space="0" w:color="auto"/>
              <w:right w:val="single" w:sz="4" w:space="0" w:color="auto"/>
            </w:tcBorders>
          </w:tcPr>
          <w:p w14:paraId="4EC85D8C" w14:textId="40FB105A"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Agriculture training expenditure estimated based on Fiji agricultural employment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agriculture expenditure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&lt;EndNote&gt;&lt;Cite&gt;&lt;Author&gt;FBoS&lt;/Author&gt;&lt;Year&gt;2016&lt;/Year&gt;&lt;RecNum&gt;1189&lt;/RecNum&gt;&lt;DisplayText&gt;(FBoS, 2016)&lt;/DisplayText&gt;&lt;record&gt;&lt;rec-number&gt;1189&lt;/rec-number&gt;&lt;foreign-keys&gt;&lt;key app="EN" db-id="9vsrvaat7fadwtesfsrpw5w5t0x5v500ef25" timestamp="1575949416"&gt;1189&lt;/key&gt;&lt;/foreign-keys&gt;&lt;ref-type name="Dataset"&gt;59&lt;/ref-type&gt;&lt;contributors&gt;&lt;authors&gt;&lt;author&gt;FBoS,&lt;/author&gt;&lt;/authors&gt;&lt;secondary-authors&gt;&lt;author&gt;Fiji Bureau of Statistics&lt;/author&gt;&lt;/secondary-authors&gt;&lt;/contributors&gt;&lt;titles&gt;&lt;title&gt;Central Government Final Consumption Expenditure&lt;/title&gt;&lt;/titles&gt;&lt;dates&gt;&lt;year&gt;2016&lt;/year&gt;&lt;/dates&gt;&lt;pub-location&gt;Suva, Fiji&lt;/pub-location&gt;&lt;publisher&gt;Fiji Bureau of Statistics&lt;/publisher&gt;&lt;urls&gt;&lt;/urls&gt;&lt;/record&gt;&lt;/Cite&gt;&lt;/EndNote&gt;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(FBoS, 2016)</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existing sustainable agriculture projects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&lt;EndNote&gt;&lt;Cite&gt;&lt;Author&gt;USAID&lt;/Author&gt;&lt;Year&gt;2017&lt;/Year&gt;&lt;RecNum&gt;1191&lt;/RecNum&gt;&lt;DisplayText&gt;(USAID, 2017, UNDP, 2016)&lt;/DisplayText&gt;&lt;record&gt;&lt;rec-number&gt;1191&lt;/rec-number&gt;&lt;foreign-keys&gt;&lt;key app="EN" db-id="9vsrvaat7fadwtesfsrpw5w5t0x5v500ef25" timestamp="1575950161"&gt;1191&lt;/key&gt;&lt;/foreign-keys&gt;&lt;ref-type name="Generic"&gt;13&lt;/ref-type&gt;&lt;contributors&gt;&lt;authors&gt;&lt;author&gt;USAID,&lt;/author&gt;&lt;/authors&gt;&lt;/contributors&gt;&lt;titles&gt;&lt;title&gt;Climate Change Adaptation Through Sustainable Agriculture&lt;/title&gt;&lt;/titles&gt;&lt;dates&gt;&lt;year&gt;2017&lt;/year&gt;&lt;/dates&gt;&lt;pub-location&gt;Suva, Fiji&lt;/pub-location&gt;&lt;publisher&gt;USAID&lt;/publisher&gt;&lt;urls&gt;&lt;related-urls&gt;&lt;url&gt;https://www.pacificclimatechange.net/sites/default/files/documents/FRIEND%20Grant%20Factsheet_Updated.pdf&lt;/url&gt;&lt;/related-urls&gt;&lt;/urls&gt;&lt;/record&gt;&lt;/Cite&gt;&lt;Cite&gt;&lt;Author&gt;UNDP&lt;/Author&gt;&lt;Year&gt;2016&lt;/Year&gt;&lt;RecNum&gt;1190&lt;/RecNum&gt;&lt;record&gt;&lt;rec-number&gt;1190&lt;/rec-number&gt;&lt;foreign-keys&gt;&lt;key app="EN" db-id="9vsrvaat7fadwtesfsrpw5w5t0x5v500ef25" timestamp="1575950042"&gt;1190&lt;/key&gt;&lt;/foreign-keys&gt;&lt;ref-type name="Web Page"&gt;12&lt;/ref-type&gt;&lt;contributors&gt;&lt;authors&gt;&lt;author&gt;UNDP,&lt;/author&gt;&lt;/authors&gt;&lt;/contributors&gt;&lt;titles&gt;&lt;title&gt;Chemical Free Farming Paves the Way to Sustainability in Fiji&lt;/title&gt;&lt;/titles&gt;&lt;volume&gt;2019&lt;/volume&gt;&lt;number&gt;10 December&lt;/number&gt;&lt;dates&gt;&lt;year&gt;2016&lt;/year&gt;&lt;/dates&gt;&lt;pub-location&gt;Suva, Fiji&lt;/pub-location&gt;&lt;publisher&gt;United Nations Development Programme and Global Environmentl Facility Small Grants Programme&lt;/publisher&gt;&lt;urls&gt;&lt;related-urls&gt;&lt;url&gt;https://www.sgp.undp.org/index.php?option=com_content&amp;amp;view=article&amp;amp;id=425:chemical-free-farming-paves-the-way-to-sustainability-in-fiji&amp;amp;catid=36:our-stories&amp;amp;Itemid=253&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(USAID, 2017, UNDP, 2016)</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Funding per farmer ranged from USD320 to USD2,500.  Total employment in farming = ~70,000 in 2016.  USD1000 per farmer.</w:t>
            </w:r>
            <w:r w:rsidR="00FC428E">
              <w:rPr>
                <w:rFonts w:ascii="Corbel" w:eastAsia="Calibri" w:hAnsi="Corbel" w:cs="Times New Roman"/>
                <w:sz w:val="16"/>
                <w:szCs w:val="16"/>
                <w:lang w:val="en-AU"/>
              </w:rPr>
              <w:t xml:space="preserve"> Agricultural land under sustainable management assumes -30% in </w:t>
            </w:r>
            <w:r w:rsidR="001B7104">
              <w:rPr>
                <w:rFonts w:ascii="Corbel" w:eastAsia="Calibri" w:hAnsi="Corbel" w:cs="Times New Roman"/>
                <w:sz w:val="16"/>
                <w:szCs w:val="16"/>
                <w:lang w:val="en-AU"/>
              </w:rPr>
              <w:t xml:space="preserve">reference level </w:t>
            </w:r>
            <w:r w:rsidR="00FC428E">
              <w:rPr>
                <w:rFonts w:ascii="Corbel" w:eastAsia="Calibri" w:hAnsi="Corbel" w:cs="Times New Roman"/>
                <w:sz w:val="16"/>
                <w:szCs w:val="16"/>
                <w:lang w:val="en-AU"/>
              </w:rPr>
              <w:t>mineral fertilizer application</w:t>
            </w:r>
            <w:r w:rsidR="004C5C76">
              <w:rPr>
                <w:rFonts w:ascii="Corbel" w:eastAsia="Calibri" w:hAnsi="Corbel" w:cs="Times New Roman"/>
                <w:sz w:val="16"/>
                <w:szCs w:val="16"/>
                <w:lang w:val="en-AU"/>
              </w:rPr>
              <w:t xml:space="preserve"> per </w:t>
            </w:r>
            <w:r w:rsidR="004C5C76">
              <w:rPr>
                <w:rFonts w:ascii="Corbel" w:eastAsia="Calibri" w:hAnsi="Corbel" w:cs="Times New Roman"/>
                <w:sz w:val="16"/>
                <w:szCs w:val="16"/>
                <w:lang w:val="en-AU"/>
              </w:rPr>
              <w:lastRenderedPageBreak/>
              <w:t>hectare</w:t>
            </w:r>
            <w:r w:rsidR="00FC428E">
              <w:rPr>
                <w:rFonts w:ascii="Corbel" w:eastAsia="Calibri" w:hAnsi="Corbel" w:cs="Times New Roman"/>
                <w:sz w:val="16"/>
                <w:szCs w:val="16"/>
                <w:lang w:val="en-AU"/>
              </w:rPr>
              <w:t xml:space="preserve"> </w:t>
            </w:r>
            <w:r w:rsidR="001B7104">
              <w:rPr>
                <w:rFonts w:ascii="Corbel" w:eastAsia="Calibri" w:hAnsi="Corbel" w:cs="Times New Roman"/>
                <w:sz w:val="16"/>
                <w:szCs w:val="16"/>
                <w:lang w:val="en-AU"/>
              </w:rPr>
              <w:fldChar w:fldCharType="begin"/>
            </w:r>
            <w:r w:rsidR="0067054F">
              <w:rPr>
                <w:rFonts w:ascii="Corbel" w:eastAsia="Calibri" w:hAnsi="Corbel" w:cs="Times New Roman"/>
                <w:sz w:val="16"/>
                <w:szCs w:val="16"/>
                <w:lang w:val="en-AU"/>
              </w:rPr>
              <w:instrText xml:space="preserve"> ADDIN EN.CITE &lt;EndNote&gt;&lt;Cite&gt;&lt;Author&gt;Fixen&lt;/Author&gt;&lt;Year&gt;2005&lt;/Year&gt;&lt;RecNum&gt;1395&lt;/RecNum&gt;&lt;DisplayText&gt;(Fixen et al., 2005, Clark and Tilman, 2017)&lt;/DisplayText&gt;&lt;record&gt;&lt;rec-number&gt;1395&lt;/rec-number&gt;&lt;foreign-keys&gt;&lt;key app="EN" db-id="9vsrvaat7fadwtesfsrpw5w5t0x5v500ef25" timestamp="1588024625"&gt;1395&lt;/key&gt;&lt;/foreign-keys&gt;&lt;ref-type name="Journal Article"&gt;17&lt;/ref-type&gt;&lt;contributors&gt;&lt;authors&gt;&lt;author&gt;Fixen, Paul E&lt;/author&gt;&lt;author&gt;Jiyun, Jin&lt;/author&gt;&lt;author&gt;Tiwari, KN&lt;/author&gt;&lt;author&gt;Stauffer, Mark D&lt;/author&gt;&lt;/authors&gt;&lt;/contributors&gt;&lt;titles&gt;&lt;title&gt;Capitalizing on multi-element interactions through balanced nutrition—A pathway to improve nitrogen use efficiency in China, India and North America&lt;/title&gt;&lt;secondary-title&gt;Science in China Series C: Life Sciences&lt;/secondary-title&gt;&lt;/titles&gt;&lt;periodical&gt;&lt;full-title&gt;Science in China Series C: Life Sciences&lt;/full-title&gt;&lt;/periodical&gt;&lt;pages&gt;780-790&lt;/pages&gt;&lt;volume&gt;48&lt;/volume&gt;&lt;number&gt;2&lt;/number&gt;&lt;dates&gt;&lt;year&gt;2005&lt;/year&gt;&lt;/dates&gt;&lt;isbn&gt;1006-9305&lt;/isbn&gt;&lt;urls&gt;&lt;/urls&gt;&lt;electronic-resource-num&gt;https://doi.org/10.1007/BF03187118&lt;/electronic-resource-num&gt;&lt;/record&gt;&lt;/Cite&gt;&lt;Cite&gt;&lt;Author&gt;Clark&lt;/Author&gt;&lt;Year&gt;2017&lt;/Year&gt;&lt;RecNum&gt;1396&lt;/RecNum&gt;&lt;record&gt;&lt;rec-number&gt;1396&lt;/rec-number&gt;&lt;foreign-keys&gt;&lt;key app="EN" db-id="9vsrvaat7fadwtesfsrpw5w5t0x5v500ef25" timestamp="1588094563"&gt;1396&lt;/key&gt;&lt;/foreign-keys&gt;&lt;ref-type name="Journal Article"&gt;17&lt;/ref-type&gt;&lt;contributors&gt;&lt;authors&gt;&lt;author&gt;Clark, Michael&lt;/author&gt;&lt;author&gt;Tilman, David&lt;/author&gt;&lt;/authors&gt;&lt;/contributors&gt;&lt;titles&gt;&lt;title&gt;Comparative analysis of environmental impacts of agricultural production systems, agricultural input efficiency, and food choice&lt;/title&gt;&lt;secondary-title&gt;Environmental Research Letters&lt;/secondary-title&gt;&lt;/titles&gt;&lt;periodical&gt;&lt;full-title&gt;Environmental Research Letters&lt;/full-title&gt;&lt;/periodical&gt;&lt;pages&gt;064016&lt;/pages&gt;&lt;volume&gt;12&lt;/volume&gt;&lt;number&gt;6&lt;/number&gt;&lt;dates&gt;&lt;year&gt;2017&lt;/year&gt;&lt;/dates&gt;&lt;isbn&gt;1748-9326&lt;/isbn&gt;&lt;urls&gt;&lt;/urls&gt;&lt;electronic-resource-num&gt;https://doi.org/10.1088/1748-9326/aa6cd5&lt;/electronic-resource-num&gt;&lt;/record&gt;&lt;/Cite&gt;&lt;/EndNote&gt;</w:instrText>
            </w:r>
            <w:r w:rsidR="001B7104">
              <w:rPr>
                <w:rFonts w:ascii="Corbel" w:eastAsia="Calibri" w:hAnsi="Corbel" w:cs="Times New Roman"/>
                <w:sz w:val="16"/>
                <w:szCs w:val="16"/>
                <w:lang w:val="en-AU"/>
              </w:rPr>
              <w:fldChar w:fldCharType="separate"/>
            </w:r>
            <w:r w:rsidR="0067054F">
              <w:rPr>
                <w:rFonts w:ascii="Corbel" w:eastAsia="Calibri" w:hAnsi="Corbel" w:cs="Times New Roman"/>
                <w:noProof/>
                <w:sz w:val="16"/>
                <w:szCs w:val="16"/>
                <w:lang w:val="en-AU"/>
              </w:rPr>
              <w:t>(Fixen et al., 2005, Clark and Tilman, 2017)</w:t>
            </w:r>
            <w:r w:rsidR="001B7104">
              <w:rPr>
                <w:rFonts w:ascii="Corbel" w:eastAsia="Calibri" w:hAnsi="Corbel" w:cs="Times New Roman"/>
                <w:sz w:val="16"/>
                <w:szCs w:val="16"/>
                <w:lang w:val="en-AU"/>
              </w:rPr>
              <w:fldChar w:fldCharType="end"/>
            </w:r>
            <w:r w:rsidR="0067054F">
              <w:rPr>
                <w:rFonts w:ascii="Corbel" w:eastAsia="Calibri" w:hAnsi="Corbel" w:cs="Times New Roman"/>
                <w:sz w:val="16"/>
                <w:szCs w:val="16"/>
                <w:lang w:val="en-AU"/>
              </w:rPr>
              <w:t>.</w:t>
            </w:r>
          </w:p>
        </w:tc>
      </w:tr>
      <w:tr w:rsidR="001D1322" w:rsidRPr="005403DD" w14:paraId="573E4116" w14:textId="77777777" w:rsidTr="00C04DFB">
        <w:tc>
          <w:tcPr>
            <w:tcW w:w="1531" w:type="dxa"/>
            <w:tcBorders>
              <w:left w:val="single" w:sz="4" w:space="0" w:color="auto"/>
            </w:tcBorders>
          </w:tcPr>
          <w:p w14:paraId="28C697F9" w14:textId="77777777" w:rsidR="001D1322" w:rsidRPr="005403DD" w:rsidRDefault="001D1322" w:rsidP="00C04DFB">
            <w:pPr>
              <w:rPr>
                <w:rFonts w:ascii="Corbel" w:eastAsia="Calibri" w:hAnsi="Corbel" w:cs="Times New Roman"/>
                <w:sz w:val="16"/>
                <w:szCs w:val="16"/>
                <w:lang w:val="en-AU"/>
              </w:rPr>
            </w:pPr>
          </w:p>
        </w:tc>
        <w:tc>
          <w:tcPr>
            <w:tcW w:w="1186" w:type="dxa"/>
          </w:tcPr>
          <w:p w14:paraId="65C10332"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38A489E7"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Expenditure for terrestrial protected areas (% GDP)</w:t>
            </w:r>
          </w:p>
        </w:tc>
        <w:tc>
          <w:tcPr>
            <w:tcW w:w="1950" w:type="dxa"/>
            <w:tcBorders>
              <w:left w:val="single" w:sz="4" w:space="0" w:color="auto"/>
            </w:tcBorders>
          </w:tcPr>
          <w:p w14:paraId="1B4B3C9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Reduce</w:t>
            </w:r>
          </w:p>
          <w:p w14:paraId="3060F069" w14:textId="5E5BB058"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w:t>
            </w:r>
            <w:r w:rsidR="009B628E">
              <w:rPr>
                <w:rFonts w:ascii="Corbel" w:eastAsia="Calibri" w:hAnsi="Corbel" w:cs="Times New Roman"/>
                <w:sz w:val="16"/>
                <w:szCs w:val="16"/>
                <w:lang w:val="en-AU"/>
              </w:rPr>
              <w:t>2</w:t>
            </w:r>
            <w:r w:rsidRPr="005403DD">
              <w:rPr>
                <w:rFonts w:ascii="Corbel" w:eastAsia="Calibri" w:hAnsi="Corbel" w:cs="Times New Roman"/>
                <w:sz w:val="16"/>
                <w:szCs w:val="16"/>
                <w:lang w:val="en-AU"/>
              </w:rPr>
              <w:t>%</w:t>
            </w:r>
            <w:r w:rsidR="001B44E0">
              <w:rPr>
                <w:rFonts w:ascii="Corbel" w:eastAsia="Calibri" w:hAnsi="Corbel" w:cs="Times New Roman"/>
                <w:sz w:val="16"/>
                <w:szCs w:val="16"/>
                <w:lang w:val="en-AU"/>
              </w:rPr>
              <w:t xml:space="preserve"> </w:t>
            </w:r>
            <w:r w:rsidR="002032D2">
              <w:rPr>
                <w:rFonts w:ascii="Corbel" w:eastAsia="Calibri" w:hAnsi="Corbel" w:cs="Times New Roman"/>
                <w:sz w:val="16"/>
                <w:szCs w:val="16"/>
                <w:lang w:val="en-AU"/>
              </w:rPr>
              <w:t xml:space="preserve">GDP </w:t>
            </w:r>
            <w:r w:rsidR="001B44E0">
              <w:rPr>
                <w:rFonts w:ascii="Corbel" w:eastAsia="Calibri" w:hAnsi="Corbel" w:cs="Times New Roman"/>
                <w:sz w:val="16"/>
                <w:szCs w:val="16"/>
                <w:lang w:val="en-AU"/>
              </w:rPr>
              <w:t>pa</w:t>
            </w:r>
          </w:p>
          <w:p w14:paraId="11F3A76A" w14:textId="13BD04EC" w:rsidR="001D1322" w:rsidRPr="005403DD" w:rsidRDefault="001D1322" w:rsidP="00C04DFB">
            <w:pPr>
              <w:jc w:val="center"/>
              <w:rPr>
                <w:rFonts w:ascii="Corbel" w:eastAsia="Calibri" w:hAnsi="Corbel" w:cs="Times New Roman"/>
                <w:sz w:val="16"/>
                <w:szCs w:val="16"/>
                <w:lang w:val="en-AU"/>
              </w:rPr>
            </w:pPr>
          </w:p>
        </w:tc>
        <w:tc>
          <w:tcPr>
            <w:tcW w:w="1804" w:type="dxa"/>
          </w:tcPr>
          <w:p w14:paraId="4B6A5AF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+0.25% GDP p/a</w:t>
            </w:r>
          </w:p>
        </w:tc>
        <w:tc>
          <w:tcPr>
            <w:tcW w:w="1890" w:type="dxa"/>
            <w:shd w:val="clear" w:color="auto" w:fill="E7E6E6"/>
          </w:tcPr>
          <w:p w14:paraId="4A31485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5FB126C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0.0588% GDP</w:t>
            </w:r>
          </w:p>
          <w:p w14:paraId="2A2A16E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[0.0005879]</w:t>
            </w:r>
          </w:p>
        </w:tc>
        <w:tc>
          <w:tcPr>
            <w:tcW w:w="1841" w:type="dxa"/>
          </w:tcPr>
          <w:p w14:paraId="460C9674" w14:textId="3D274EA5" w:rsidR="001D1322" w:rsidRPr="005403DD" w:rsidRDefault="00FC2407" w:rsidP="00C04DFB">
            <w:pPr>
              <w:jc w:val="center"/>
              <w:rPr>
                <w:rFonts w:ascii="Corbel" w:eastAsia="Calibri" w:hAnsi="Corbel" w:cs="Times New Roman"/>
                <w:sz w:val="16"/>
                <w:szCs w:val="16"/>
                <w:lang w:val="en-AU"/>
              </w:rPr>
            </w:pPr>
            <w:r>
              <w:rPr>
                <w:rFonts w:ascii="Corbel" w:eastAsia="Calibri" w:hAnsi="Corbel" w:cs="Times New Roman"/>
                <w:sz w:val="16"/>
                <w:szCs w:val="16"/>
                <w:lang w:val="en-AU"/>
              </w:rPr>
              <w:t>NA</w:t>
            </w:r>
          </w:p>
        </w:tc>
        <w:tc>
          <w:tcPr>
            <w:tcW w:w="1701" w:type="dxa"/>
            <w:tcBorders>
              <w:right w:val="single" w:sz="4" w:space="0" w:color="auto"/>
            </w:tcBorders>
          </w:tcPr>
          <w:p w14:paraId="6BF4AA6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+0.25% GDP p/a </w:t>
            </w:r>
          </w:p>
          <w:p w14:paraId="2439CD25" w14:textId="77777777" w:rsidR="001D1322" w:rsidRPr="005403DD" w:rsidRDefault="001D1322" w:rsidP="00C04DFB">
            <w:pPr>
              <w:jc w:val="center"/>
              <w:rPr>
                <w:rFonts w:ascii="Corbel" w:eastAsia="Calibri" w:hAnsi="Corbel" w:cs="Times New Roman"/>
                <w:sz w:val="16"/>
                <w:szCs w:val="16"/>
                <w:lang w:val="en-AU"/>
              </w:rPr>
            </w:pPr>
          </w:p>
          <w:p w14:paraId="587FC002" w14:textId="79F7F7C4"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37F5F61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Expenditure for terrestrial protected areas estimated based on </w:t>
            </w:r>
            <w:r w:rsidRPr="005403DD">
              <w:rPr>
                <w:rFonts w:ascii="Corbel" w:eastAsia="Calibri" w:hAnsi="Corbel" w:cs="Times New Roman"/>
                <w:sz w:val="16"/>
                <w:szCs w:val="16"/>
                <w:lang w:val="en-AU"/>
              </w:rPr>
              <w:fldChar w:fldCharType="begin">
                <w:fldData xml:space="preserve">PEVuZE5vdGU+PENpdGU+PEF1dGhvcj5KYW1lczwvQXV0aG9yPjxZZWFyPjE5OTk8L1llYXI+PFJl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</w:fldData>
              </w:fldChar>
            </w:r>
            <w:r w:rsidRPr="005403DD">
              <w:rPr>
                <w:rFonts w:ascii="Corbel" w:eastAsia="Calibri" w:hAnsi="Corbel" w:cs="Times New Roman"/>
                <w:sz w:val="16"/>
                <w:szCs w:val="16"/>
                <w:lang w:val="en-AU"/>
              </w:rPr>
              <w:instrText xml:space="preserve"> ADDIN EN.CITE </w:instrText>
            </w:r>
            <w:r w:rsidRPr="005403DD">
              <w:rPr>
                <w:rFonts w:ascii="Corbel" w:eastAsia="Calibri" w:hAnsi="Corbel" w:cs="Times New Roman"/>
                <w:sz w:val="16"/>
                <w:szCs w:val="16"/>
                <w:lang w:val="en-AU"/>
              </w:rPr>
              <w:fldChar w:fldCharType="begin">
                <w:fldData xml:space="preserve">PEVuZE5vdGU+PENpdGU+PEF1dGhvcj5KYW1lczwvQXV0aG9yPjxZZWFyPjE5OTk8L1llYXI+PFJl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</w:fldData>
              </w:fldChar>
            </w:r>
            <w:r w:rsidRPr="005403DD">
              <w:rPr>
                <w:rFonts w:ascii="Corbel" w:eastAsia="Calibri" w:hAnsi="Corbel" w:cs="Times New Roman"/>
                <w:sz w:val="16"/>
                <w:szCs w:val="16"/>
                <w:lang w:val="en-AU"/>
              </w:rPr>
              <w:instrText xml:space="preserve"> ADDIN EN.CITE.DATA </w:instrText>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(James et al., 1999, James et al., 2001, Adams et al., 2011)</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protected areas data for Fiji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Costs estimated </w:t>
            </w:r>
          </w:p>
          <w:p w14:paraId="71EE1F9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 $2,000 per km2 per year (USD2010). </w:t>
            </w:r>
          </w:p>
        </w:tc>
      </w:tr>
      <w:tr w:rsidR="001D1322" w:rsidRPr="005403DD" w14:paraId="2733D48C" w14:textId="77777777" w:rsidTr="00C04DFB">
        <w:tc>
          <w:tcPr>
            <w:tcW w:w="1531" w:type="dxa"/>
            <w:tcBorders>
              <w:left w:val="single" w:sz="4" w:space="0" w:color="auto"/>
            </w:tcBorders>
          </w:tcPr>
          <w:p w14:paraId="0A53DE69" w14:textId="77777777" w:rsidR="001D1322" w:rsidRPr="005403DD" w:rsidRDefault="001D1322" w:rsidP="00C04DFB">
            <w:pPr>
              <w:rPr>
                <w:rFonts w:ascii="Corbel" w:eastAsia="Calibri" w:hAnsi="Corbel" w:cs="Times New Roman"/>
                <w:sz w:val="16"/>
                <w:szCs w:val="16"/>
                <w:lang w:val="en-AU"/>
              </w:rPr>
            </w:pPr>
          </w:p>
        </w:tc>
        <w:tc>
          <w:tcPr>
            <w:tcW w:w="1186" w:type="dxa"/>
          </w:tcPr>
          <w:p w14:paraId="4E880775"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5392FEE0"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Expenditure for marine protected areas (% GDP)</w:t>
            </w:r>
          </w:p>
        </w:tc>
        <w:tc>
          <w:tcPr>
            <w:tcW w:w="1950" w:type="dxa"/>
            <w:tcBorders>
              <w:left w:val="single" w:sz="4" w:space="0" w:color="auto"/>
            </w:tcBorders>
          </w:tcPr>
          <w:p w14:paraId="4948BC6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Reduce</w:t>
            </w:r>
          </w:p>
          <w:p w14:paraId="066FA963" w14:textId="046D7E0C"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w:t>
            </w:r>
            <w:r w:rsidR="00D7118D">
              <w:rPr>
                <w:rFonts w:ascii="Corbel" w:eastAsia="Calibri" w:hAnsi="Corbel" w:cs="Times New Roman"/>
                <w:sz w:val="16"/>
                <w:szCs w:val="16"/>
                <w:lang w:val="en-AU"/>
              </w:rPr>
              <w:t>0</w:t>
            </w:r>
            <w:r w:rsidR="00331D9F">
              <w:rPr>
                <w:rFonts w:ascii="Corbel" w:eastAsia="Calibri" w:hAnsi="Corbel" w:cs="Times New Roman"/>
                <w:sz w:val="16"/>
                <w:szCs w:val="16"/>
                <w:lang w:val="en-AU"/>
              </w:rPr>
              <w:t>6</w:t>
            </w:r>
            <w:r w:rsidRPr="005403DD">
              <w:rPr>
                <w:rFonts w:ascii="Corbel" w:eastAsia="Calibri" w:hAnsi="Corbel" w:cs="Times New Roman"/>
                <w:sz w:val="16"/>
                <w:szCs w:val="16"/>
                <w:lang w:val="en-AU"/>
              </w:rPr>
              <w:t>%</w:t>
            </w:r>
            <w:r w:rsidR="001B44E0">
              <w:rPr>
                <w:rFonts w:ascii="Corbel" w:eastAsia="Calibri" w:hAnsi="Corbel" w:cs="Times New Roman"/>
                <w:sz w:val="16"/>
                <w:szCs w:val="16"/>
                <w:lang w:val="en-AU"/>
              </w:rPr>
              <w:t xml:space="preserve"> </w:t>
            </w:r>
            <w:r w:rsidR="002032D2">
              <w:rPr>
                <w:rFonts w:ascii="Corbel" w:eastAsia="Calibri" w:hAnsi="Corbel" w:cs="Times New Roman"/>
                <w:sz w:val="16"/>
                <w:szCs w:val="16"/>
                <w:lang w:val="en-AU"/>
              </w:rPr>
              <w:t xml:space="preserve">GDP </w:t>
            </w:r>
            <w:r w:rsidR="001B44E0">
              <w:rPr>
                <w:rFonts w:ascii="Corbel" w:eastAsia="Calibri" w:hAnsi="Corbel" w:cs="Times New Roman"/>
                <w:sz w:val="16"/>
                <w:szCs w:val="16"/>
                <w:lang w:val="en-AU"/>
              </w:rPr>
              <w:t>pa</w:t>
            </w:r>
          </w:p>
          <w:p w14:paraId="04C1EDC5" w14:textId="0FFDB95E" w:rsidR="001D1322" w:rsidRPr="005403DD" w:rsidRDefault="001D1322" w:rsidP="00C04DFB">
            <w:pPr>
              <w:jc w:val="center"/>
              <w:rPr>
                <w:rFonts w:ascii="Corbel" w:eastAsia="Calibri" w:hAnsi="Corbel" w:cs="Times New Roman"/>
                <w:sz w:val="16"/>
                <w:szCs w:val="16"/>
                <w:lang w:val="en-AU"/>
              </w:rPr>
            </w:pPr>
          </w:p>
        </w:tc>
        <w:tc>
          <w:tcPr>
            <w:tcW w:w="1804" w:type="dxa"/>
          </w:tcPr>
          <w:p w14:paraId="1ECB57E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 GDP p/a</w:t>
            </w:r>
          </w:p>
        </w:tc>
        <w:tc>
          <w:tcPr>
            <w:tcW w:w="1890" w:type="dxa"/>
            <w:shd w:val="clear" w:color="auto" w:fill="E7E6E6"/>
          </w:tcPr>
          <w:p w14:paraId="79F7779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25B359F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0.212% GDP</w:t>
            </w:r>
          </w:p>
          <w:p w14:paraId="6C8FDDB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0.002193</w:t>
            </w:r>
          </w:p>
        </w:tc>
        <w:tc>
          <w:tcPr>
            <w:tcW w:w="1841" w:type="dxa"/>
          </w:tcPr>
          <w:p w14:paraId="47B29750" w14:textId="467CEAAC" w:rsidR="001D1322" w:rsidRPr="005403DD" w:rsidRDefault="00FC2407" w:rsidP="00C04DFB">
            <w:pPr>
              <w:jc w:val="center"/>
              <w:rPr>
                <w:rFonts w:ascii="Corbel" w:eastAsia="Calibri" w:hAnsi="Corbel" w:cs="Times New Roman"/>
                <w:sz w:val="16"/>
                <w:szCs w:val="16"/>
                <w:lang w:val="en-AU"/>
              </w:rPr>
            </w:pPr>
            <w:r>
              <w:rPr>
                <w:rFonts w:ascii="Corbel" w:eastAsia="Calibri" w:hAnsi="Corbel" w:cs="Times New Roman"/>
                <w:sz w:val="16"/>
                <w:szCs w:val="16"/>
                <w:lang w:val="en-AU"/>
              </w:rPr>
              <w:t>NA</w:t>
            </w:r>
          </w:p>
        </w:tc>
        <w:tc>
          <w:tcPr>
            <w:tcW w:w="1701" w:type="dxa"/>
            <w:tcBorders>
              <w:right w:val="single" w:sz="4" w:space="0" w:color="auto"/>
            </w:tcBorders>
          </w:tcPr>
          <w:p w14:paraId="2963A87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 GDP p/a</w:t>
            </w:r>
          </w:p>
          <w:p w14:paraId="6F428CE2" w14:textId="77777777" w:rsidR="001D1322" w:rsidRPr="005403DD" w:rsidRDefault="001D1322" w:rsidP="00C04DFB">
            <w:pPr>
              <w:jc w:val="center"/>
              <w:rPr>
                <w:rFonts w:ascii="Corbel" w:eastAsia="Calibri" w:hAnsi="Corbel" w:cs="Times New Roman"/>
                <w:sz w:val="16"/>
                <w:szCs w:val="16"/>
                <w:lang w:val="en-AU"/>
              </w:rPr>
            </w:pPr>
          </w:p>
          <w:p w14:paraId="6723A80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+0.8% GDP pa</w:t>
            </w:r>
          </w:p>
        </w:tc>
        <w:tc>
          <w:tcPr>
            <w:tcW w:w="2213" w:type="dxa"/>
            <w:tcBorders>
              <w:top w:val="single" w:sz="4" w:space="0" w:color="auto"/>
              <w:left w:val="single" w:sz="4" w:space="0" w:color="auto"/>
              <w:bottom w:val="single" w:sz="4" w:space="0" w:color="auto"/>
              <w:right w:val="single" w:sz="4" w:space="0" w:color="auto"/>
            </w:tcBorders>
          </w:tcPr>
          <w:p w14:paraId="5DF1B3A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Expenditure for marine protected areas estimated based on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AuthorYear="1"&gt;&lt;Author&gt;Balmford&lt;/Author&gt;&lt;Year&gt;2004&lt;/Year&gt;&lt;RecNum&gt;1039&lt;/RecNum&gt;&lt;DisplayText&gt;Balmford et al. (2004)&lt;/DisplayText&gt;&lt;record&gt;&lt;rec-number&gt;1039&lt;/rec-number&gt;&lt;foreign-keys&gt;&lt;key app="EN" db-id="9vsrvaat7fadwtesfsrpw5w5t0x5v500ef25" timestamp="1565077211"&gt;1039&lt;/key&gt;&lt;/foreign-keys&gt;&lt;ref-type name="Journal Article"&gt;17&lt;/ref-type&gt;&lt;contributors&gt;&lt;authors&gt;&lt;author&gt;Balmford, Andrew&lt;/author&gt;&lt;author&gt;Gravestock, Pippa&lt;/author&gt;&lt;author&gt;Hockley, Neal&lt;/author&gt;&lt;author&gt;McClean, Colin J&lt;/author&gt;&lt;author&gt;Roberts, Callum M&lt;/author&gt;&lt;/authors&gt;&lt;/contributors&gt;&lt;titles&gt;&lt;title&gt;The worldwide costs of marine protected areas&lt;/title&gt;&lt;secondary-title&gt;Proceedings of the National Academy of Sciences&lt;/secondary-title&gt;&lt;/titles&gt;&lt;periodical&gt;&lt;full-title&gt;Proceedings of the National Academy of Sciences&lt;/full-title&gt;&lt;/periodical&gt;&lt;pages&gt;9694-9697&lt;/pages&gt;&lt;volume&gt;101&lt;/volume&gt;&lt;number&gt;26&lt;/number&gt;&lt;dates&gt;&lt;year&gt;2004&lt;/year&gt;&lt;/dates&gt;&lt;isbn&gt;0027-8424&lt;/isbn&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Balmford et al. (2004)</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AuthorYear="1"&gt;&lt;Author&gt;McCrea-Strub&lt;/Author&gt;&lt;Year&gt;2011&lt;/Year&gt;&lt;RecNum&gt;1193&lt;/RecNum&gt;&lt;DisplayText&gt;McCrea-Strub et al. (2011)&lt;/DisplayText&gt;&lt;record&gt;&lt;rec-number&gt;1193&lt;/rec-number&gt;&lt;foreign-keys&gt;&lt;key app="EN" db-id="9vsrvaat7fadwtesfsrpw5w5t0x5v500ef25" timestamp="1575953130"&gt;1193&lt;/key&gt;&lt;/foreign-keys&gt;&lt;ref-type name="Journal Article"&gt;17&lt;/ref-type&gt;&lt;contributors&gt;&lt;authors&gt;&lt;author&gt;McCrea-Strub, Ashley&lt;/author&gt;&lt;author&gt;Zeller, Dirk&lt;/author&gt;&lt;author&gt;Sumaila, Ussif Rashid&lt;/author&gt;&lt;author&gt;Nelson, Jay&lt;/author&gt;&lt;author&gt;Balmford, Andrew&lt;/author&gt;&lt;author&gt;Pauly, Daniel&lt;/author&gt;&lt;/authors&gt;&lt;/contributors&gt;&lt;titles&gt;&lt;title&gt;Understanding the cost of establishing marine protected areas&lt;/title&gt;&lt;secondary-title&gt;Marine Policy&lt;/secondary-title&gt;&lt;/titles&gt;&lt;periodical&gt;&lt;full-title&gt;Marine Policy&lt;/full-title&gt;&lt;/periodical&gt;&lt;pages&gt;1-9&lt;/pages&gt;&lt;volume&gt;35&lt;/volume&gt;&lt;number&gt;1&lt;/number&gt;&lt;dates&gt;&lt;year&gt;2011&lt;/year&gt;&lt;/dates&gt;&lt;isbn&gt;0308-597X&lt;/isbn&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McCrea-Strub et al. (2011)</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AuthorYear="1"&gt;&lt;Author&gt;Ban&lt;/Author&gt;&lt;Year&gt;2011&lt;/Year&gt;&lt;RecNum&gt;1040&lt;/RecNum&gt;&lt;DisplayText&gt;Ban et al. (2011)&lt;/DisplayText&gt;&lt;record&gt;&lt;rec-number&gt;1040&lt;/rec-number&gt;&lt;foreign-keys&gt;&lt;key app="EN" db-id="9vsrvaat7fadwtesfsrpw5w5t0x5v500ef25" timestamp="1565077267"&gt;1040&lt;/key&gt;&lt;/foreign-keys&gt;&lt;ref-type name="Journal Article"&gt;17&lt;/ref-type&gt;&lt;contributors&gt;&lt;authors&gt;&lt;author&gt;Ban, Natalie C&lt;/author&gt;&lt;author&gt;Adams, Vanessa&lt;/author&gt;&lt;author&gt;Pressey, Robert L&lt;/author&gt;&lt;author&gt;Hicks, John&lt;/author&gt;&lt;/authors&gt;&lt;/contributors&gt;&lt;titles&gt;&lt;title&gt;Promise and problems for estimating management costs of marine protected areas&lt;/title&gt;&lt;secondary-title&gt;Conservation Letters&lt;/secondary-title&gt;&lt;/titles&gt;&lt;periodical&gt;&lt;full-title&gt;Conservation Letters&lt;/full-title&gt;&lt;/periodical&gt;&lt;pages&gt;241-252&lt;/pages&gt;&lt;volume&gt;4&lt;/volume&gt;&lt;number&gt;3&lt;/number&gt;&lt;dates&gt;&lt;year&gt;2011&lt;/year&gt;&lt;/dates&gt;&lt;isbn&gt;1755-263X&lt;/isbn&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Ban et al. (2011)</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marine protected areas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w:t>
            </w:r>
          </w:p>
          <w:p w14:paraId="1C855CA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 Costs estimated </w:t>
            </w:r>
          </w:p>
          <w:p w14:paraId="4340C78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$2,000 per km2 per year (USD2010).</w:t>
            </w:r>
          </w:p>
        </w:tc>
      </w:tr>
      <w:tr w:rsidR="00D82082" w:rsidRPr="005403DD" w14:paraId="1C357B19" w14:textId="77777777" w:rsidTr="00C04DFB">
        <w:tc>
          <w:tcPr>
            <w:tcW w:w="1531" w:type="dxa"/>
            <w:tcBorders>
              <w:left w:val="single" w:sz="4" w:space="0" w:color="auto"/>
            </w:tcBorders>
            <w:shd w:val="clear" w:color="auto" w:fill="E7E6E6"/>
          </w:tcPr>
          <w:p w14:paraId="0A6DC96B" w14:textId="77777777" w:rsidR="001D1322" w:rsidRPr="005403DD" w:rsidRDefault="001D1322" w:rsidP="00C04DFB">
            <w:pPr>
              <w:rPr>
                <w:rFonts w:ascii="Corbel" w:eastAsia="Calibri" w:hAnsi="Corbel" w:cs="Times New Roman"/>
                <w:b/>
                <w:color w:val="FF0000"/>
                <w:sz w:val="16"/>
                <w:szCs w:val="16"/>
                <w:lang w:val="en-AU"/>
              </w:rPr>
            </w:pPr>
          </w:p>
        </w:tc>
        <w:tc>
          <w:tcPr>
            <w:tcW w:w="1186" w:type="dxa"/>
            <w:shd w:val="clear" w:color="auto" w:fill="E7E6E6"/>
          </w:tcPr>
          <w:p w14:paraId="30D4B715" w14:textId="77777777" w:rsidR="001D1322" w:rsidRPr="005403DD" w:rsidRDefault="001D1322" w:rsidP="00C04DFB">
            <w:pPr>
              <w:rPr>
                <w:rFonts w:ascii="Corbel" w:eastAsia="Calibri" w:hAnsi="Corbel" w:cs="Times New Roman"/>
                <w:color w:val="FF0000"/>
                <w:sz w:val="16"/>
                <w:szCs w:val="16"/>
                <w:lang w:val="en-AU"/>
              </w:rPr>
            </w:pPr>
          </w:p>
        </w:tc>
        <w:tc>
          <w:tcPr>
            <w:tcW w:w="1848" w:type="dxa"/>
            <w:tcBorders>
              <w:right w:val="single" w:sz="4" w:space="0" w:color="auto"/>
            </w:tcBorders>
            <w:shd w:val="clear" w:color="auto" w:fill="E7E6E6"/>
          </w:tcPr>
          <w:p w14:paraId="6B8076B8" w14:textId="77777777" w:rsidR="001D1322" w:rsidRPr="005403DD" w:rsidRDefault="001D1322" w:rsidP="00C04DFB">
            <w:pPr>
              <w:rPr>
                <w:rFonts w:ascii="Corbel" w:eastAsia="Calibri" w:hAnsi="Corbel" w:cs="Times New Roman"/>
                <w:color w:val="FF0000"/>
                <w:sz w:val="16"/>
                <w:szCs w:val="16"/>
                <w:lang w:val="en-AU"/>
              </w:rPr>
            </w:pPr>
          </w:p>
        </w:tc>
        <w:tc>
          <w:tcPr>
            <w:tcW w:w="1950" w:type="dxa"/>
            <w:tcBorders>
              <w:left w:val="single" w:sz="4" w:space="0" w:color="auto"/>
            </w:tcBorders>
            <w:shd w:val="clear" w:color="auto" w:fill="E7E6E6"/>
          </w:tcPr>
          <w:p w14:paraId="3A5765BC" w14:textId="77777777" w:rsidR="001D1322" w:rsidRPr="005403DD" w:rsidRDefault="001D1322" w:rsidP="00C04DFB">
            <w:pPr>
              <w:jc w:val="center"/>
              <w:rPr>
                <w:rFonts w:ascii="Corbel" w:eastAsia="Calibri" w:hAnsi="Corbel" w:cs="Times New Roman"/>
                <w:color w:val="FF0000"/>
                <w:sz w:val="16"/>
                <w:szCs w:val="16"/>
                <w:lang w:val="en-AU"/>
              </w:rPr>
            </w:pPr>
          </w:p>
        </w:tc>
        <w:tc>
          <w:tcPr>
            <w:tcW w:w="1804" w:type="dxa"/>
            <w:shd w:val="clear" w:color="auto" w:fill="E7E6E6"/>
          </w:tcPr>
          <w:p w14:paraId="45E69E8F" w14:textId="77777777" w:rsidR="001D1322" w:rsidRPr="005403DD" w:rsidRDefault="001D1322" w:rsidP="00C04DFB">
            <w:pPr>
              <w:jc w:val="center"/>
              <w:rPr>
                <w:rFonts w:ascii="Corbel" w:eastAsia="Calibri" w:hAnsi="Corbel" w:cs="Times New Roman"/>
                <w:color w:val="FF0000"/>
                <w:sz w:val="16"/>
                <w:szCs w:val="16"/>
                <w:lang w:val="en-AU"/>
              </w:rPr>
            </w:pPr>
          </w:p>
        </w:tc>
        <w:tc>
          <w:tcPr>
            <w:tcW w:w="1890" w:type="dxa"/>
            <w:shd w:val="clear" w:color="auto" w:fill="E7E6E6"/>
          </w:tcPr>
          <w:p w14:paraId="3B5DB5CE" w14:textId="77777777" w:rsidR="001D1322" w:rsidRPr="005403DD" w:rsidRDefault="001D1322" w:rsidP="00C04DFB">
            <w:pPr>
              <w:jc w:val="center"/>
              <w:rPr>
                <w:rFonts w:ascii="Corbel" w:eastAsia="Calibri" w:hAnsi="Corbel" w:cs="Times New Roman"/>
                <w:color w:val="FF0000"/>
                <w:sz w:val="16"/>
                <w:szCs w:val="16"/>
                <w:lang w:val="en-AU"/>
              </w:rPr>
            </w:pPr>
          </w:p>
        </w:tc>
        <w:tc>
          <w:tcPr>
            <w:tcW w:w="1841" w:type="dxa"/>
            <w:shd w:val="clear" w:color="auto" w:fill="E7E6E6"/>
          </w:tcPr>
          <w:p w14:paraId="15148238" w14:textId="77777777" w:rsidR="001D1322" w:rsidRPr="005403DD" w:rsidRDefault="001D1322" w:rsidP="00C04DFB">
            <w:pPr>
              <w:jc w:val="center"/>
              <w:rPr>
                <w:rFonts w:ascii="Corbel" w:eastAsia="Calibri" w:hAnsi="Corbel" w:cs="Times New Roman"/>
                <w:color w:val="FF0000"/>
                <w:sz w:val="16"/>
                <w:szCs w:val="16"/>
                <w:lang w:val="en-AU"/>
              </w:rPr>
            </w:pPr>
          </w:p>
        </w:tc>
        <w:tc>
          <w:tcPr>
            <w:tcW w:w="1701" w:type="dxa"/>
            <w:tcBorders>
              <w:right w:val="single" w:sz="4" w:space="0" w:color="auto"/>
            </w:tcBorders>
            <w:shd w:val="clear" w:color="auto" w:fill="E7E6E6"/>
          </w:tcPr>
          <w:p w14:paraId="4ED464C7" w14:textId="77777777" w:rsidR="001D1322" w:rsidRPr="005403DD" w:rsidRDefault="001D1322" w:rsidP="00C04DFB">
            <w:pPr>
              <w:jc w:val="center"/>
              <w:rPr>
                <w:rFonts w:ascii="Corbel" w:eastAsia="Calibri" w:hAnsi="Corbel" w:cs="Times New Roman"/>
                <w:color w:val="FF0000"/>
                <w:sz w:val="16"/>
                <w:szCs w:val="16"/>
                <w:lang w:val="en-AU"/>
              </w:rPr>
            </w:pPr>
          </w:p>
        </w:tc>
        <w:tc>
          <w:tcPr>
            <w:tcW w:w="2213" w:type="dxa"/>
            <w:tcBorders>
              <w:top w:val="single" w:sz="4" w:space="0" w:color="auto"/>
              <w:left w:val="single" w:sz="4" w:space="0" w:color="auto"/>
              <w:bottom w:val="single" w:sz="4" w:space="0" w:color="auto"/>
              <w:right w:val="single" w:sz="4" w:space="0" w:color="auto"/>
            </w:tcBorders>
            <w:shd w:val="clear" w:color="auto" w:fill="E7E6E6"/>
          </w:tcPr>
          <w:p w14:paraId="452AF63E" w14:textId="77777777" w:rsidR="001D1322" w:rsidRPr="005403DD" w:rsidRDefault="001D1322" w:rsidP="00C04DFB">
            <w:pPr>
              <w:jc w:val="center"/>
              <w:rPr>
                <w:rFonts w:ascii="Corbel" w:eastAsia="Calibri" w:hAnsi="Corbel" w:cs="Times New Roman"/>
                <w:color w:val="FF0000"/>
                <w:sz w:val="16"/>
                <w:szCs w:val="16"/>
                <w:lang w:val="en-AU"/>
              </w:rPr>
            </w:pPr>
          </w:p>
        </w:tc>
      </w:tr>
      <w:tr w:rsidR="001D1322" w:rsidRPr="005403DD" w14:paraId="3673B205" w14:textId="77777777" w:rsidTr="00C04DFB">
        <w:tc>
          <w:tcPr>
            <w:tcW w:w="1531" w:type="dxa"/>
            <w:tcBorders>
              <w:left w:val="single" w:sz="4" w:space="0" w:color="auto"/>
            </w:tcBorders>
          </w:tcPr>
          <w:p w14:paraId="4AC02800" w14:textId="4EFAD395" w:rsidR="001D1322" w:rsidRPr="005403DD" w:rsidRDefault="001D1322" w:rsidP="00C04DFB">
            <w:pPr>
              <w:rPr>
                <w:rFonts w:ascii="Corbel" w:eastAsia="Calibri" w:hAnsi="Corbel" w:cs="Times New Roman"/>
                <w:b/>
                <w:sz w:val="16"/>
                <w:szCs w:val="16"/>
                <w:lang w:val="en-AU"/>
              </w:rPr>
            </w:pPr>
            <w:r w:rsidRPr="005403DD">
              <w:rPr>
                <w:rFonts w:ascii="Corbel" w:eastAsia="Calibri" w:hAnsi="Corbel" w:cs="Times New Roman"/>
                <w:b/>
                <w:sz w:val="16"/>
                <w:szCs w:val="16"/>
                <w:lang w:val="en-AU"/>
              </w:rPr>
              <w:t>5. Technology</w:t>
            </w:r>
            <w:r w:rsidR="00467D99">
              <w:rPr>
                <w:rFonts w:ascii="Corbel" w:eastAsia="Calibri" w:hAnsi="Corbel" w:cs="Times New Roman"/>
                <w:b/>
                <w:sz w:val="16"/>
                <w:szCs w:val="16"/>
                <w:lang w:val="en-AU"/>
              </w:rPr>
              <w:t xml:space="preserve"> advancement</w:t>
            </w:r>
          </w:p>
        </w:tc>
        <w:tc>
          <w:tcPr>
            <w:tcW w:w="1186" w:type="dxa"/>
          </w:tcPr>
          <w:p w14:paraId="48CB7180"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3FCE0BC0"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Development &amp; Change</w:t>
            </w:r>
          </w:p>
        </w:tc>
        <w:tc>
          <w:tcPr>
            <w:tcW w:w="1950" w:type="dxa"/>
            <w:tcBorders>
              <w:left w:val="single" w:sz="4" w:space="0" w:color="auto"/>
            </w:tcBorders>
          </w:tcPr>
          <w:p w14:paraId="5EA58CD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Slow from fossil fuels</w:t>
            </w:r>
          </w:p>
        </w:tc>
        <w:tc>
          <w:tcPr>
            <w:tcW w:w="1804" w:type="dxa"/>
          </w:tcPr>
          <w:p w14:paraId="1018972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Rapid in green sectors; renewables</w:t>
            </w:r>
          </w:p>
        </w:tc>
        <w:tc>
          <w:tcPr>
            <w:tcW w:w="1890" w:type="dxa"/>
            <w:shd w:val="clear" w:color="auto" w:fill="E7E6E6"/>
          </w:tcPr>
          <w:p w14:paraId="1A6C845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Existing trends </w:t>
            </w:r>
          </w:p>
          <w:p w14:paraId="501E0C7E"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2BD2268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Slow from fossil fuels</w:t>
            </w:r>
          </w:p>
        </w:tc>
        <w:tc>
          <w:tcPr>
            <w:tcW w:w="1701" w:type="dxa"/>
            <w:tcBorders>
              <w:right w:val="single" w:sz="4" w:space="0" w:color="auto"/>
            </w:tcBorders>
          </w:tcPr>
          <w:p w14:paraId="381CB9F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Rapid in green sectors; renewables</w:t>
            </w:r>
          </w:p>
        </w:tc>
        <w:tc>
          <w:tcPr>
            <w:tcW w:w="2213" w:type="dxa"/>
            <w:tcBorders>
              <w:top w:val="single" w:sz="4" w:space="0" w:color="auto"/>
              <w:left w:val="single" w:sz="4" w:space="0" w:color="auto"/>
              <w:bottom w:val="single" w:sz="4" w:space="0" w:color="auto"/>
              <w:right w:val="single" w:sz="4" w:space="0" w:color="auto"/>
            </w:tcBorders>
          </w:tcPr>
          <w:p w14:paraId="4117506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480DD09D" w14:textId="77777777" w:rsidTr="00C04DFB">
        <w:tc>
          <w:tcPr>
            <w:tcW w:w="1531" w:type="dxa"/>
            <w:tcBorders>
              <w:left w:val="single" w:sz="4" w:space="0" w:color="auto"/>
            </w:tcBorders>
          </w:tcPr>
          <w:p w14:paraId="0F812B4F" w14:textId="77777777" w:rsidR="001D1322" w:rsidRPr="005403DD" w:rsidRDefault="001D1322" w:rsidP="00C04DFB">
            <w:pPr>
              <w:rPr>
                <w:rFonts w:ascii="Corbel" w:eastAsia="Calibri" w:hAnsi="Corbel" w:cs="Times New Roman"/>
                <w:sz w:val="16"/>
                <w:szCs w:val="16"/>
              </w:rPr>
            </w:pPr>
          </w:p>
        </w:tc>
        <w:tc>
          <w:tcPr>
            <w:tcW w:w="1186" w:type="dxa"/>
          </w:tcPr>
          <w:p w14:paraId="69671FB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3439455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Carbon intensity </w:t>
            </w:r>
          </w:p>
          <w:p w14:paraId="1424FBFC" w14:textId="77777777" w:rsidR="001D1322" w:rsidRPr="005403DD" w:rsidRDefault="001D1322" w:rsidP="00C04DFB">
            <w:pPr>
              <w:rPr>
                <w:rFonts w:ascii="Corbel" w:eastAsia="Calibri" w:hAnsi="Corbel" w:cs="Times New Roman"/>
                <w:sz w:val="16"/>
                <w:szCs w:val="16"/>
                <w:lang w:val="en-AU"/>
              </w:rPr>
            </w:pPr>
          </w:p>
        </w:tc>
        <w:tc>
          <w:tcPr>
            <w:tcW w:w="1950" w:type="dxa"/>
            <w:tcBorders>
              <w:left w:val="single" w:sz="4" w:space="0" w:color="auto"/>
            </w:tcBorders>
          </w:tcPr>
          <w:p w14:paraId="69E3B7E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804" w:type="dxa"/>
          </w:tcPr>
          <w:p w14:paraId="601406F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tc>
        <w:tc>
          <w:tcPr>
            <w:tcW w:w="1890" w:type="dxa"/>
            <w:shd w:val="clear" w:color="auto" w:fill="E7E6E6"/>
          </w:tcPr>
          <w:p w14:paraId="7B5B317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74850A2D"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2EE454D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701" w:type="dxa"/>
            <w:tcBorders>
              <w:right w:val="single" w:sz="4" w:space="0" w:color="auto"/>
            </w:tcBorders>
          </w:tcPr>
          <w:p w14:paraId="0898672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tc>
        <w:tc>
          <w:tcPr>
            <w:tcW w:w="2213" w:type="dxa"/>
            <w:tcBorders>
              <w:top w:val="single" w:sz="4" w:space="0" w:color="auto"/>
              <w:left w:val="single" w:sz="4" w:space="0" w:color="auto"/>
              <w:bottom w:val="single" w:sz="4" w:space="0" w:color="auto"/>
              <w:right w:val="single" w:sz="4" w:space="0" w:color="auto"/>
            </w:tcBorders>
          </w:tcPr>
          <w:p w14:paraId="59B9CD8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3AD0C505" w14:textId="77777777" w:rsidTr="00C04DFB">
        <w:tc>
          <w:tcPr>
            <w:tcW w:w="1531" w:type="dxa"/>
            <w:tcBorders>
              <w:left w:val="single" w:sz="4" w:space="0" w:color="auto"/>
            </w:tcBorders>
          </w:tcPr>
          <w:p w14:paraId="5508EF73" w14:textId="77777777" w:rsidR="001D1322" w:rsidRPr="005403DD" w:rsidRDefault="001D1322" w:rsidP="00C04DFB">
            <w:pPr>
              <w:rPr>
                <w:rFonts w:ascii="Corbel" w:eastAsia="Calibri" w:hAnsi="Corbel" w:cs="Times New Roman"/>
                <w:sz w:val="16"/>
                <w:szCs w:val="16"/>
                <w:lang w:val="en-AU"/>
              </w:rPr>
            </w:pPr>
          </w:p>
        </w:tc>
        <w:tc>
          <w:tcPr>
            <w:tcW w:w="1186" w:type="dxa"/>
          </w:tcPr>
          <w:p w14:paraId="52D6F58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1B9530D4"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Energy intensity </w:t>
            </w:r>
          </w:p>
        </w:tc>
        <w:tc>
          <w:tcPr>
            <w:tcW w:w="1950" w:type="dxa"/>
            <w:tcBorders>
              <w:left w:val="single" w:sz="4" w:space="0" w:color="auto"/>
            </w:tcBorders>
          </w:tcPr>
          <w:p w14:paraId="457EFC1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804" w:type="dxa"/>
          </w:tcPr>
          <w:p w14:paraId="339B199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tc>
        <w:tc>
          <w:tcPr>
            <w:tcW w:w="1890" w:type="dxa"/>
            <w:shd w:val="clear" w:color="auto" w:fill="E7E6E6"/>
          </w:tcPr>
          <w:p w14:paraId="60307D2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tc>
        <w:tc>
          <w:tcPr>
            <w:tcW w:w="1841" w:type="dxa"/>
          </w:tcPr>
          <w:p w14:paraId="3F3E4B3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tc>
        <w:tc>
          <w:tcPr>
            <w:tcW w:w="1701" w:type="dxa"/>
            <w:tcBorders>
              <w:right w:val="single" w:sz="4" w:space="0" w:color="auto"/>
            </w:tcBorders>
          </w:tcPr>
          <w:p w14:paraId="53D73A3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tc>
        <w:tc>
          <w:tcPr>
            <w:tcW w:w="2213" w:type="dxa"/>
            <w:tcBorders>
              <w:top w:val="single" w:sz="4" w:space="0" w:color="auto"/>
              <w:left w:val="single" w:sz="4" w:space="0" w:color="auto"/>
              <w:bottom w:val="single" w:sz="4" w:space="0" w:color="auto"/>
              <w:right w:val="single" w:sz="4" w:space="0" w:color="auto"/>
            </w:tcBorders>
          </w:tcPr>
          <w:p w14:paraId="02E2332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tc>
      </w:tr>
      <w:tr w:rsidR="001D1322" w:rsidRPr="005403DD" w14:paraId="7B047E71" w14:textId="77777777" w:rsidTr="00C04DFB">
        <w:tc>
          <w:tcPr>
            <w:tcW w:w="1531" w:type="dxa"/>
            <w:tcBorders>
              <w:left w:val="single" w:sz="4" w:space="0" w:color="auto"/>
            </w:tcBorders>
          </w:tcPr>
          <w:p w14:paraId="76231B98" w14:textId="77777777" w:rsidR="001D1322" w:rsidRPr="005403DD" w:rsidRDefault="001D1322" w:rsidP="00C04DFB">
            <w:pPr>
              <w:rPr>
                <w:rFonts w:ascii="Corbel" w:eastAsia="Calibri" w:hAnsi="Corbel" w:cs="Times New Roman"/>
                <w:sz w:val="16"/>
                <w:szCs w:val="16"/>
                <w:lang w:val="en-AU"/>
              </w:rPr>
            </w:pPr>
          </w:p>
        </w:tc>
        <w:tc>
          <w:tcPr>
            <w:tcW w:w="1186" w:type="dxa"/>
          </w:tcPr>
          <w:p w14:paraId="3BE691B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1770670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Climate change – temperature (above pre-industrial)*</w:t>
            </w:r>
          </w:p>
        </w:tc>
        <w:tc>
          <w:tcPr>
            <w:tcW w:w="1950" w:type="dxa"/>
            <w:tcBorders>
              <w:left w:val="single" w:sz="4" w:space="0" w:color="auto"/>
            </w:tcBorders>
          </w:tcPr>
          <w:p w14:paraId="4E2E548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1.555C (2030) and 2.217 (2050)</w:t>
            </w:r>
          </w:p>
        </w:tc>
        <w:tc>
          <w:tcPr>
            <w:tcW w:w="1804" w:type="dxa"/>
          </w:tcPr>
          <w:p w14:paraId="626ECEE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1.486C (2030) and 1.769 (2050)</w:t>
            </w:r>
          </w:p>
        </w:tc>
        <w:tc>
          <w:tcPr>
            <w:tcW w:w="1890" w:type="dxa"/>
            <w:shd w:val="clear" w:color="auto" w:fill="E7E6E6"/>
          </w:tcPr>
          <w:p w14:paraId="5005909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 (SSP2_4.5)</w:t>
            </w:r>
          </w:p>
          <w:p w14:paraId="008A0FE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1.486 (2030) and 1.965 (2050)</w:t>
            </w:r>
          </w:p>
        </w:tc>
        <w:tc>
          <w:tcPr>
            <w:tcW w:w="1841" w:type="dxa"/>
          </w:tcPr>
          <w:p w14:paraId="4B902F1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1.555C (2030) and 2.217 (2050)</w:t>
            </w:r>
          </w:p>
        </w:tc>
        <w:tc>
          <w:tcPr>
            <w:tcW w:w="1701" w:type="dxa"/>
            <w:tcBorders>
              <w:right w:val="single" w:sz="4" w:space="0" w:color="auto"/>
            </w:tcBorders>
          </w:tcPr>
          <w:p w14:paraId="756A4A1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1.486C (2030) and 1.769 (2050)</w:t>
            </w:r>
          </w:p>
          <w:p w14:paraId="09A9FC8D" w14:textId="77777777" w:rsidR="001D1322" w:rsidRPr="005403DD" w:rsidRDefault="001D1322" w:rsidP="00C04DFB">
            <w:pPr>
              <w:jc w:val="center"/>
              <w:rPr>
                <w:rFonts w:ascii="Corbel" w:eastAsia="Calibri" w:hAnsi="Corbel" w:cs="Times New Roman"/>
                <w:sz w:val="16"/>
                <w:szCs w:val="16"/>
                <w:lang w:val="en-AU"/>
              </w:rPr>
            </w:pPr>
          </w:p>
          <w:p w14:paraId="594A61BF" w14:textId="77777777" w:rsidR="001D1322" w:rsidRPr="005403DD" w:rsidRDefault="001D1322" w:rsidP="00C04DFB">
            <w:pPr>
              <w:shd w:val="clear" w:color="auto" w:fill="ED7D31" w:themeFill="accent2"/>
              <w:jc w:val="center"/>
              <w:rPr>
                <w:rFonts w:ascii="Corbel" w:eastAsia="Calibri" w:hAnsi="Corbel" w:cs="Times New Roman"/>
                <w:color w:val="000000" w:themeColor="text1"/>
                <w:sz w:val="16"/>
                <w:szCs w:val="16"/>
                <w:lang w:val="en-AU"/>
              </w:rPr>
            </w:pPr>
            <w:r w:rsidRPr="005403DD">
              <w:rPr>
                <w:rFonts w:ascii="Corbel" w:eastAsia="Calibri" w:hAnsi="Corbel" w:cs="Times New Roman"/>
                <w:sz w:val="16"/>
                <w:szCs w:val="16"/>
                <w:lang w:val="en-AU"/>
              </w:rPr>
              <w:t>ST_CLIMATE:  1.558 (2050)</w:t>
            </w:r>
          </w:p>
          <w:p w14:paraId="1594C2E4" w14:textId="77777777" w:rsidR="001D1322" w:rsidRPr="005403DD" w:rsidRDefault="001D1322" w:rsidP="00C04DFB">
            <w:pPr>
              <w:jc w:val="center"/>
              <w:rPr>
                <w:rFonts w:ascii="Corbel" w:eastAsia="Calibri" w:hAnsi="Corbel" w:cs="Times New Roman"/>
                <w:sz w:val="16"/>
                <w:szCs w:val="16"/>
                <w:lang w:val="en-AU"/>
              </w:rPr>
            </w:pPr>
          </w:p>
          <w:p w14:paraId="07056AE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1.558 (2050)</w:t>
            </w:r>
          </w:p>
        </w:tc>
        <w:tc>
          <w:tcPr>
            <w:tcW w:w="2213" w:type="dxa"/>
            <w:tcBorders>
              <w:top w:val="single" w:sz="4" w:space="0" w:color="auto"/>
              <w:left w:val="single" w:sz="4" w:space="0" w:color="auto"/>
              <w:bottom w:val="single" w:sz="4" w:space="0" w:color="auto"/>
              <w:right w:val="single" w:sz="4" w:space="0" w:color="auto"/>
            </w:tcBorders>
          </w:tcPr>
          <w:p w14:paraId="75E259E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Average temperature estimated based on SSP database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&lt;EndNote&gt;&lt;Cite&gt;&lt;Author&gt;Riahi&lt;/Author&gt;&lt;Year&gt;2017&lt;/Year&gt;&lt;RecNum&gt;802&lt;/RecNum&gt;&lt;DisplayText&gt;(Riahi et al., 2017)&lt;/DisplayText&gt;&lt;record&gt;&lt;rec-number&gt;802&lt;/rec-number&gt;&lt;foreign-keys&gt;&lt;key app="EN" db-id="9vsrvaat7fadwtesfsrpw5w5t0x5v500ef25" timestamp="1538912373"&gt;802&lt;/key&gt;&lt;/foreign-keys&gt;&lt;ref-type name="Journal Article"&gt;17&lt;/ref-type&gt;&lt;contributors&gt;&lt;authors&gt;&lt;author&gt;Riahi, Keywan&lt;/author&gt;&lt;author&gt;Van Vuuren, Detlef P&lt;/author&gt;&lt;author&gt;Kriegler, Elmar&lt;/author&gt;&lt;author&gt;Edmonds, Jae&lt;/author&gt;&lt;author&gt;O’neill, Brian C&lt;/author&gt;&lt;author&gt;Fujimori, Shinichiro&lt;/author&gt;&lt;author&gt;Bauer, Nico&lt;/author&gt;&lt;author&gt;Calvin, Katherine&lt;/author&gt;&lt;author&gt;Dellink, Rob&lt;/author&gt;&lt;author&gt;Fricko, Oliver&lt;/author&gt;&lt;/authors&gt;&lt;/contributors&gt;&lt;titles&gt;&lt;title&gt;The shared socioeconomic pathways and their energy, land use, and greenhouse gas emissions implications: an overview&lt;/title&gt;&lt;secondary-title&gt;Global Environmental Change&lt;/secondary-title&gt;&lt;/titles&gt;&lt;periodical&gt;&lt;full-title&gt;Global environmental change&lt;/full-title&gt;&lt;/periodical&gt;&lt;pages&gt;153-168&lt;/pages&gt;&lt;volume&gt;42&lt;/volume&gt;&lt;dates&gt;&lt;year&gt;2017&lt;/year&gt;&lt;/dates&gt;&lt;isbn&gt;0959-3780&lt;/isbn&gt;&lt;urls&gt;&lt;/urls&gt;&lt;electronic-resource-num&gt;https://doi.org/10.1016/j.gloenvcha.2016.05.009&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(Riahi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national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&lt;EndNote&gt;&lt;Cite&gt;&lt;Author&gt;Fiji Meteorological Service&lt;/Author&gt;&lt;Year&gt;2011&lt;/Year&gt;&lt;RecNum&gt;1158&lt;/RecNum&gt;&lt;DisplayText&gt;(Fiji Meteorological Service et al., 2011)&lt;/DisplayText&gt;&lt;record&gt;&lt;rec-number&gt;1158&lt;/rec-number&gt;&lt;foreign-keys&gt;&lt;key app="EN" db-id="9vsrvaat7fadwtesfsrpw5w5t0x5v500ef25" timestamp="1574211790"&gt;1158&lt;/key&gt;&lt;/foreign-keys&gt;&lt;ref-type name="Generic"&gt;13&lt;/ref-type&gt;&lt;contributors&gt;&lt;authors&gt;&lt;author&gt;Fiji Meteorological Service,&lt;/author&gt;&lt;author&gt;Australian Bureau of Meteorology,&lt;/author&gt;&lt;author&gt;CSIRO,&lt;/author&gt;&lt;/authors&gt;&lt;/contributors&gt;&lt;titles&gt;&lt;title&gt;Current and future climate of the Fiji Islands&lt;/title&gt;&lt;/titles&gt;&lt;dates&gt;&lt;year&gt;2011&lt;/year&gt;&lt;/dates&gt;&lt;pub-location&gt;Canberra&lt;/pub-location&gt;&lt;publisher&gt;Australian Government&lt;/publisher&gt;&lt;urls&gt;&lt;/urls&gt;&lt;/record&gt;&lt;/Cite&gt;&lt;/EndNote&gt;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(Fiji Meteorological Service et al., 2011)</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p w14:paraId="07A10D0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SSP1_2.6: 1.486C (2030) and 1.769 (2050)</w:t>
            </w:r>
          </w:p>
          <w:p w14:paraId="487C977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SSP2_4.5: 1.486 (2030) and 1.965 (2050) </w:t>
            </w:r>
          </w:p>
          <w:p w14:paraId="6ECC4BC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SSP5_6.0: 1.555C (2030) and 2.217 (2050)</w:t>
            </w:r>
          </w:p>
          <w:p w14:paraId="2E8337E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SSP1_low value 2050 = 1.558</w:t>
            </w:r>
          </w:p>
        </w:tc>
      </w:tr>
      <w:tr w:rsidR="001D1322" w:rsidRPr="005403DD" w14:paraId="1BBEB634" w14:textId="77777777" w:rsidTr="00C04DFB">
        <w:tc>
          <w:tcPr>
            <w:tcW w:w="1531" w:type="dxa"/>
            <w:tcBorders>
              <w:left w:val="single" w:sz="4" w:space="0" w:color="auto"/>
            </w:tcBorders>
          </w:tcPr>
          <w:p w14:paraId="6274BBA2" w14:textId="77777777" w:rsidR="001D1322" w:rsidRPr="005403DD" w:rsidRDefault="001D1322" w:rsidP="00C04DFB">
            <w:pPr>
              <w:rPr>
                <w:rFonts w:ascii="Corbel" w:eastAsia="Calibri" w:hAnsi="Corbel" w:cs="Times New Roman"/>
                <w:sz w:val="16"/>
                <w:szCs w:val="16"/>
              </w:rPr>
            </w:pPr>
          </w:p>
        </w:tc>
        <w:tc>
          <w:tcPr>
            <w:tcW w:w="1186" w:type="dxa"/>
          </w:tcPr>
          <w:p w14:paraId="334F189C"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7C6FDB94"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Expected global energy intensity change per annum</w:t>
            </w:r>
          </w:p>
          <w:p w14:paraId="6A47C4D5" w14:textId="77777777" w:rsidR="001D1322" w:rsidRPr="005403DD" w:rsidRDefault="001D1322" w:rsidP="00C04DFB">
            <w:pPr>
              <w:rPr>
                <w:rFonts w:ascii="Corbel" w:eastAsia="Calibri" w:hAnsi="Corbel" w:cs="Times New Roman"/>
                <w:sz w:val="16"/>
                <w:szCs w:val="16"/>
                <w:lang w:val="en-AU"/>
              </w:rPr>
            </w:pPr>
          </w:p>
        </w:tc>
        <w:tc>
          <w:tcPr>
            <w:tcW w:w="1950" w:type="dxa"/>
            <w:tcBorders>
              <w:left w:val="single" w:sz="4" w:space="0" w:color="auto"/>
            </w:tcBorders>
          </w:tcPr>
          <w:p w14:paraId="5E571A2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tc>
        <w:tc>
          <w:tcPr>
            <w:tcW w:w="1804" w:type="dxa"/>
          </w:tcPr>
          <w:p w14:paraId="4E94721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tc>
        <w:tc>
          <w:tcPr>
            <w:tcW w:w="1890" w:type="dxa"/>
            <w:shd w:val="clear" w:color="auto" w:fill="E7E6E6"/>
          </w:tcPr>
          <w:p w14:paraId="2FEA91B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 (IEA)</w:t>
            </w:r>
          </w:p>
          <w:p w14:paraId="54E5B2E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-1.25%</w:t>
            </w:r>
          </w:p>
        </w:tc>
        <w:tc>
          <w:tcPr>
            <w:tcW w:w="1841" w:type="dxa"/>
          </w:tcPr>
          <w:p w14:paraId="0B0D77C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tc>
        <w:tc>
          <w:tcPr>
            <w:tcW w:w="1701" w:type="dxa"/>
            <w:tcBorders>
              <w:right w:val="single" w:sz="4" w:space="0" w:color="auto"/>
            </w:tcBorders>
          </w:tcPr>
          <w:p w14:paraId="1EB8CCA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329122AD"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04EC1D2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Expected energy intensity changes estimated based on</w:t>
            </w:r>
          </w:p>
          <w:p w14:paraId="7127B7A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AuthorYear="1"&gt;&lt;Author&gt;Enerdata&lt;/Author&gt;&lt;Year&gt;2018&lt;/Year&gt;&lt;RecNum&gt;882&lt;/RecNum&gt;&lt;DisplayText&gt;Enerdata (2018)&lt;/DisplayText&gt;&lt;record&gt;&lt;rec-number&gt;882&lt;/rec-number&gt;&lt;foreign-keys&gt;&lt;key app="EN" db-id="9vsrvaat7fadwtesfsrpw5w5t0x5v500ef25" timestamp="1542427443"&gt;882&lt;/key&gt;&lt;/foreign-keys&gt;&lt;ref-type name="Generic"&gt;13&lt;/ref-type&gt;&lt;contributors&gt;&lt;authors&gt;&lt;author&gt;Enerdata&lt;/author&gt;&lt;/authors&gt;&lt;/contributors&gt;&lt;titles&gt;&lt;title&gt;Global Energy Statistical Yearbook 2018&lt;/title&gt;&lt;/titles&gt;&lt;dates&gt;&lt;year&gt;2018&lt;/year&gt;&lt;/dates&gt;&lt;pub-location&gt;https://yearbook.enerdata.net/total-energy/world-energy-intensity-gdp-data.html&lt;/pub-location&gt;&lt;urls&gt;&lt;/urls&gt;&lt;/record&gt;&lt;/Cite&gt;&lt;/EndNote&gt;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Enerdata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AuthorYear="1"&gt;&lt;Author&gt;International Energy Agency&lt;/Author&gt;&lt;Year&gt;2017&lt;/Year&gt;&lt;RecNum&gt;883&lt;/RecNum&gt;&lt;DisplayText&gt;International Energy Agency (2017)&lt;/DisplayText&gt;&lt;record&gt;&lt;rec-number&gt;883&lt;/rec-number&gt;&lt;foreign-keys&gt;&lt;key app="EN" db-id="9vsrvaat7fadwtesfsrpw5w5t0x5v500ef25" timestamp="1542427538"&gt;883&lt;/key&gt;&lt;/foreign-keys&gt;&lt;ref-type name="Generic"&gt;13&lt;/ref-type&gt;&lt;contributors&gt;&lt;authors&gt;&lt;author&gt;International Energy Agency,&lt;/author&gt;&lt;/authors&gt;&lt;/contributors&gt;&lt;titles&gt;&lt;title&gt;Energy Efficiency 2017, Market Report Series.&lt;/title&gt;&lt;/titles&gt;&lt;dates&gt;&lt;year&gt;2017&lt;/year&gt;&lt;/dates&gt;&lt;pub-location&gt;Paris&lt;/pub-location&gt;&lt;publisher&gt;IEA&lt;/publisher&gt;&lt;urls&gt;&lt;/urls&gt;&lt;/record&gt;&lt;/Cite&gt;&lt;/EndNote&gt;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International Energy Agency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1.2%pa improvement in 2017; historical trend is 1.5%pa.</w:t>
            </w:r>
          </w:p>
        </w:tc>
      </w:tr>
      <w:tr w:rsidR="001D1322" w:rsidRPr="005403DD" w14:paraId="18CC7E7C" w14:textId="77777777" w:rsidTr="00C04DFB">
        <w:tc>
          <w:tcPr>
            <w:tcW w:w="1531" w:type="dxa"/>
            <w:tcBorders>
              <w:left w:val="single" w:sz="4" w:space="0" w:color="auto"/>
            </w:tcBorders>
          </w:tcPr>
          <w:p w14:paraId="7E60A5A7" w14:textId="77777777" w:rsidR="001D1322" w:rsidRPr="005403DD" w:rsidRDefault="001D1322" w:rsidP="00C04DFB">
            <w:pPr>
              <w:rPr>
                <w:rFonts w:ascii="Corbel" w:eastAsia="Calibri" w:hAnsi="Corbel" w:cs="Times New Roman"/>
                <w:sz w:val="16"/>
                <w:szCs w:val="16"/>
                <w:lang w:val="en-AU"/>
              </w:rPr>
            </w:pPr>
          </w:p>
        </w:tc>
        <w:tc>
          <w:tcPr>
            <w:tcW w:w="1186" w:type="dxa"/>
          </w:tcPr>
          <w:p w14:paraId="5CC003C8"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4D5E0345"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 yearly change in material consumption per unit output</w:t>
            </w:r>
          </w:p>
          <w:p w14:paraId="2AB05252" w14:textId="77777777" w:rsidR="001D1322" w:rsidRPr="005403DD" w:rsidRDefault="001D1322" w:rsidP="00C04DFB">
            <w:pPr>
              <w:rPr>
                <w:rFonts w:ascii="Corbel" w:eastAsia="Calibri" w:hAnsi="Corbel" w:cs="Times New Roman"/>
                <w:sz w:val="16"/>
                <w:szCs w:val="16"/>
                <w:lang w:val="en-AU"/>
              </w:rPr>
            </w:pPr>
          </w:p>
        </w:tc>
        <w:tc>
          <w:tcPr>
            <w:tcW w:w="1950" w:type="dxa"/>
            <w:tcBorders>
              <w:left w:val="single" w:sz="4" w:space="0" w:color="auto"/>
            </w:tcBorders>
          </w:tcPr>
          <w:p w14:paraId="4952EEF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0DA6C8D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-0.775%</w:t>
            </w:r>
          </w:p>
          <w:p w14:paraId="52736F51" w14:textId="77777777" w:rsidR="001D1322" w:rsidRPr="005403DD" w:rsidRDefault="001D1322" w:rsidP="00C04DFB">
            <w:pPr>
              <w:jc w:val="center"/>
              <w:rPr>
                <w:rFonts w:ascii="Corbel" w:eastAsia="Calibri" w:hAnsi="Corbel" w:cs="Times New Roman"/>
                <w:sz w:val="16"/>
                <w:szCs w:val="16"/>
                <w:lang w:val="en-AU"/>
              </w:rPr>
            </w:pPr>
          </w:p>
        </w:tc>
        <w:tc>
          <w:tcPr>
            <w:tcW w:w="1804" w:type="dxa"/>
          </w:tcPr>
          <w:p w14:paraId="31824B6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6E933AC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-0.775%</w:t>
            </w:r>
          </w:p>
          <w:p w14:paraId="2142E360"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1E198FC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 (model setting)</w:t>
            </w:r>
          </w:p>
          <w:p w14:paraId="55AC833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-0.775%</w:t>
            </w:r>
          </w:p>
          <w:p w14:paraId="5633370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(-0.00775/year)</w:t>
            </w:r>
          </w:p>
        </w:tc>
        <w:tc>
          <w:tcPr>
            <w:tcW w:w="1841" w:type="dxa"/>
          </w:tcPr>
          <w:p w14:paraId="05D354D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176AD6F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-0.775%</w:t>
            </w:r>
          </w:p>
          <w:p w14:paraId="78C64654" w14:textId="77777777" w:rsidR="001D1322" w:rsidRPr="005403DD" w:rsidRDefault="001D1322" w:rsidP="00C04DFB">
            <w:pPr>
              <w:jc w:val="center"/>
              <w:rPr>
                <w:rFonts w:ascii="Corbel" w:eastAsia="Calibri" w:hAnsi="Corbel" w:cs="Times New Roman"/>
                <w:sz w:val="16"/>
                <w:szCs w:val="16"/>
                <w:lang w:val="en-AU"/>
              </w:rPr>
            </w:pPr>
          </w:p>
        </w:tc>
        <w:tc>
          <w:tcPr>
            <w:tcW w:w="1701" w:type="dxa"/>
            <w:tcBorders>
              <w:right w:val="single" w:sz="4" w:space="0" w:color="auto"/>
            </w:tcBorders>
          </w:tcPr>
          <w:p w14:paraId="6984FAF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2D9D296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-0.775%</w:t>
            </w:r>
          </w:p>
          <w:p w14:paraId="014A336E"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16A3C2B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Material efficiency changes estimated based on</w:t>
            </w:r>
          </w:p>
          <w:p w14:paraId="2372232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AuthorYear="1"&gt;&lt;Author&gt;International Resource Panel&lt;/Author&gt;&lt;Year&gt;2017&lt;/Year&gt;&lt;RecNum&gt;884&lt;/RecNum&gt;&lt;DisplayText&gt;International Resource Panel (2017)&lt;/DisplayText&gt;&lt;record&gt;&lt;rec-number&gt;884&lt;/rec-number&gt;&lt;foreign-keys&gt;&lt;key app="EN" db-id="9vsrvaat7fadwtesfsrpw5w5t0x5v500ef25" timestamp="1542427681"&gt;884&lt;/key&gt;&lt;/foreign-keys&gt;&lt;ref-type name="Generic"&gt;13&lt;/ref-type&gt;&lt;contributors&gt;&lt;authors&gt;&lt;author&gt;International Resource Panel,&lt;/author&gt;&lt;/authors&gt;&lt;/contributors&gt;&lt;titles&gt;&lt;title&gt;Resource Efficiency: Potential and Economic Implications. &lt;/title&gt;&lt;/titles&gt;&lt;dates&gt;&lt;year&gt;2017&lt;/year&gt;&lt;/dates&gt;&lt;pub-location&gt;Paris&lt;/pub-location&gt;&lt;publisher&gt;UN Environment&lt;/publisher&gt;&lt;urls&gt;&lt;/urls&gt;&lt;/record&gt;&lt;/Cite&gt;&lt;/EndNote&gt;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International Resource Panel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 AuthorYear="1"&gt;&lt;Author&gt;Sustainable Europe Research Institute&lt;/Author&gt;&lt;Year&gt;2009&lt;/Year&gt;&lt;RecNum&gt;885&lt;/RecNum&gt;&lt;DisplayText&gt;Sustainable Europe Research Institute (2009)&lt;/DisplayText&gt;&lt;record&gt;&lt;rec-number&gt;885&lt;/rec-number&gt;&lt;foreign-keys&gt;&lt;key app="EN" db-id="9vsrvaat7fadwtesfsrpw5w5t0x5v500ef25" timestamp="1542427841"&gt;885&lt;/key&gt;&lt;/foreign-keys&gt;&lt;ref-type name="Generic"&gt;13&lt;/ref-type&gt;&lt;contributors&gt;&lt;authors&gt;&lt;author&gt;Sustainable Europe Research Institute,&lt;/author&gt;&lt;/authors&gt;&lt;/contributors&gt;&lt;titles&gt;&lt;title&gt;Resource efficiency for sustainable growth: global trends and European policy scenarios&lt;/title&gt;&lt;/titles&gt;&lt;dates&gt;&lt;year&gt;2009&lt;/year&gt;&lt;/dates&gt;&lt;pub-location&gt;Brussels&lt;/pub-location&gt;&lt;publisher&gt;UNIDO&lt;/publisher&gt;&lt;urls&gt;&lt;/urls&gt;&lt;/record&gt;&lt;/Cite&gt;&lt;/EndNote&gt;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Sustainable Europe Research Institute (2009)</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w:t>
            </w:r>
          </w:p>
          <w:p w14:paraId="6CBB5C6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 MP of G7 countries improved by 1.9% pa since 1970.</w:t>
            </w:r>
          </w:p>
          <w:p w14:paraId="6AD3E93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Global improvement 0.4%pa </w:t>
            </w:r>
          </w:p>
          <w:p w14:paraId="5EA5C6E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IRP projection – improve by 36-54% by 2050. </w:t>
            </w:r>
          </w:p>
        </w:tc>
      </w:tr>
      <w:tr w:rsidR="001D1322" w:rsidRPr="005403DD" w14:paraId="2EB36EDC" w14:textId="77777777" w:rsidTr="00C04DFB">
        <w:tc>
          <w:tcPr>
            <w:tcW w:w="1531" w:type="dxa"/>
            <w:tcBorders>
              <w:left w:val="single" w:sz="4" w:space="0" w:color="auto"/>
            </w:tcBorders>
          </w:tcPr>
          <w:p w14:paraId="7A579A78" w14:textId="77777777" w:rsidR="001D1322" w:rsidRPr="005403DD" w:rsidRDefault="001D1322" w:rsidP="00C04DFB">
            <w:pPr>
              <w:rPr>
                <w:rFonts w:ascii="Corbel" w:eastAsia="Calibri" w:hAnsi="Corbel" w:cs="Times New Roman"/>
                <w:sz w:val="16"/>
                <w:szCs w:val="16"/>
                <w:lang w:val="en-AU"/>
              </w:rPr>
            </w:pPr>
          </w:p>
        </w:tc>
        <w:tc>
          <w:tcPr>
            <w:tcW w:w="1186" w:type="dxa"/>
          </w:tcPr>
          <w:p w14:paraId="0DCDE3AF"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2EA46E3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Relative average global water efficiency</w:t>
            </w:r>
          </w:p>
          <w:p w14:paraId="752606CE" w14:textId="77777777" w:rsidR="001D1322" w:rsidRPr="005403DD" w:rsidRDefault="001D1322" w:rsidP="00C04DFB">
            <w:pPr>
              <w:rPr>
                <w:rFonts w:ascii="Corbel" w:eastAsia="Calibri" w:hAnsi="Corbel" w:cs="Times New Roman"/>
                <w:sz w:val="16"/>
                <w:szCs w:val="16"/>
                <w:lang w:val="en-AU"/>
              </w:rPr>
            </w:pPr>
          </w:p>
          <w:p w14:paraId="4EDFF536" w14:textId="77777777" w:rsidR="001D1322" w:rsidRPr="005403DD" w:rsidRDefault="001D1322" w:rsidP="00C04DFB">
            <w:pPr>
              <w:rPr>
                <w:rFonts w:ascii="Corbel" w:eastAsia="Calibri" w:hAnsi="Corbel" w:cs="Times New Roman"/>
                <w:sz w:val="16"/>
                <w:szCs w:val="16"/>
                <w:lang w:val="en-AU"/>
              </w:rPr>
            </w:pPr>
          </w:p>
        </w:tc>
        <w:tc>
          <w:tcPr>
            <w:tcW w:w="1950" w:type="dxa"/>
            <w:tcBorders>
              <w:left w:val="single" w:sz="4" w:space="0" w:color="auto"/>
            </w:tcBorders>
          </w:tcPr>
          <w:p w14:paraId="00CEF38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1E60825E" w14:textId="77777777" w:rsidR="001D1322" w:rsidRPr="005403DD" w:rsidRDefault="001D1322" w:rsidP="00C04DFB">
            <w:pPr>
              <w:jc w:val="center"/>
              <w:rPr>
                <w:rFonts w:ascii="Corbel" w:eastAsia="Calibri" w:hAnsi="Corbel" w:cs="Times New Roman"/>
                <w:sz w:val="16"/>
                <w:szCs w:val="16"/>
                <w:lang w:val="en-AU"/>
              </w:rPr>
            </w:pPr>
          </w:p>
        </w:tc>
        <w:tc>
          <w:tcPr>
            <w:tcW w:w="1804" w:type="dxa"/>
          </w:tcPr>
          <w:p w14:paraId="7776163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083ECE3B" w14:textId="77777777" w:rsidR="001D1322" w:rsidRPr="005403DD" w:rsidRDefault="001D1322" w:rsidP="00C04DFB">
            <w:pPr>
              <w:jc w:val="center"/>
              <w:rPr>
                <w:rFonts w:ascii="Corbel" w:eastAsia="Calibri" w:hAnsi="Corbel" w:cs="Times New Roman"/>
                <w:sz w:val="16"/>
                <w:szCs w:val="16"/>
                <w:lang w:val="en-AU"/>
              </w:rPr>
            </w:pPr>
          </w:p>
        </w:tc>
        <w:tc>
          <w:tcPr>
            <w:tcW w:w="1890" w:type="dxa"/>
            <w:shd w:val="clear" w:color="auto" w:fill="E7E6E6"/>
          </w:tcPr>
          <w:p w14:paraId="6C7A569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 (OECD)</w:t>
            </w:r>
          </w:p>
          <w:p w14:paraId="2C57EE2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1.625</w:t>
            </w:r>
          </w:p>
          <w:p w14:paraId="445893E7"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152EEC2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44271300" w14:textId="77777777" w:rsidR="001D1322" w:rsidRPr="005403DD" w:rsidRDefault="001D1322" w:rsidP="00C04DFB">
            <w:pPr>
              <w:jc w:val="center"/>
              <w:rPr>
                <w:rFonts w:ascii="Corbel" w:eastAsia="Calibri" w:hAnsi="Corbel" w:cs="Times New Roman"/>
                <w:sz w:val="16"/>
                <w:szCs w:val="16"/>
                <w:lang w:val="en-AU"/>
              </w:rPr>
            </w:pPr>
          </w:p>
        </w:tc>
        <w:tc>
          <w:tcPr>
            <w:tcW w:w="1701" w:type="dxa"/>
            <w:tcBorders>
              <w:right w:val="single" w:sz="4" w:space="0" w:color="auto"/>
            </w:tcBorders>
          </w:tcPr>
          <w:p w14:paraId="2A10B7A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Global average</w:t>
            </w:r>
          </w:p>
          <w:p w14:paraId="5E6139AF"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52EED02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Global water efficiency change estimated based on global data on water productivity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and long-term outlook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&lt;EndNote&gt;&lt;Cite&gt;&lt;Author&gt;Organisation for Economic Cooperation and Development&lt;/Author&gt;&lt;Year&gt;2012&lt;/Year&gt;&lt;RecNum&gt;886&lt;/RecNum&gt;&lt;DisplayText&gt;(Organisation for Economic Cooperation and Development, 2012)&lt;/DisplayText&gt;&lt;record&gt;&lt;rec-number&gt;886&lt;/rec-number&gt;&lt;foreign-keys&gt;&lt;key app="EN" db-id="9vsrvaat7fadwtesfsrpw5w5t0x5v500ef25" timestamp="1542428002"&gt;886&lt;/key&gt;&lt;/foreign-keys&gt;&lt;ref-type name="Generic"&gt;13&lt;/ref-type&gt;&lt;contributors&gt;&lt;authors&gt;&lt;author&gt;Organisation for Economic Cooperation and Development,&lt;/author&gt;&lt;/authors&gt;&lt;/contributors&gt;&lt;titles&gt;&lt;title&gt;OECD Environmental Outlook to 2050: The consequences of inaction&lt;/title&gt;&lt;/titles&gt;&lt;dates&gt;&lt;year&gt;2012&lt;/year&gt;&lt;/dates&gt;&lt;pub-location&gt;Paris&lt;/pub-location&gt;&lt;publisher&gt;OECD&lt;/publisher&gt;&lt;urls&gt;&lt;/urls&gt;&lt;/record&gt;&lt;/Cite&gt;&lt;/EndNote&gt;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(Organisation for Economic Cooperation and Development, 2012)</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w:t>
            </w:r>
          </w:p>
        </w:tc>
      </w:tr>
      <w:tr w:rsidR="001D1322" w:rsidRPr="005403DD" w14:paraId="44A584E0" w14:textId="77777777" w:rsidTr="00C04DFB">
        <w:tc>
          <w:tcPr>
            <w:tcW w:w="1531" w:type="dxa"/>
            <w:tcBorders>
              <w:left w:val="single" w:sz="4" w:space="0" w:color="auto"/>
            </w:tcBorders>
          </w:tcPr>
          <w:p w14:paraId="34B0C4D7" w14:textId="77777777" w:rsidR="001D1322" w:rsidRPr="005403DD" w:rsidRDefault="001D1322" w:rsidP="00C04DFB">
            <w:pPr>
              <w:rPr>
                <w:rFonts w:ascii="Corbel" w:eastAsia="Calibri" w:hAnsi="Corbel" w:cs="Times New Roman"/>
                <w:sz w:val="16"/>
                <w:szCs w:val="16"/>
                <w:lang w:val="en-AU"/>
              </w:rPr>
            </w:pPr>
          </w:p>
        </w:tc>
        <w:tc>
          <w:tcPr>
            <w:tcW w:w="1186" w:type="dxa"/>
          </w:tcPr>
          <w:p w14:paraId="7C7C3A8D"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Policy</w:t>
            </w:r>
          </w:p>
        </w:tc>
        <w:tc>
          <w:tcPr>
            <w:tcW w:w="1848" w:type="dxa"/>
            <w:tcBorders>
              <w:right w:val="single" w:sz="4" w:space="0" w:color="auto"/>
            </w:tcBorders>
          </w:tcPr>
          <w:p w14:paraId="44DF3A3E"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Final target material consumption efficiency improvement percentage</w:t>
            </w:r>
          </w:p>
        </w:tc>
        <w:tc>
          <w:tcPr>
            <w:tcW w:w="1950" w:type="dxa"/>
            <w:tcBorders>
              <w:left w:val="single" w:sz="4" w:space="0" w:color="auto"/>
            </w:tcBorders>
          </w:tcPr>
          <w:p w14:paraId="42CA42A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No additional target; existing trend </w:t>
            </w:r>
          </w:p>
          <w:p w14:paraId="646BCA3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w:t>
            </w:r>
          </w:p>
        </w:tc>
        <w:tc>
          <w:tcPr>
            <w:tcW w:w="1804" w:type="dxa"/>
          </w:tcPr>
          <w:p w14:paraId="163ABAF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10% by 2030</w:t>
            </w:r>
          </w:p>
          <w:p w14:paraId="662354A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(-1%pa)</w:t>
            </w:r>
          </w:p>
          <w:p w14:paraId="7474142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w:t>
            </w:r>
          </w:p>
        </w:tc>
        <w:tc>
          <w:tcPr>
            <w:tcW w:w="1890" w:type="dxa"/>
            <w:shd w:val="clear" w:color="auto" w:fill="E7E6E6"/>
          </w:tcPr>
          <w:p w14:paraId="243571C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None</w:t>
            </w:r>
          </w:p>
          <w:p w14:paraId="315A00CF" w14:textId="77777777" w:rsidR="001D1322" w:rsidRPr="005403DD" w:rsidRDefault="001D1322" w:rsidP="00C04DFB">
            <w:pPr>
              <w:jc w:val="center"/>
              <w:rPr>
                <w:rFonts w:ascii="Corbel" w:eastAsia="Calibri" w:hAnsi="Corbel" w:cs="Times New Roman"/>
                <w:sz w:val="16"/>
                <w:szCs w:val="16"/>
                <w:lang w:val="en-AU"/>
              </w:rPr>
            </w:pPr>
          </w:p>
        </w:tc>
        <w:tc>
          <w:tcPr>
            <w:tcW w:w="1841" w:type="dxa"/>
          </w:tcPr>
          <w:p w14:paraId="64DDDD2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No additional target; existing trend</w:t>
            </w:r>
          </w:p>
          <w:p w14:paraId="2E7A778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w:t>
            </w:r>
          </w:p>
        </w:tc>
        <w:tc>
          <w:tcPr>
            <w:tcW w:w="1701" w:type="dxa"/>
            <w:tcBorders>
              <w:right w:val="single" w:sz="4" w:space="0" w:color="auto"/>
            </w:tcBorders>
          </w:tcPr>
          <w:p w14:paraId="2B48B67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10% by 2030</w:t>
            </w:r>
          </w:p>
          <w:p w14:paraId="1F8C91B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(-1%pa)</w:t>
            </w:r>
          </w:p>
          <w:p w14:paraId="6EBF63A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w:t>
            </w:r>
          </w:p>
          <w:p w14:paraId="3F5E409A" w14:textId="77777777" w:rsidR="001D1322" w:rsidRPr="005403DD" w:rsidRDefault="001D1322" w:rsidP="00C04DFB">
            <w:pPr>
              <w:jc w:val="center"/>
              <w:rPr>
                <w:rFonts w:ascii="Corbel" w:eastAsia="Calibri" w:hAnsi="Corbel" w:cs="Times New Roman"/>
                <w:sz w:val="16"/>
                <w:szCs w:val="16"/>
                <w:lang w:val="en-AU"/>
              </w:rPr>
            </w:pPr>
          </w:p>
          <w:p w14:paraId="1DE12C7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15% by 2030</w:t>
            </w:r>
          </w:p>
          <w:p w14:paraId="62728C04"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5F7272A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Material efficiency target estimated based on CSIRO material flows data for Fiji 1990-2017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(West and Lieber,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Fiji DMC is comparatively low (~9 t/person/year) and SDG target is set at 10% reduction on baseline. World average is </w:t>
            </w:r>
            <w:r w:rsidRPr="005403DD">
              <w:rPr>
                <w:rFonts w:ascii="Corbel" w:eastAsia="Calibri" w:hAnsi="Corbel" w:cs="Times New Roman"/>
                <w:sz w:val="16"/>
                <w:szCs w:val="16"/>
                <w:lang w:val="en-AU"/>
              </w:rPr>
              <w:lastRenderedPageBreak/>
              <w:t>~10, so Fiji is below world average.</w:t>
            </w:r>
          </w:p>
        </w:tc>
      </w:tr>
      <w:tr w:rsidR="001D1322" w:rsidRPr="005403DD" w14:paraId="272EEC78" w14:textId="77777777" w:rsidTr="00C04DFB">
        <w:tc>
          <w:tcPr>
            <w:tcW w:w="1531" w:type="dxa"/>
            <w:tcBorders>
              <w:left w:val="single" w:sz="4" w:space="0" w:color="auto"/>
            </w:tcBorders>
          </w:tcPr>
          <w:p w14:paraId="1CE76A28" w14:textId="77777777" w:rsidR="001D1322" w:rsidRPr="005403DD" w:rsidRDefault="001D1322" w:rsidP="00C04DFB">
            <w:pPr>
              <w:rPr>
                <w:rFonts w:ascii="Corbel" w:eastAsia="Calibri" w:hAnsi="Corbel" w:cs="Times New Roman"/>
                <w:color w:val="FF0000"/>
                <w:sz w:val="16"/>
                <w:szCs w:val="16"/>
                <w:lang w:val="en-AU"/>
              </w:rPr>
            </w:pPr>
          </w:p>
        </w:tc>
        <w:tc>
          <w:tcPr>
            <w:tcW w:w="1186" w:type="dxa"/>
          </w:tcPr>
          <w:p w14:paraId="74E03FC5"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Policy</w:t>
            </w:r>
          </w:p>
        </w:tc>
        <w:tc>
          <w:tcPr>
            <w:tcW w:w="1848" w:type="dxa"/>
            <w:tcBorders>
              <w:right w:val="single" w:sz="4" w:space="0" w:color="auto"/>
            </w:tcBorders>
          </w:tcPr>
          <w:p w14:paraId="59FB4E18"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SDG Climate change – adaptation expenditure</w:t>
            </w:r>
          </w:p>
          <w:p w14:paraId="18EFCD5B" w14:textId="77777777" w:rsidR="001D1322" w:rsidRPr="005403DD" w:rsidRDefault="001D1322" w:rsidP="00C04DFB">
            <w:pPr>
              <w:rPr>
                <w:rFonts w:ascii="Corbel" w:eastAsia="Calibri" w:hAnsi="Corbel" w:cs="Times New Roman"/>
                <w:color w:val="FF0000"/>
                <w:sz w:val="16"/>
                <w:szCs w:val="16"/>
                <w:lang w:val="en-AU"/>
              </w:rPr>
            </w:pPr>
          </w:p>
          <w:p w14:paraId="42A5DF58" w14:textId="77777777" w:rsidR="001D1322" w:rsidRPr="005403DD" w:rsidRDefault="001D1322" w:rsidP="00C04DFB">
            <w:pPr>
              <w:rPr>
                <w:rFonts w:ascii="Corbel" w:eastAsia="Calibri" w:hAnsi="Corbel" w:cs="Times New Roman"/>
                <w:color w:val="FF0000"/>
                <w:sz w:val="16"/>
                <w:szCs w:val="16"/>
                <w:lang w:val="en-AU"/>
              </w:rPr>
            </w:pPr>
          </w:p>
        </w:tc>
        <w:tc>
          <w:tcPr>
            <w:tcW w:w="1950" w:type="dxa"/>
            <w:tcBorders>
              <w:left w:val="single" w:sz="4" w:space="0" w:color="auto"/>
            </w:tcBorders>
          </w:tcPr>
          <w:p w14:paraId="70761127"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 increase</w:t>
            </w:r>
          </w:p>
          <w:p w14:paraId="7C7CEB5E"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0.2% GDP</w:t>
            </w:r>
          </w:p>
        </w:tc>
        <w:tc>
          <w:tcPr>
            <w:tcW w:w="1804" w:type="dxa"/>
          </w:tcPr>
          <w:p w14:paraId="5F5E6C0F"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1% GDP </w:t>
            </w:r>
          </w:p>
          <w:p w14:paraId="44645F7B"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[+0.8%]</w:t>
            </w:r>
          </w:p>
        </w:tc>
        <w:tc>
          <w:tcPr>
            <w:tcW w:w="1890" w:type="dxa"/>
            <w:shd w:val="clear" w:color="auto" w:fill="E7E6E6"/>
          </w:tcPr>
          <w:p w14:paraId="59AFB7F7"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0.2% GDP (~FJD10m pa in 2020)</w:t>
            </w:r>
          </w:p>
        </w:tc>
        <w:tc>
          <w:tcPr>
            <w:tcW w:w="1841" w:type="dxa"/>
          </w:tcPr>
          <w:p w14:paraId="4531671B"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No increase</w:t>
            </w:r>
          </w:p>
          <w:p w14:paraId="134D51A0"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0.2% GDP</w:t>
            </w:r>
          </w:p>
        </w:tc>
        <w:tc>
          <w:tcPr>
            <w:tcW w:w="1701" w:type="dxa"/>
            <w:tcBorders>
              <w:right w:val="single" w:sz="4" w:space="0" w:color="auto"/>
            </w:tcBorders>
          </w:tcPr>
          <w:p w14:paraId="1841204C" w14:textId="71DA854D"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1% GDP </w:t>
            </w:r>
          </w:p>
          <w:p w14:paraId="6DB63FD7" w14:textId="0BEC7722" w:rsidR="001D1322"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[+0.</w:t>
            </w:r>
            <w:r w:rsidR="00F7142F">
              <w:rPr>
                <w:rFonts w:ascii="Corbel" w:eastAsia="Calibri" w:hAnsi="Corbel" w:cs="Times New Roman"/>
                <w:color w:val="000000" w:themeColor="text1"/>
                <w:sz w:val="16"/>
                <w:szCs w:val="16"/>
                <w:lang w:val="en-AU"/>
              </w:rPr>
              <w:t>8</w:t>
            </w:r>
            <w:r w:rsidRPr="005403DD">
              <w:rPr>
                <w:rFonts w:ascii="Corbel" w:eastAsia="Calibri" w:hAnsi="Corbel" w:cs="Times New Roman"/>
                <w:color w:val="000000" w:themeColor="text1"/>
                <w:sz w:val="16"/>
                <w:szCs w:val="16"/>
                <w:lang w:val="en-AU"/>
              </w:rPr>
              <w:t>%]</w:t>
            </w:r>
          </w:p>
          <w:p w14:paraId="63286F2B" w14:textId="77777777" w:rsidR="00F7142F" w:rsidRDefault="00F7142F" w:rsidP="00C04DFB">
            <w:pPr>
              <w:jc w:val="center"/>
              <w:rPr>
                <w:rFonts w:ascii="Corbel" w:eastAsia="Calibri" w:hAnsi="Corbel" w:cs="Times New Roman"/>
                <w:color w:val="000000" w:themeColor="text1"/>
                <w:sz w:val="16"/>
                <w:szCs w:val="16"/>
                <w:lang w:val="en-AU"/>
              </w:rPr>
            </w:pPr>
          </w:p>
          <w:p w14:paraId="213DA9C7" w14:textId="24A02CFD" w:rsidR="00F7142F" w:rsidRPr="005403DD" w:rsidRDefault="00F7142F" w:rsidP="00F7142F">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 xml:space="preserve">ST_SDG: </w:t>
            </w:r>
            <w:r>
              <w:rPr>
                <w:rFonts w:ascii="Corbel" w:eastAsia="Calibri" w:hAnsi="Corbel" w:cs="Times New Roman"/>
                <w:sz w:val="16"/>
                <w:szCs w:val="16"/>
                <w:shd w:val="clear" w:color="auto" w:fill="AFCEEB"/>
                <w:lang w:val="en-AU"/>
              </w:rPr>
              <w:t>1.1% GDP pa</w:t>
            </w:r>
          </w:p>
          <w:p w14:paraId="1580CDCB" w14:textId="03BC201B" w:rsidR="00F7142F" w:rsidRPr="005403DD" w:rsidRDefault="00F7142F" w:rsidP="00C04DFB">
            <w:pPr>
              <w:jc w:val="center"/>
              <w:rPr>
                <w:rFonts w:ascii="Corbel" w:eastAsia="Calibri" w:hAnsi="Corbel" w:cs="Times New Roman"/>
                <w:color w:val="000000" w:themeColor="text1"/>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0963917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Fiji Climate Vulnerability Assessment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&lt;EndNote&gt;&lt;Cite&gt;&lt;Author&gt;Government of Fiji&lt;/Author&gt;&lt;Year&gt;2017&lt;/Year&gt;&lt;RecNum&gt;1162&lt;/RecNum&gt;&lt;DisplayText&gt;(Government of Fiji, 2017a)&lt;/DisplayText&gt;&lt;record&gt;&lt;rec-number&gt;1162&lt;/rec-number&gt;&lt;foreign-keys&gt;&lt;key app="EN" db-id="9vsrvaat7fadwtesfsrpw5w5t0x5v500ef25" timestamp="1574319115"&gt;1162&lt;/key&gt;&lt;/foreign-keys&gt;&lt;ref-type name="Generic"&gt;13&lt;/ref-type&gt;&lt;contributors&gt;&lt;authors&gt;&lt;author&gt;Government of Fiji,&lt;/author&gt;&lt;/authors&gt;&lt;/contributors&gt;&lt;titles&gt;&lt;title&gt;Climate Vulnerability Assessment&lt;/title&gt;&lt;/titles&gt;&lt;dates&gt;&lt;year&gt;2017&lt;/year&gt;&lt;/dates&gt;&lt;pub-location&gt;Fiji&lt;/pub-location&gt;&lt;publisher&gt;Government of Fiji&lt;/publisher&gt;&lt;urls&gt;&lt;related-urls&gt;&lt;url&gt;https://reliefweb.int/report/fiji/climate-vulnerability-assessment-making-fiji-climate-resilient&lt;/url&gt;&lt;/related-urls&gt;&lt;/urls&gt;&lt;/record&gt;&lt;/Cite&gt;&lt;/EndNote&gt;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(Government of Fiji, 2017a)</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includes costings for adaptation investments needed over 10 years of FJ$9.3 billion, plus additional operation costs and social expenditures or recurrent costs of FJ$226-491m.</w:t>
            </w:r>
          </w:p>
          <w:p w14:paraId="4BD0E00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This is said to be FJ$5 billion in additional investment (beyond the NDP) and at least tens of millions per year in maintenance operation costs. </w:t>
            </w:r>
            <w:r w:rsidRPr="005403DD">
              <w:rPr>
                <w:rFonts w:ascii="Corbel" w:eastAsia="Calibri" w:hAnsi="Corbel" w:cs="Times New Roman"/>
                <w:color w:val="000000" w:themeColor="text1"/>
                <w:sz w:val="16"/>
                <w:szCs w:val="16"/>
                <w:lang w:val="en-AU"/>
              </w:rPr>
              <w:t xml:space="preserve">Estimated losses from climate change impacts are FJD500m per annum, representing ~5% GDP. Effects of climate change on productivity include linear and non-linear effects calibrated on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 AuthorYear="1"&gt;&lt;Author&gt;Burke&lt;/Author&gt;&lt;Year&gt;2015&lt;/Year&gt;&lt;RecNum&gt;1203&lt;/RecNum&gt;&lt;DisplayText&gt;Burke et al. (2015)&lt;/DisplayText&gt;&lt;record&gt;&lt;rec-number&gt;1203&lt;/rec-number&gt;&lt;foreign-keys&gt;&lt;key app="EN" db-id="9vsrvaat7fadwtesfsrpw5w5t0x5v500ef25" timestamp="1578362821"&gt;1203&lt;/key&gt;&lt;/foreign-keys&gt;&lt;ref-type name="Journal Article"&gt;17&lt;/ref-type&gt;&lt;contributors&gt;&lt;authors&gt;&lt;author&gt;Burke, Marshall&lt;/author&gt;&lt;author&gt;Hsiang, Solomon M&lt;/author&gt;&lt;author&gt;Miguel, Edward&lt;/author&gt;&lt;/authors&gt;&lt;/contributors&gt;&lt;titles&gt;&lt;title&gt;Global non-linear effect of temperature on economic production&lt;/title&gt;&lt;secondary-title&gt;Nature&lt;/secondary-title&gt;&lt;/titles&gt;&lt;periodical&gt;&lt;full-title&gt;Nature&lt;/full-title&gt;&lt;/periodical&gt;&lt;pages&gt;235&lt;/pages&gt;&lt;volume&gt;527&lt;/volume&gt;&lt;number&gt;7577&lt;/number&gt;&lt;dates&gt;&lt;year&gt;2015&lt;/year&gt;&lt;/dates&gt;&lt;isbn&gt;1476-4687&lt;/isbn&gt;&lt;urls&gt;&lt;/urls&gt;&lt;electronic-resource-num&gt;https://doi.org/10.1038/nature15725&lt;/electronic-resource-num&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Burke et al. (2015)</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 Adaptation expenditure requirement estimated at FJD$1bn by 2030 (1% GDP per degree)</w:t>
            </w:r>
          </w:p>
        </w:tc>
      </w:tr>
      <w:tr w:rsidR="00D82082" w:rsidRPr="005403DD" w14:paraId="6654F7A9" w14:textId="77777777" w:rsidTr="00C04DFB">
        <w:tc>
          <w:tcPr>
            <w:tcW w:w="1531" w:type="dxa"/>
            <w:tcBorders>
              <w:left w:val="single" w:sz="4" w:space="0" w:color="auto"/>
            </w:tcBorders>
            <w:shd w:val="clear" w:color="auto" w:fill="E7E6E6"/>
          </w:tcPr>
          <w:p w14:paraId="4E328A77" w14:textId="77777777" w:rsidR="001D1322" w:rsidRPr="005403DD" w:rsidRDefault="001D1322" w:rsidP="00C04DFB">
            <w:pPr>
              <w:rPr>
                <w:rFonts w:ascii="Corbel" w:eastAsia="Calibri" w:hAnsi="Corbel" w:cs="Times New Roman"/>
                <w:color w:val="FF0000"/>
                <w:sz w:val="16"/>
                <w:szCs w:val="16"/>
                <w:lang w:val="en-AU"/>
              </w:rPr>
            </w:pPr>
          </w:p>
        </w:tc>
        <w:tc>
          <w:tcPr>
            <w:tcW w:w="1186" w:type="dxa"/>
            <w:shd w:val="clear" w:color="auto" w:fill="E7E6E6"/>
          </w:tcPr>
          <w:p w14:paraId="03F6CD07" w14:textId="77777777" w:rsidR="001D1322" w:rsidRPr="005403DD" w:rsidRDefault="001D1322" w:rsidP="00C04DFB">
            <w:pPr>
              <w:rPr>
                <w:rFonts w:ascii="Corbel" w:eastAsia="Calibri" w:hAnsi="Corbel" w:cs="Times New Roman"/>
                <w:color w:val="FF0000"/>
                <w:sz w:val="16"/>
                <w:szCs w:val="16"/>
                <w:lang w:val="en-AU"/>
              </w:rPr>
            </w:pPr>
          </w:p>
        </w:tc>
        <w:tc>
          <w:tcPr>
            <w:tcW w:w="1848" w:type="dxa"/>
            <w:tcBorders>
              <w:right w:val="single" w:sz="4" w:space="0" w:color="auto"/>
            </w:tcBorders>
            <w:shd w:val="clear" w:color="auto" w:fill="E7E6E6"/>
          </w:tcPr>
          <w:p w14:paraId="2E243832" w14:textId="77777777" w:rsidR="001D1322" w:rsidRPr="005403DD" w:rsidRDefault="001D1322" w:rsidP="00C04DFB">
            <w:pPr>
              <w:rPr>
                <w:rFonts w:ascii="Corbel" w:eastAsia="Calibri" w:hAnsi="Corbel" w:cs="Times New Roman"/>
                <w:color w:val="FF0000"/>
                <w:sz w:val="16"/>
                <w:szCs w:val="16"/>
                <w:lang w:val="en-AU"/>
              </w:rPr>
            </w:pPr>
          </w:p>
        </w:tc>
        <w:tc>
          <w:tcPr>
            <w:tcW w:w="1950" w:type="dxa"/>
            <w:tcBorders>
              <w:left w:val="single" w:sz="4" w:space="0" w:color="auto"/>
            </w:tcBorders>
            <w:shd w:val="clear" w:color="auto" w:fill="E7E6E6"/>
          </w:tcPr>
          <w:p w14:paraId="3E8CA7E9" w14:textId="77777777" w:rsidR="001D1322" w:rsidRPr="005403DD" w:rsidRDefault="001D1322" w:rsidP="00C04DFB">
            <w:pPr>
              <w:jc w:val="center"/>
              <w:rPr>
                <w:rFonts w:ascii="Corbel" w:eastAsia="Calibri" w:hAnsi="Corbel" w:cs="Times New Roman"/>
                <w:color w:val="FF0000"/>
                <w:sz w:val="16"/>
                <w:szCs w:val="16"/>
                <w:lang w:val="en-AU"/>
              </w:rPr>
            </w:pPr>
          </w:p>
        </w:tc>
        <w:tc>
          <w:tcPr>
            <w:tcW w:w="1804" w:type="dxa"/>
            <w:shd w:val="clear" w:color="auto" w:fill="E7E6E6"/>
          </w:tcPr>
          <w:p w14:paraId="35127601" w14:textId="77777777" w:rsidR="001D1322" w:rsidRPr="005403DD" w:rsidRDefault="001D1322" w:rsidP="00C04DFB">
            <w:pPr>
              <w:jc w:val="center"/>
              <w:rPr>
                <w:rFonts w:ascii="Corbel" w:eastAsia="Calibri" w:hAnsi="Corbel" w:cs="Times New Roman"/>
                <w:color w:val="FF0000"/>
                <w:sz w:val="16"/>
                <w:szCs w:val="16"/>
                <w:lang w:val="en-AU"/>
              </w:rPr>
            </w:pPr>
          </w:p>
        </w:tc>
        <w:tc>
          <w:tcPr>
            <w:tcW w:w="1890" w:type="dxa"/>
            <w:shd w:val="clear" w:color="auto" w:fill="E7E6E6"/>
          </w:tcPr>
          <w:p w14:paraId="2045CE78" w14:textId="77777777" w:rsidR="001D1322" w:rsidRPr="005403DD" w:rsidRDefault="001D1322" w:rsidP="00C04DFB">
            <w:pPr>
              <w:jc w:val="center"/>
              <w:rPr>
                <w:rFonts w:ascii="Corbel" w:eastAsia="Calibri" w:hAnsi="Corbel" w:cs="Times New Roman"/>
                <w:color w:val="FF0000"/>
                <w:sz w:val="16"/>
                <w:szCs w:val="16"/>
                <w:lang w:val="en-AU"/>
              </w:rPr>
            </w:pPr>
          </w:p>
        </w:tc>
        <w:tc>
          <w:tcPr>
            <w:tcW w:w="1841" w:type="dxa"/>
            <w:shd w:val="clear" w:color="auto" w:fill="E7E6E6"/>
          </w:tcPr>
          <w:p w14:paraId="310E9DB9" w14:textId="77777777" w:rsidR="001D1322" w:rsidRPr="005403DD" w:rsidRDefault="001D1322" w:rsidP="00C04DFB">
            <w:pPr>
              <w:jc w:val="center"/>
              <w:rPr>
                <w:rFonts w:ascii="Corbel" w:eastAsia="Calibri" w:hAnsi="Corbel" w:cs="Times New Roman"/>
                <w:color w:val="FF0000"/>
                <w:sz w:val="16"/>
                <w:szCs w:val="16"/>
                <w:lang w:val="en-AU"/>
              </w:rPr>
            </w:pPr>
          </w:p>
        </w:tc>
        <w:tc>
          <w:tcPr>
            <w:tcW w:w="1701" w:type="dxa"/>
            <w:tcBorders>
              <w:right w:val="single" w:sz="4" w:space="0" w:color="auto"/>
            </w:tcBorders>
            <w:shd w:val="clear" w:color="auto" w:fill="E7E6E6"/>
          </w:tcPr>
          <w:p w14:paraId="18C58AAA" w14:textId="77777777" w:rsidR="001D1322" w:rsidRPr="005403DD" w:rsidRDefault="001D1322" w:rsidP="00C04DFB">
            <w:pPr>
              <w:jc w:val="center"/>
              <w:rPr>
                <w:rFonts w:ascii="Corbel" w:eastAsia="Calibri" w:hAnsi="Corbel" w:cs="Times New Roman"/>
                <w:color w:val="FF0000"/>
                <w:sz w:val="16"/>
                <w:szCs w:val="16"/>
                <w:lang w:val="en-AU"/>
              </w:rPr>
            </w:pPr>
          </w:p>
        </w:tc>
        <w:tc>
          <w:tcPr>
            <w:tcW w:w="2213" w:type="dxa"/>
            <w:tcBorders>
              <w:top w:val="single" w:sz="4" w:space="0" w:color="auto"/>
              <w:left w:val="single" w:sz="4" w:space="0" w:color="auto"/>
              <w:bottom w:val="single" w:sz="4" w:space="0" w:color="auto"/>
              <w:right w:val="single" w:sz="4" w:space="0" w:color="auto"/>
            </w:tcBorders>
            <w:shd w:val="clear" w:color="auto" w:fill="E7E6E6"/>
          </w:tcPr>
          <w:p w14:paraId="6D656808" w14:textId="77777777" w:rsidR="001D1322" w:rsidRPr="005403DD" w:rsidRDefault="001D1322" w:rsidP="00C04DFB">
            <w:pPr>
              <w:jc w:val="center"/>
              <w:rPr>
                <w:rFonts w:ascii="Corbel" w:eastAsia="Calibri" w:hAnsi="Corbel" w:cs="Times New Roman"/>
                <w:color w:val="FF0000"/>
                <w:sz w:val="16"/>
                <w:szCs w:val="16"/>
                <w:lang w:val="en-AU"/>
              </w:rPr>
            </w:pPr>
          </w:p>
        </w:tc>
      </w:tr>
      <w:tr w:rsidR="001D1322" w:rsidRPr="005403DD" w14:paraId="7A39A832" w14:textId="77777777" w:rsidTr="00C04DFB">
        <w:tc>
          <w:tcPr>
            <w:tcW w:w="1531" w:type="dxa"/>
            <w:tcBorders>
              <w:left w:val="single" w:sz="4" w:space="0" w:color="auto"/>
            </w:tcBorders>
          </w:tcPr>
          <w:p w14:paraId="64ADF8DE" w14:textId="77777777" w:rsidR="001D1322" w:rsidRPr="005403DD" w:rsidRDefault="001D1322" w:rsidP="00C04DFB">
            <w:pPr>
              <w:rPr>
                <w:rFonts w:ascii="Corbel" w:eastAsia="Calibri" w:hAnsi="Corbel" w:cs="Times New Roman"/>
                <w:b/>
                <w:color w:val="000000" w:themeColor="text1"/>
                <w:sz w:val="16"/>
                <w:szCs w:val="16"/>
                <w:lang w:val="en-AU"/>
              </w:rPr>
            </w:pPr>
            <w:r w:rsidRPr="005403DD">
              <w:rPr>
                <w:rFonts w:ascii="Corbel" w:eastAsia="Calibri" w:hAnsi="Corbel" w:cs="Times New Roman"/>
                <w:b/>
                <w:color w:val="000000" w:themeColor="text1"/>
                <w:sz w:val="16"/>
                <w:szCs w:val="16"/>
                <w:lang w:val="en-AU"/>
              </w:rPr>
              <w:t>6. Governance, policy and institutions</w:t>
            </w:r>
          </w:p>
        </w:tc>
        <w:tc>
          <w:tcPr>
            <w:tcW w:w="1186" w:type="dxa"/>
          </w:tcPr>
          <w:p w14:paraId="01313AC3"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Assumption</w:t>
            </w:r>
          </w:p>
        </w:tc>
        <w:tc>
          <w:tcPr>
            <w:tcW w:w="1848" w:type="dxa"/>
            <w:tcBorders>
              <w:right w:val="single" w:sz="4" w:space="0" w:color="auto"/>
            </w:tcBorders>
          </w:tcPr>
          <w:p w14:paraId="58A803B6"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Institutions</w:t>
            </w:r>
          </w:p>
        </w:tc>
        <w:tc>
          <w:tcPr>
            <w:tcW w:w="1950" w:type="dxa"/>
            <w:tcBorders>
              <w:left w:val="single" w:sz="4" w:space="0" w:color="auto"/>
            </w:tcBorders>
          </w:tcPr>
          <w:p w14:paraId="40A331CA"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Effective for elite, not for rest</w:t>
            </w:r>
          </w:p>
        </w:tc>
        <w:tc>
          <w:tcPr>
            <w:tcW w:w="1804" w:type="dxa"/>
          </w:tcPr>
          <w:p w14:paraId="4FB9DB10"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Modest effectiveness</w:t>
            </w:r>
          </w:p>
        </w:tc>
        <w:tc>
          <w:tcPr>
            <w:tcW w:w="1890" w:type="dxa"/>
            <w:shd w:val="clear" w:color="auto" w:fill="E7E6E6"/>
          </w:tcPr>
          <w:p w14:paraId="2815D5FF"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Existing trend</w:t>
            </w:r>
          </w:p>
        </w:tc>
        <w:tc>
          <w:tcPr>
            <w:tcW w:w="1841" w:type="dxa"/>
          </w:tcPr>
          <w:p w14:paraId="68BF61AA"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Increasingly effective</w:t>
            </w:r>
          </w:p>
        </w:tc>
        <w:tc>
          <w:tcPr>
            <w:tcW w:w="1701" w:type="dxa"/>
            <w:tcBorders>
              <w:right w:val="single" w:sz="4" w:space="0" w:color="auto"/>
            </w:tcBorders>
          </w:tcPr>
          <w:p w14:paraId="1112A248"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Effective</w:t>
            </w:r>
          </w:p>
        </w:tc>
        <w:tc>
          <w:tcPr>
            <w:tcW w:w="2213" w:type="dxa"/>
            <w:tcBorders>
              <w:top w:val="single" w:sz="4" w:space="0" w:color="auto"/>
              <w:left w:val="single" w:sz="4" w:space="0" w:color="auto"/>
              <w:bottom w:val="single" w:sz="4" w:space="0" w:color="auto"/>
              <w:right w:val="single" w:sz="4" w:space="0" w:color="auto"/>
            </w:tcBorders>
          </w:tcPr>
          <w:p w14:paraId="12E870BC"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Qualitative. SSP narratives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(O’Neill et al., 2017)</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w:t>
            </w:r>
          </w:p>
        </w:tc>
      </w:tr>
      <w:tr w:rsidR="001D1322" w:rsidRPr="005403DD" w14:paraId="0AF13140" w14:textId="77777777" w:rsidTr="00C04DFB">
        <w:tc>
          <w:tcPr>
            <w:tcW w:w="1531" w:type="dxa"/>
            <w:tcBorders>
              <w:left w:val="single" w:sz="4" w:space="0" w:color="auto"/>
            </w:tcBorders>
          </w:tcPr>
          <w:p w14:paraId="10F68672" w14:textId="77777777" w:rsidR="001D1322" w:rsidRPr="005403DD" w:rsidRDefault="001D1322" w:rsidP="00C04DFB">
            <w:pPr>
              <w:rPr>
                <w:rFonts w:ascii="Corbel" w:eastAsia="Calibri" w:hAnsi="Corbel" w:cs="Times New Roman"/>
                <w:sz w:val="16"/>
                <w:szCs w:val="16"/>
                <w:lang w:val="en-AU"/>
              </w:rPr>
            </w:pPr>
          </w:p>
        </w:tc>
        <w:tc>
          <w:tcPr>
            <w:tcW w:w="1186" w:type="dxa"/>
          </w:tcPr>
          <w:p w14:paraId="5C9075B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2CFFDC92"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International cooperation</w:t>
            </w:r>
          </w:p>
        </w:tc>
        <w:tc>
          <w:tcPr>
            <w:tcW w:w="1950" w:type="dxa"/>
            <w:tcBorders>
              <w:left w:val="single" w:sz="4" w:space="0" w:color="auto"/>
            </w:tcBorders>
          </w:tcPr>
          <w:p w14:paraId="6EBD9BA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Relatively weak</w:t>
            </w:r>
          </w:p>
          <w:p w14:paraId="7B08AAC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[1.9% GDP]</w:t>
            </w:r>
          </w:p>
          <w:p w14:paraId="168DA4F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 GDP</w:t>
            </w:r>
          </w:p>
        </w:tc>
        <w:tc>
          <w:tcPr>
            <w:tcW w:w="1804" w:type="dxa"/>
          </w:tcPr>
          <w:p w14:paraId="52FD47A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Effective</w:t>
            </w:r>
          </w:p>
          <w:p w14:paraId="59B2C1E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[3.5% GDP]</w:t>
            </w:r>
          </w:p>
          <w:p w14:paraId="39C5E53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+0.6%GDP</w:t>
            </w:r>
          </w:p>
          <w:p w14:paraId="77F7DD4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climate finance)</w:t>
            </w:r>
          </w:p>
        </w:tc>
        <w:tc>
          <w:tcPr>
            <w:tcW w:w="1890" w:type="dxa"/>
            <w:shd w:val="clear" w:color="auto" w:fill="E7E6E6"/>
          </w:tcPr>
          <w:p w14:paraId="7AEFD1C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Existing trend </w:t>
            </w:r>
          </w:p>
          <w:p w14:paraId="5D4F2D3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[grants = 2.9% GDP]</w:t>
            </w:r>
          </w:p>
        </w:tc>
        <w:tc>
          <w:tcPr>
            <w:tcW w:w="1841" w:type="dxa"/>
          </w:tcPr>
          <w:p w14:paraId="4187395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p w14:paraId="7BAF1FE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[+0.6%GDP]</w:t>
            </w:r>
          </w:p>
        </w:tc>
        <w:tc>
          <w:tcPr>
            <w:tcW w:w="1701" w:type="dxa"/>
            <w:tcBorders>
              <w:right w:val="single" w:sz="4" w:space="0" w:color="auto"/>
            </w:tcBorders>
          </w:tcPr>
          <w:p w14:paraId="08670F2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Highly Effective</w:t>
            </w:r>
          </w:p>
          <w:p w14:paraId="74BDDE6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[4.1% GDP]</w:t>
            </w:r>
          </w:p>
          <w:p w14:paraId="33090F7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+1.2% GDP</w:t>
            </w:r>
          </w:p>
          <w:p w14:paraId="7DA26AF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climate finance and + SDG finance)</w:t>
            </w:r>
          </w:p>
          <w:p w14:paraId="5AED9A48" w14:textId="77777777" w:rsidR="001D1322" w:rsidRPr="005403DD" w:rsidRDefault="001D1322" w:rsidP="00C04DFB">
            <w:pPr>
              <w:jc w:val="center"/>
              <w:rPr>
                <w:rFonts w:ascii="Corbel" w:eastAsia="Calibri" w:hAnsi="Corbel" w:cs="Times New Roman"/>
                <w:sz w:val="16"/>
                <w:szCs w:val="16"/>
                <w:lang w:val="en-AU"/>
              </w:rPr>
            </w:pPr>
          </w:p>
          <w:p w14:paraId="6844AA60" w14:textId="77777777" w:rsidR="001D1322" w:rsidRPr="005403DD" w:rsidRDefault="001D1322" w:rsidP="00C04DFB">
            <w:pPr>
              <w:shd w:val="clear" w:color="auto" w:fill="ED7D31" w:themeFill="accent2"/>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ST_CLIMATE :+3.8% GDP pa</w:t>
            </w:r>
          </w:p>
          <w:p w14:paraId="2D490622" w14:textId="77777777" w:rsidR="001D1322" w:rsidRPr="005403DD" w:rsidRDefault="001D1322" w:rsidP="00C04DFB">
            <w:pPr>
              <w:shd w:val="clear" w:color="auto" w:fill="AFCEEB"/>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ST_SDG: +15% GDP pa</w:t>
            </w:r>
          </w:p>
          <w:p w14:paraId="657D1759" w14:textId="77777777" w:rsidR="001D1322" w:rsidRPr="005403DD" w:rsidRDefault="001D1322" w:rsidP="00C04DFB">
            <w:pPr>
              <w:jc w:val="center"/>
              <w:rPr>
                <w:rFonts w:ascii="Corbel" w:eastAsia="Calibri" w:hAnsi="Corbel" w:cs="Times New Roman"/>
                <w:sz w:val="16"/>
                <w:szCs w:val="16"/>
                <w:lang w:val="en-AU"/>
              </w:rPr>
            </w:pPr>
          </w:p>
        </w:tc>
        <w:tc>
          <w:tcPr>
            <w:tcW w:w="2213" w:type="dxa"/>
            <w:tcBorders>
              <w:top w:val="single" w:sz="4" w:space="0" w:color="auto"/>
              <w:left w:val="single" w:sz="4" w:space="0" w:color="auto"/>
              <w:bottom w:val="single" w:sz="4" w:space="0" w:color="auto"/>
              <w:right w:val="single" w:sz="4" w:space="0" w:color="auto"/>
            </w:tcBorders>
          </w:tcPr>
          <w:p w14:paraId="0AF598B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lastRenderedPageBreak/>
              <w:t xml:space="preserve">Qualitative. SSP narratives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(O’Neill et al., 2017)</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Grants received calculated based on revenue data 1990-2015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(The World Bank, 2018)</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Parameterised based on </w:t>
            </w:r>
            <w:r w:rsidRPr="005403DD">
              <w:rPr>
                <w:rFonts w:ascii="Corbel" w:eastAsia="Calibri" w:hAnsi="Corbel" w:cs="Times New Roman"/>
                <w:sz w:val="16"/>
                <w:szCs w:val="16"/>
                <w:lang w:val="en-AU"/>
              </w:rPr>
              <w:lastRenderedPageBreak/>
              <w:t>timeseries data (max = 4.7%; min = 1.5%)</w:t>
            </w:r>
          </w:p>
        </w:tc>
      </w:tr>
      <w:tr w:rsidR="001D1322" w:rsidRPr="005403DD" w14:paraId="6ADC1301" w14:textId="77777777" w:rsidTr="00C04DFB">
        <w:tc>
          <w:tcPr>
            <w:tcW w:w="1531" w:type="dxa"/>
            <w:tcBorders>
              <w:left w:val="single" w:sz="4" w:space="0" w:color="auto"/>
            </w:tcBorders>
          </w:tcPr>
          <w:p w14:paraId="61FB2CA1"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7BEC0828"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Assumption</w:t>
            </w:r>
          </w:p>
        </w:tc>
        <w:tc>
          <w:tcPr>
            <w:tcW w:w="1848" w:type="dxa"/>
            <w:tcBorders>
              <w:right w:val="single" w:sz="4" w:space="0" w:color="auto"/>
            </w:tcBorders>
          </w:tcPr>
          <w:p w14:paraId="2901E769"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Environmental policy</w:t>
            </w:r>
          </w:p>
        </w:tc>
        <w:tc>
          <w:tcPr>
            <w:tcW w:w="1950" w:type="dxa"/>
            <w:tcBorders>
              <w:left w:val="single" w:sz="4" w:space="0" w:color="auto"/>
            </w:tcBorders>
          </w:tcPr>
          <w:p w14:paraId="49176ACE"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Little concern with environment and global goals/problems</w:t>
            </w:r>
          </w:p>
        </w:tc>
        <w:tc>
          <w:tcPr>
            <w:tcW w:w="1804" w:type="dxa"/>
          </w:tcPr>
          <w:p w14:paraId="22693B80"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Improved management of local and global issues</w:t>
            </w:r>
          </w:p>
        </w:tc>
        <w:tc>
          <w:tcPr>
            <w:tcW w:w="1890" w:type="dxa"/>
            <w:shd w:val="clear" w:color="auto" w:fill="E7E6E6"/>
          </w:tcPr>
          <w:p w14:paraId="3A1C6F19"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Existing trend</w:t>
            </w:r>
          </w:p>
        </w:tc>
        <w:tc>
          <w:tcPr>
            <w:tcW w:w="1841" w:type="dxa"/>
          </w:tcPr>
          <w:p w14:paraId="6FDEE480"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Low priority for environmental issues</w:t>
            </w:r>
          </w:p>
        </w:tc>
        <w:tc>
          <w:tcPr>
            <w:tcW w:w="1701" w:type="dxa"/>
            <w:tcBorders>
              <w:right w:val="single" w:sz="4" w:space="0" w:color="auto"/>
            </w:tcBorders>
          </w:tcPr>
          <w:p w14:paraId="54F0FB35"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Improved management of local and global issues.</w:t>
            </w:r>
          </w:p>
        </w:tc>
        <w:tc>
          <w:tcPr>
            <w:tcW w:w="2213" w:type="dxa"/>
            <w:tcBorders>
              <w:top w:val="single" w:sz="4" w:space="0" w:color="auto"/>
              <w:left w:val="single" w:sz="4" w:space="0" w:color="auto"/>
              <w:bottom w:val="single" w:sz="4" w:space="0" w:color="auto"/>
              <w:right w:val="single" w:sz="4" w:space="0" w:color="auto"/>
            </w:tcBorders>
          </w:tcPr>
          <w:p w14:paraId="3BE21212"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 xml:space="preserve">Qualitative. SSP narratives </w:t>
            </w:r>
            <w:r w:rsidRPr="005403DD">
              <w:rPr>
                <w:rFonts w:ascii="Corbel" w:eastAsia="Calibri" w:hAnsi="Corbel" w:cs="Times New Roman"/>
                <w:color w:val="000000" w:themeColor="text1"/>
                <w:sz w:val="16"/>
                <w:szCs w:val="16"/>
                <w:lang w:val="en-AU"/>
              </w:rPr>
              <w:fldChar w:fldCharType="begin"/>
            </w:r>
            <w:r w:rsidRPr="005403DD">
              <w:rPr>
                <w:rFonts w:ascii="Corbel" w:eastAsia="Calibri" w:hAnsi="Corbel" w:cs="Times New Roman"/>
                <w:color w:val="000000" w:themeColor="text1"/>
                <w:sz w:val="16"/>
                <w:szCs w:val="16"/>
                <w:lang w:val="en-AU"/>
              </w:rPr>
              <w:instrText xml:space="preserve"> ADDIN EN.CITE &lt;EndNote&gt;&lt;Cite&gt;&lt;Author&gt;O’Neill&lt;/Author&gt;&lt;Year&gt;2017&lt;/Year&gt;&lt;RecNum&gt;801&lt;/RecNum&gt;&lt;DisplayText&gt;(O’Neill et al., 2017)&lt;/DisplayText&gt;&lt;record&gt;&lt;rec-number&gt;801&lt;/rec-number&gt;&lt;foreign-keys&gt;&lt;key app="EN" db-id="9vsrvaat7fadwtesfsrpw5w5t0x5v500ef25" timestamp="1538912327"&gt;801&lt;/key&gt;&lt;/foreign-keys&gt;&lt;ref-type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pages&gt;169-180&lt;/pages&gt;&lt;volume&gt;42&lt;/volume&gt;&lt;dates&gt;&lt;year&gt;2017&lt;/year&gt;&lt;/dates&gt;&lt;isbn&gt;0959-3780&lt;/isbn&gt;&lt;urls&gt;&lt;/urls&gt;&lt;electronic-resource-num&gt;https://doi.org/10.1016/j.gloenvcha.2015.01.004&lt;/electronic-resource-num&gt;&lt;/record&gt;&lt;/Cite&gt;&lt;/EndNote&gt;</w:instrText>
            </w:r>
            <w:r w:rsidRPr="005403DD">
              <w:rPr>
                <w:rFonts w:ascii="Corbel" w:eastAsia="Calibri" w:hAnsi="Corbel" w:cs="Times New Roman"/>
                <w:color w:val="000000" w:themeColor="text1"/>
                <w:sz w:val="16"/>
                <w:szCs w:val="16"/>
                <w:lang w:val="en-AU"/>
              </w:rPr>
              <w:fldChar w:fldCharType="separate"/>
            </w:r>
            <w:r w:rsidRPr="005403DD">
              <w:rPr>
                <w:rFonts w:ascii="Corbel" w:eastAsia="Calibri" w:hAnsi="Corbel" w:cs="Times New Roman"/>
                <w:noProof/>
                <w:color w:val="000000" w:themeColor="text1"/>
                <w:sz w:val="16"/>
                <w:szCs w:val="16"/>
                <w:lang w:val="en-AU"/>
              </w:rPr>
              <w:t>(O’Neill et al., 2017)</w:t>
            </w:r>
            <w:r w:rsidRPr="005403DD">
              <w:rPr>
                <w:rFonts w:ascii="Corbel" w:eastAsia="Calibri" w:hAnsi="Corbel" w:cs="Times New Roman"/>
                <w:color w:val="000000" w:themeColor="text1"/>
                <w:sz w:val="16"/>
                <w:szCs w:val="16"/>
                <w:lang w:val="en-AU"/>
              </w:rPr>
              <w:fldChar w:fldCharType="end"/>
            </w:r>
            <w:r w:rsidRPr="005403DD">
              <w:rPr>
                <w:rFonts w:ascii="Corbel" w:eastAsia="Calibri" w:hAnsi="Corbel" w:cs="Times New Roman"/>
                <w:color w:val="000000" w:themeColor="text1"/>
                <w:sz w:val="16"/>
                <w:szCs w:val="16"/>
                <w:lang w:val="en-AU"/>
              </w:rPr>
              <w:t>.</w:t>
            </w:r>
          </w:p>
        </w:tc>
      </w:tr>
      <w:tr w:rsidR="001D1322" w:rsidRPr="005403DD" w14:paraId="6F14CC24" w14:textId="77777777" w:rsidTr="00C04DFB">
        <w:tc>
          <w:tcPr>
            <w:tcW w:w="1531" w:type="dxa"/>
            <w:tcBorders>
              <w:left w:val="single" w:sz="4" w:space="0" w:color="auto"/>
            </w:tcBorders>
          </w:tcPr>
          <w:p w14:paraId="17D1FEBC" w14:textId="77777777" w:rsidR="001D1322" w:rsidRPr="005403DD" w:rsidRDefault="001D1322" w:rsidP="00C04DFB">
            <w:pPr>
              <w:rPr>
                <w:rFonts w:ascii="Corbel" w:eastAsia="Calibri" w:hAnsi="Corbel" w:cs="Times New Roman"/>
                <w:color w:val="000000" w:themeColor="text1"/>
                <w:sz w:val="16"/>
                <w:szCs w:val="16"/>
                <w:lang w:val="en-AU"/>
              </w:rPr>
            </w:pPr>
          </w:p>
        </w:tc>
        <w:tc>
          <w:tcPr>
            <w:tcW w:w="1186" w:type="dxa"/>
          </w:tcPr>
          <w:p w14:paraId="6E261F07"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Assumption</w:t>
            </w:r>
          </w:p>
        </w:tc>
        <w:tc>
          <w:tcPr>
            <w:tcW w:w="1848" w:type="dxa"/>
            <w:tcBorders>
              <w:right w:val="single" w:sz="4" w:space="0" w:color="auto"/>
            </w:tcBorders>
          </w:tcPr>
          <w:p w14:paraId="47813A3E" w14:textId="77777777" w:rsidR="001D1322" w:rsidRPr="005403DD" w:rsidRDefault="001D1322" w:rsidP="00C04DFB">
            <w:pP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Policy orientation</w:t>
            </w:r>
          </w:p>
        </w:tc>
        <w:tc>
          <w:tcPr>
            <w:tcW w:w="1950" w:type="dxa"/>
            <w:tcBorders>
              <w:left w:val="single" w:sz="4" w:space="0" w:color="auto"/>
            </w:tcBorders>
          </w:tcPr>
          <w:p w14:paraId="43A4292D"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Oriented towards economic development, free markets, small government, highly engineered infrastructure</w:t>
            </w:r>
          </w:p>
        </w:tc>
        <w:tc>
          <w:tcPr>
            <w:tcW w:w="1804" w:type="dxa"/>
          </w:tcPr>
          <w:p w14:paraId="0BCC7639"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Oriented towards greening of economic development, role for government in correcting markets</w:t>
            </w:r>
          </w:p>
        </w:tc>
        <w:tc>
          <w:tcPr>
            <w:tcW w:w="1890" w:type="dxa"/>
            <w:shd w:val="clear" w:color="auto" w:fill="E7E6E6"/>
          </w:tcPr>
          <w:p w14:paraId="3DE01823"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Existing trend</w:t>
            </w:r>
          </w:p>
        </w:tc>
        <w:tc>
          <w:tcPr>
            <w:tcW w:w="1841" w:type="dxa"/>
          </w:tcPr>
          <w:p w14:paraId="590ACFBA"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Oriented towards inclusive growth and addressing inequality, free markets, role for government in redistribution; rapid human development, reduced inequality</w:t>
            </w:r>
          </w:p>
        </w:tc>
        <w:tc>
          <w:tcPr>
            <w:tcW w:w="1701" w:type="dxa"/>
            <w:tcBorders>
              <w:right w:val="single" w:sz="4" w:space="0" w:color="auto"/>
            </w:tcBorders>
          </w:tcPr>
          <w:p w14:paraId="0ED00AAF"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Oriented towards sustainable development, role for government in correcting markets and redistribution</w:t>
            </w:r>
          </w:p>
        </w:tc>
        <w:tc>
          <w:tcPr>
            <w:tcW w:w="2213" w:type="dxa"/>
            <w:tcBorders>
              <w:top w:val="single" w:sz="4" w:space="0" w:color="auto"/>
              <w:left w:val="single" w:sz="4" w:space="0" w:color="auto"/>
              <w:bottom w:val="single" w:sz="4" w:space="0" w:color="auto"/>
              <w:right w:val="single" w:sz="4" w:space="0" w:color="auto"/>
            </w:tcBorders>
          </w:tcPr>
          <w:p w14:paraId="5E369591" w14:textId="77777777" w:rsidR="001D1322" w:rsidRPr="005403DD" w:rsidRDefault="001D1322" w:rsidP="00C04DFB">
            <w:pPr>
              <w:jc w:val="center"/>
              <w:rPr>
                <w:rFonts w:ascii="Corbel" w:eastAsia="Calibri" w:hAnsi="Corbel" w:cs="Times New Roman"/>
                <w:color w:val="000000" w:themeColor="text1"/>
                <w:sz w:val="16"/>
                <w:szCs w:val="16"/>
                <w:lang w:val="en-AU"/>
              </w:rPr>
            </w:pPr>
            <w:r w:rsidRPr="005403DD">
              <w:rPr>
                <w:rFonts w:ascii="Corbel" w:eastAsia="Calibri" w:hAnsi="Corbel" w:cs="Times New Roman"/>
                <w:color w:val="000000" w:themeColor="text1"/>
                <w:sz w:val="16"/>
                <w:szCs w:val="16"/>
                <w:lang w:val="en-AU"/>
              </w:rPr>
              <w:t>Qualitative. SSP narratives.</w:t>
            </w:r>
          </w:p>
        </w:tc>
      </w:tr>
      <w:tr w:rsidR="001D1322" w:rsidRPr="005403DD" w14:paraId="09F46630" w14:textId="77777777" w:rsidTr="00C04DFB">
        <w:tc>
          <w:tcPr>
            <w:tcW w:w="1531" w:type="dxa"/>
            <w:tcBorders>
              <w:left w:val="single" w:sz="4" w:space="0" w:color="auto"/>
            </w:tcBorders>
          </w:tcPr>
          <w:p w14:paraId="3CE26317" w14:textId="77777777" w:rsidR="001D1322" w:rsidRPr="005403DD" w:rsidRDefault="001D1322" w:rsidP="00C04DFB">
            <w:pPr>
              <w:rPr>
                <w:rFonts w:ascii="Corbel" w:eastAsia="Calibri" w:hAnsi="Corbel" w:cs="Times New Roman"/>
                <w:sz w:val="16"/>
                <w:szCs w:val="16"/>
                <w:lang w:val="en-AU"/>
              </w:rPr>
            </w:pPr>
          </w:p>
        </w:tc>
        <w:tc>
          <w:tcPr>
            <w:tcW w:w="1186" w:type="dxa"/>
          </w:tcPr>
          <w:p w14:paraId="5400454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296F2337"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Government effectiveness [WGIs score]*</w:t>
            </w:r>
          </w:p>
        </w:tc>
        <w:tc>
          <w:tcPr>
            <w:tcW w:w="1950" w:type="dxa"/>
            <w:tcBorders>
              <w:left w:val="single" w:sz="4" w:space="0" w:color="auto"/>
            </w:tcBorders>
          </w:tcPr>
          <w:p w14:paraId="27A6CE1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w:t>
            </w:r>
          </w:p>
          <w:p w14:paraId="453C6141"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-0.3</w:t>
            </w:r>
          </w:p>
        </w:tc>
        <w:tc>
          <w:tcPr>
            <w:tcW w:w="1804" w:type="dxa"/>
          </w:tcPr>
          <w:p w14:paraId="386BD6D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p w14:paraId="1C1E33A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w:t>
            </w:r>
          </w:p>
        </w:tc>
        <w:tc>
          <w:tcPr>
            <w:tcW w:w="1890" w:type="dxa"/>
            <w:shd w:val="clear" w:color="auto" w:fill="E7E6E6"/>
          </w:tcPr>
          <w:p w14:paraId="4DB13C7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2369085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[-0.291]</w:t>
            </w:r>
          </w:p>
        </w:tc>
        <w:tc>
          <w:tcPr>
            <w:tcW w:w="1841" w:type="dxa"/>
          </w:tcPr>
          <w:p w14:paraId="0F72593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Moderate-High</w:t>
            </w:r>
          </w:p>
          <w:p w14:paraId="30D53167"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w:t>
            </w:r>
          </w:p>
        </w:tc>
        <w:tc>
          <w:tcPr>
            <w:tcW w:w="1701" w:type="dxa"/>
            <w:tcBorders>
              <w:right w:val="single" w:sz="4" w:space="0" w:color="auto"/>
            </w:tcBorders>
          </w:tcPr>
          <w:p w14:paraId="7DD50C8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714E047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0.8</w:t>
            </w:r>
          </w:p>
          <w:p w14:paraId="590DFAE8" w14:textId="77777777" w:rsidR="001D1322" w:rsidRPr="005403DD" w:rsidRDefault="001D1322" w:rsidP="00C04DFB">
            <w:pPr>
              <w:jc w:val="center"/>
              <w:rPr>
                <w:rFonts w:ascii="Corbel" w:eastAsia="Calibri" w:hAnsi="Corbel" w:cs="Times New Roman"/>
                <w:sz w:val="16"/>
                <w:szCs w:val="16"/>
                <w:lang w:val="en-AU"/>
              </w:rPr>
            </w:pPr>
          </w:p>
          <w:p w14:paraId="085F809C" w14:textId="77777777" w:rsidR="001D1322" w:rsidRPr="005403DD" w:rsidRDefault="001D1322" w:rsidP="00C04DFB">
            <w:pPr>
              <w:jc w:val="center"/>
              <w:rPr>
                <w:rFonts w:ascii="Corbel" w:eastAsia="Calibri" w:hAnsi="Corbel" w:cs="Times New Roman"/>
                <w:sz w:val="16"/>
                <w:szCs w:val="16"/>
                <w:lang w:val="en-AU"/>
              </w:rPr>
            </w:pPr>
          </w:p>
          <w:p w14:paraId="52D58A7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1.5</w:t>
            </w:r>
          </w:p>
        </w:tc>
        <w:tc>
          <w:tcPr>
            <w:tcW w:w="2213" w:type="dxa"/>
            <w:tcBorders>
              <w:top w:val="single" w:sz="4" w:space="0" w:color="auto"/>
              <w:left w:val="single" w:sz="4" w:space="0" w:color="auto"/>
              <w:bottom w:val="single" w:sz="4" w:space="0" w:color="auto"/>
              <w:right w:val="single" w:sz="4" w:space="0" w:color="auto"/>
            </w:tcBorders>
          </w:tcPr>
          <w:p w14:paraId="652E7828"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World Bank Worldwide Governance indicator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&lt;EndNote&gt;&lt;Cite&gt;&lt;Author&gt;Kaufman&lt;/Author&gt;&lt;Year&gt;2016&lt;/Year&gt;&lt;RecNum&gt;1045&lt;/RecNum&gt;&lt;DisplayText&gt;(Kaufman and Kraay, 2016)&lt;/DisplayText&gt;&lt;record&gt;&lt;rec-number&gt;1045&lt;/rec-number&gt;&lt;foreign-keys&gt;&lt;key app="EN" db-id="9vsrvaat7fadwtesfsrpw5w5t0x5v500ef25" timestamp="1565084453"&gt;1045&lt;/key&gt;&lt;/foreign-keys&gt;&lt;ref-type name="Dataset"&gt;59&lt;/ref-type&gt;&lt;contributors&gt;&lt;authors&gt;&lt;author&gt;Kaufman, D&lt;/author&gt;&lt;author&gt;Kraay, A&lt;/author&gt;&lt;/authors&gt;&lt;/contributors&gt;&lt;titles&gt;&lt;title&gt;Worldwide Governance Indicators&lt;/title&gt;&lt;/titles&gt;&lt;dates&gt;&lt;year&gt;2016&lt;/year&gt;&lt;/dates&gt;&lt;pub-location&gt;Washington, USA&lt;/pub-location&gt;&lt;publisher&gt;The World Bank&lt;/publisher&gt;&lt;urls&gt;&lt;related-urls&gt;&lt;url&gt;http://info.worldbank.org/governance/wgi/index.aspx#home&lt;/url&gt;&lt;/related-urls&gt;&lt;/urls&gt;&lt;access-date&gt;11/12/17&lt;/access-date&gt;&lt;/record&gt;&lt;/Cite&gt;&lt;/EndNote&gt;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(Kaufman and Kraay, 2016)</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for Fiji (1990-2016). Parameterised based on low-high values for Government Effectiveness indicator</w:t>
            </w:r>
          </w:p>
          <w:p w14:paraId="42C490D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Scores -2.5 to +2.5; Global Max (2015) = 2.24.  Fiji historic max = 0.14; min = -0.8.</w:t>
            </w:r>
          </w:p>
        </w:tc>
      </w:tr>
      <w:tr w:rsidR="001D1322" w:rsidRPr="005403DD" w14:paraId="78203A9D" w14:textId="77777777" w:rsidTr="00C04DFB">
        <w:tc>
          <w:tcPr>
            <w:tcW w:w="1531" w:type="dxa"/>
            <w:tcBorders>
              <w:left w:val="single" w:sz="4" w:space="0" w:color="auto"/>
            </w:tcBorders>
          </w:tcPr>
          <w:p w14:paraId="00010520" w14:textId="77777777" w:rsidR="001D1322" w:rsidRPr="005403DD" w:rsidRDefault="001D1322" w:rsidP="00C04DFB">
            <w:pPr>
              <w:rPr>
                <w:rFonts w:ascii="Corbel" w:eastAsia="Calibri" w:hAnsi="Corbel" w:cs="Times New Roman"/>
                <w:sz w:val="16"/>
                <w:szCs w:val="16"/>
                <w:lang w:val="en-AU"/>
              </w:rPr>
            </w:pPr>
          </w:p>
        </w:tc>
        <w:tc>
          <w:tcPr>
            <w:tcW w:w="1186" w:type="dxa"/>
          </w:tcPr>
          <w:p w14:paraId="422E4D41"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05568C09"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6.3 Control of corruption</w:t>
            </w:r>
          </w:p>
        </w:tc>
        <w:tc>
          <w:tcPr>
            <w:tcW w:w="1950" w:type="dxa"/>
            <w:tcBorders>
              <w:left w:val="single" w:sz="4" w:space="0" w:color="auto"/>
            </w:tcBorders>
          </w:tcPr>
          <w:p w14:paraId="6446F94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Low-Moderate</w:t>
            </w:r>
          </w:p>
          <w:p w14:paraId="11D6FC7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0.15</w:t>
            </w:r>
          </w:p>
        </w:tc>
        <w:tc>
          <w:tcPr>
            <w:tcW w:w="1804" w:type="dxa"/>
          </w:tcPr>
          <w:p w14:paraId="7FA0B7A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p w14:paraId="53B33C2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w:t>
            </w:r>
          </w:p>
        </w:tc>
        <w:tc>
          <w:tcPr>
            <w:tcW w:w="1890" w:type="dxa"/>
            <w:shd w:val="clear" w:color="auto" w:fill="E7E6E6"/>
          </w:tcPr>
          <w:p w14:paraId="1E17184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770A540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0.17</w:t>
            </w:r>
          </w:p>
        </w:tc>
        <w:tc>
          <w:tcPr>
            <w:tcW w:w="1841" w:type="dxa"/>
          </w:tcPr>
          <w:p w14:paraId="62463EE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Moderate-High</w:t>
            </w:r>
          </w:p>
          <w:p w14:paraId="3BE8CE5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0.8</w:t>
            </w:r>
          </w:p>
        </w:tc>
        <w:tc>
          <w:tcPr>
            <w:tcW w:w="1701" w:type="dxa"/>
            <w:tcBorders>
              <w:right w:val="single" w:sz="4" w:space="0" w:color="auto"/>
            </w:tcBorders>
          </w:tcPr>
          <w:p w14:paraId="6D41651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00D093C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1</w:t>
            </w:r>
          </w:p>
          <w:p w14:paraId="5CC2F4F7" w14:textId="77777777" w:rsidR="001D1322" w:rsidRPr="005403DD" w:rsidRDefault="001D1322" w:rsidP="00C04DFB">
            <w:pPr>
              <w:jc w:val="center"/>
              <w:rPr>
                <w:rFonts w:ascii="Corbel" w:eastAsia="Calibri" w:hAnsi="Corbel" w:cs="Times New Roman"/>
                <w:sz w:val="16"/>
                <w:szCs w:val="16"/>
                <w:lang w:val="en-AU"/>
              </w:rPr>
            </w:pPr>
          </w:p>
          <w:p w14:paraId="3E3C8B3D"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1.5</w:t>
            </w:r>
          </w:p>
        </w:tc>
        <w:tc>
          <w:tcPr>
            <w:tcW w:w="2213" w:type="dxa"/>
            <w:tcBorders>
              <w:top w:val="single" w:sz="4" w:space="0" w:color="auto"/>
              <w:left w:val="single" w:sz="4" w:space="0" w:color="auto"/>
              <w:bottom w:val="single" w:sz="4" w:space="0" w:color="auto"/>
              <w:right w:val="single" w:sz="4" w:space="0" w:color="auto"/>
            </w:tcBorders>
          </w:tcPr>
          <w:p w14:paraId="33B66A7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World Bank Worldwide Governance indicator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&lt;EndNote&gt;&lt;Cite&gt;&lt;Author&gt;Kaufman&lt;/Author&gt;&lt;Year&gt;2016&lt;/Year&gt;&lt;RecNum&gt;1045&lt;/RecNum&gt;&lt;DisplayText&gt;(Kaufman and Kraay, 2016)&lt;/DisplayText&gt;&lt;record&gt;&lt;rec-number&gt;1045&lt;/rec-number&gt;&lt;foreign-keys&gt;&lt;key app="EN" db-id="9vsrvaat7fadwtesfsrpw5w5t0x5v500ef25" timestamp="1565084453"&gt;1045&lt;/key&gt;&lt;/foreign-keys&gt;&lt;ref-type name="Dataset"&gt;59&lt;/ref-type&gt;&lt;contributors&gt;&lt;authors&gt;&lt;author&gt;Kaufman, D&lt;/author&gt;&lt;author&gt;Kraay, A&lt;/author&gt;&lt;/authors&gt;&lt;/contributors&gt;&lt;titles&gt;&lt;title&gt;Worldwide Governance Indicators&lt;/title&gt;&lt;/titles&gt;&lt;dates&gt;&lt;year&gt;2016&lt;/year&gt;&lt;/dates&gt;&lt;pub-location&gt;Washington, USA&lt;/pub-location&gt;&lt;publisher&gt;The World Bank&lt;/publisher&gt;&lt;urls&gt;&lt;related-urls&gt;&lt;url&gt;http://info.worldbank.org/governance/wgi/index.aspx#home&lt;/url&gt;&lt;/related-urls&gt;&lt;/urls&gt;&lt;access-date&gt;11/12/17&lt;/access-date&gt;&lt;/record&gt;&lt;/Cite&gt;&lt;/EndNote&gt;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(Kaufman and Kraay, 2016)</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Parameterised based on low-high values for Control of Corruption indicator Global Max (2015) = 2.28; Fiji historic max = 0.66; min = -0.46</w:t>
            </w:r>
          </w:p>
        </w:tc>
      </w:tr>
      <w:tr w:rsidR="001D1322" w:rsidRPr="005403DD" w14:paraId="0C530C6F" w14:textId="77777777" w:rsidTr="00C04DFB">
        <w:tc>
          <w:tcPr>
            <w:tcW w:w="1531" w:type="dxa"/>
            <w:tcBorders>
              <w:left w:val="single" w:sz="4" w:space="0" w:color="auto"/>
            </w:tcBorders>
          </w:tcPr>
          <w:p w14:paraId="077586E2" w14:textId="77777777" w:rsidR="001D1322" w:rsidRPr="005403DD" w:rsidRDefault="001D1322" w:rsidP="00C04DFB">
            <w:pPr>
              <w:rPr>
                <w:rFonts w:ascii="Corbel" w:eastAsia="Calibri" w:hAnsi="Corbel" w:cs="Times New Roman"/>
                <w:sz w:val="16"/>
                <w:szCs w:val="16"/>
                <w:lang w:val="en-AU"/>
              </w:rPr>
            </w:pPr>
          </w:p>
        </w:tc>
        <w:tc>
          <w:tcPr>
            <w:tcW w:w="1186" w:type="dxa"/>
          </w:tcPr>
          <w:p w14:paraId="42C44AA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right w:val="single" w:sz="4" w:space="0" w:color="auto"/>
            </w:tcBorders>
          </w:tcPr>
          <w:p w14:paraId="7F714F4B"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6.4 Rule of law</w:t>
            </w:r>
          </w:p>
        </w:tc>
        <w:tc>
          <w:tcPr>
            <w:tcW w:w="1950" w:type="dxa"/>
            <w:tcBorders>
              <w:left w:val="single" w:sz="4" w:space="0" w:color="auto"/>
            </w:tcBorders>
          </w:tcPr>
          <w:p w14:paraId="38FBF3E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w:t>
            </w:r>
          </w:p>
          <w:p w14:paraId="34C8779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w:t>
            </w:r>
          </w:p>
        </w:tc>
        <w:tc>
          <w:tcPr>
            <w:tcW w:w="1804" w:type="dxa"/>
          </w:tcPr>
          <w:p w14:paraId="09A0250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Moderate-High</w:t>
            </w:r>
          </w:p>
          <w:p w14:paraId="5FB8991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0.3</w:t>
            </w:r>
          </w:p>
        </w:tc>
        <w:tc>
          <w:tcPr>
            <w:tcW w:w="1890" w:type="dxa"/>
            <w:shd w:val="clear" w:color="auto" w:fill="E7E6E6"/>
          </w:tcPr>
          <w:p w14:paraId="47D4E4C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Existing trend</w:t>
            </w:r>
          </w:p>
          <w:p w14:paraId="4D58E08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-0.4</w:t>
            </w:r>
          </w:p>
        </w:tc>
        <w:tc>
          <w:tcPr>
            <w:tcW w:w="1841" w:type="dxa"/>
          </w:tcPr>
          <w:p w14:paraId="65AABD7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6234367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0.6</w:t>
            </w:r>
          </w:p>
        </w:tc>
        <w:tc>
          <w:tcPr>
            <w:tcW w:w="1701" w:type="dxa"/>
            <w:tcBorders>
              <w:right w:val="single" w:sz="4" w:space="0" w:color="auto"/>
            </w:tcBorders>
          </w:tcPr>
          <w:p w14:paraId="0819FC6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67F3A87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0.6</w:t>
            </w:r>
          </w:p>
          <w:p w14:paraId="0993DDC4" w14:textId="77777777" w:rsidR="001D1322" w:rsidRPr="005403DD" w:rsidRDefault="001D1322" w:rsidP="00C04DFB">
            <w:pPr>
              <w:jc w:val="center"/>
              <w:rPr>
                <w:rFonts w:ascii="Corbel" w:eastAsia="Calibri" w:hAnsi="Corbel" w:cs="Times New Roman"/>
                <w:sz w:val="16"/>
                <w:szCs w:val="16"/>
                <w:lang w:val="en-AU"/>
              </w:rPr>
            </w:pPr>
          </w:p>
          <w:p w14:paraId="08AF6293"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1.5</w:t>
            </w:r>
          </w:p>
        </w:tc>
        <w:tc>
          <w:tcPr>
            <w:tcW w:w="2213" w:type="dxa"/>
            <w:tcBorders>
              <w:top w:val="single" w:sz="4" w:space="0" w:color="auto"/>
              <w:left w:val="single" w:sz="4" w:space="0" w:color="auto"/>
              <w:bottom w:val="single" w:sz="4" w:space="0" w:color="auto"/>
              <w:right w:val="single" w:sz="4" w:space="0" w:color="auto"/>
            </w:tcBorders>
          </w:tcPr>
          <w:p w14:paraId="4B6567FC"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World Bank Worldwide Governance indicator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&lt;EndNote&gt;&lt;Cite&gt;&lt;Author&gt;Kaufman&lt;/Author&gt;&lt;Year&gt;2016&lt;/Year&gt;&lt;RecNum&gt;1045&lt;/RecNum&gt;&lt;DisplayText&gt;(Kaufman and Kraay, 2016)&lt;/DisplayText&gt;&lt;record&gt;&lt;rec-number&gt;1045&lt;/rec-number&gt;&lt;foreign-keys&gt;&lt;key app="EN" db-id="9vsrvaat7fadwtesfsrpw5w5t0x5v500ef25" timestamp="1565084453"&gt;1045&lt;/key&gt;&lt;/foreign-keys&gt;&lt;ref-type name="Dataset"&gt;59&lt;/ref-type&gt;&lt;contributors&gt;&lt;authors&gt;&lt;author&gt;Kaufman, D&lt;/author&gt;&lt;author&gt;Kraay, A&lt;/author&gt;&lt;/authors&gt;&lt;/contributors&gt;&lt;titles&gt;&lt;title&gt;Worldwide Governance Indicators&lt;/title&gt;&lt;/titles&gt;&lt;dates&gt;&lt;year&gt;2016&lt;/year&gt;&lt;/dates&gt;&lt;pub-location&gt;Washington, USA&lt;/pub-location&gt;&lt;publisher&gt;The World Bank&lt;/publisher&gt;&lt;urls&gt;&lt;related-urls&gt;&lt;url&gt;http://info.worldbank.org/governance/wgi/index.aspx#home&lt;/url&gt;&lt;/related-urls&gt;&lt;/urls&gt;&lt;access-date&gt;11/12/17&lt;/access-date&gt;&lt;/record&gt;&lt;/Cite&gt;&lt;/EndNote&gt;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(Kaufman and Kraay, 2016)</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for Fiji (1990-2016). </w:t>
            </w:r>
            <w:r w:rsidRPr="005403DD">
              <w:rPr>
                <w:rFonts w:ascii="Corbel" w:eastAsia="Calibri" w:hAnsi="Corbel" w:cs="Times New Roman"/>
                <w:sz w:val="16"/>
                <w:szCs w:val="16"/>
                <w:lang w:val="en-AU"/>
              </w:rPr>
              <w:lastRenderedPageBreak/>
              <w:t>Parameterised based on low-high values for Rule of Law; Global Max (2015) = 2.06; Fiji historic max = 0.32; min = -0.85</w:t>
            </w:r>
          </w:p>
        </w:tc>
      </w:tr>
      <w:tr w:rsidR="001D1322" w:rsidRPr="007F2FBF" w14:paraId="3D776EA8" w14:textId="77777777" w:rsidTr="00C04DFB">
        <w:tc>
          <w:tcPr>
            <w:tcW w:w="1531" w:type="dxa"/>
            <w:tcBorders>
              <w:left w:val="single" w:sz="4" w:space="0" w:color="auto"/>
              <w:bottom w:val="single" w:sz="4" w:space="0" w:color="auto"/>
            </w:tcBorders>
          </w:tcPr>
          <w:p w14:paraId="6910C8A7" w14:textId="77777777" w:rsidR="001D1322" w:rsidRPr="005403DD" w:rsidRDefault="001D1322" w:rsidP="00C04DFB">
            <w:pPr>
              <w:rPr>
                <w:rFonts w:ascii="Corbel" w:eastAsia="Calibri" w:hAnsi="Corbel" w:cs="Times New Roman"/>
                <w:sz w:val="16"/>
                <w:szCs w:val="16"/>
                <w:lang w:val="en-AU"/>
              </w:rPr>
            </w:pPr>
          </w:p>
        </w:tc>
        <w:tc>
          <w:tcPr>
            <w:tcW w:w="1186" w:type="dxa"/>
            <w:tcBorders>
              <w:bottom w:val="single" w:sz="4" w:space="0" w:color="auto"/>
            </w:tcBorders>
          </w:tcPr>
          <w:p w14:paraId="43EE8FB3"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Assumption</w:t>
            </w:r>
          </w:p>
        </w:tc>
        <w:tc>
          <w:tcPr>
            <w:tcW w:w="1848" w:type="dxa"/>
            <w:tcBorders>
              <w:bottom w:val="single" w:sz="4" w:space="0" w:color="auto"/>
              <w:right w:val="single" w:sz="4" w:space="0" w:color="auto"/>
            </w:tcBorders>
          </w:tcPr>
          <w:p w14:paraId="320BA87C" w14:textId="77777777" w:rsidR="001D1322" w:rsidRPr="005403DD" w:rsidRDefault="001D1322" w:rsidP="00C04DFB">
            <w:pPr>
              <w:rPr>
                <w:rFonts w:ascii="Corbel" w:eastAsia="Calibri" w:hAnsi="Corbel" w:cs="Times New Roman"/>
                <w:sz w:val="16"/>
                <w:szCs w:val="16"/>
                <w:lang w:val="en-AU"/>
              </w:rPr>
            </w:pPr>
            <w:r w:rsidRPr="005403DD">
              <w:rPr>
                <w:rFonts w:ascii="Corbel" w:eastAsia="Calibri" w:hAnsi="Corbel" w:cs="Times New Roman"/>
                <w:sz w:val="16"/>
                <w:szCs w:val="16"/>
                <w:lang w:val="en-AU"/>
              </w:rPr>
              <w:t>6.6 Regulatory quality</w:t>
            </w:r>
          </w:p>
        </w:tc>
        <w:tc>
          <w:tcPr>
            <w:tcW w:w="1950" w:type="dxa"/>
            <w:tcBorders>
              <w:left w:val="single" w:sz="4" w:space="0" w:color="auto"/>
              <w:bottom w:val="single" w:sz="4" w:space="0" w:color="auto"/>
            </w:tcBorders>
          </w:tcPr>
          <w:p w14:paraId="044B6A74"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Low-Moderate</w:t>
            </w:r>
          </w:p>
          <w:p w14:paraId="5C3F899A"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-0.3</w:t>
            </w:r>
          </w:p>
        </w:tc>
        <w:tc>
          <w:tcPr>
            <w:tcW w:w="1804" w:type="dxa"/>
            <w:tcBorders>
              <w:bottom w:val="single" w:sz="4" w:space="0" w:color="auto"/>
            </w:tcBorders>
          </w:tcPr>
          <w:p w14:paraId="0C8ED242"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Moderate-High</w:t>
            </w:r>
          </w:p>
          <w:p w14:paraId="5E24E45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0.1</w:t>
            </w:r>
          </w:p>
        </w:tc>
        <w:tc>
          <w:tcPr>
            <w:tcW w:w="1890" w:type="dxa"/>
            <w:tcBorders>
              <w:bottom w:val="single" w:sz="4" w:space="0" w:color="auto"/>
            </w:tcBorders>
            <w:shd w:val="clear" w:color="auto" w:fill="E7E6E6"/>
          </w:tcPr>
          <w:p w14:paraId="485A0BC5"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Existing trend </w:t>
            </w:r>
          </w:p>
          <w:p w14:paraId="418256B0"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-0.36</w:t>
            </w:r>
          </w:p>
        </w:tc>
        <w:tc>
          <w:tcPr>
            <w:tcW w:w="1841" w:type="dxa"/>
            <w:tcBorders>
              <w:bottom w:val="single" w:sz="4" w:space="0" w:color="auto"/>
            </w:tcBorders>
          </w:tcPr>
          <w:p w14:paraId="40447AC6"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1E26D9CB"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w:t>
            </w:r>
          </w:p>
        </w:tc>
        <w:tc>
          <w:tcPr>
            <w:tcW w:w="1701" w:type="dxa"/>
            <w:tcBorders>
              <w:bottom w:val="single" w:sz="4" w:space="0" w:color="auto"/>
              <w:right w:val="single" w:sz="4" w:space="0" w:color="auto"/>
            </w:tcBorders>
          </w:tcPr>
          <w:p w14:paraId="537E0EBF"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High</w:t>
            </w:r>
          </w:p>
          <w:p w14:paraId="26089299"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0.5</w:t>
            </w:r>
          </w:p>
          <w:p w14:paraId="31ECCFEC" w14:textId="77777777" w:rsidR="001D1322" w:rsidRPr="005403DD" w:rsidRDefault="001D1322" w:rsidP="00C04DFB">
            <w:pPr>
              <w:jc w:val="center"/>
              <w:rPr>
                <w:rFonts w:ascii="Corbel" w:eastAsia="Calibri" w:hAnsi="Corbel" w:cs="Times New Roman"/>
                <w:sz w:val="16"/>
                <w:szCs w:val="16"/>
                <w:lang w:val="en-AU"/>
              </w:rPr>
            </w:pPr>
          </w:p>
          <w:p w14:paraId="64F1707E" w14:textId="77777777" w:rsidR="001D1322" w:rsidRPr="005403DD"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shd w:val="clear" w:color="auto" w:fill="AFCEEB"/>
                <w:lang w:val="en-AU"/>
              </w:rPr>
              <w:t>ST_SDG: 1.5</w:t>
            </w:r>
          </w:p>
        </w:tc>
        <w:tc>
          <w:tcPr>
            <w:tcW w:w="2213" w:type="dxa"/>
            <w:tcBorders>
              <w:top w:val="single" w:sz="4" w:space="0" w:color="auto"/>
              <w:left w:val="single" w:sz="4" w:space="0" w:color="auto"/>
              <w:bottom w:val="single" w:sz="4" w:space="0" w:color="auto"/>
              <w:right w:val="single" w:sz="4" w:space="0" w:color="auto"/>
            </w:tcBorders>
          </w:tcPr>
          <w:p w14:paraId="1D7570DC" w14:textId="77777777" w:rsidR="001D1322" w:rsidRPr="007F2FBF" w:rsidRDefault="001D1322" w:rsidP="00C04DFB">
            <w:pPr>
              <w:jc w:val="center"/>
              <w:rPr>
                <w:rFonts w:ascii="Corbel" w:eastAsia="Calibri" w:hAnsi="Corbel" w:cs="Times New Roman"/>
                <w:sz w:val="16"/>
                <w:szCs w:val="16"/>
                <w:lang w:val="en-AU"/>
              </w:rPr>
            </w:pPr>
            <w:r w:rsidRPr="005403DD">
              <w:rPr>
                <w:rFonts w:ascii="Corbel" w:eastAsia="Calibri" w:hAnsi="Corbel" w:cs="Times New Roman"/>
                <w:sz w:val="16"/>
                <w:szCs w:val="16"/>
                <w:lang w:val="en-AU"/>
              </w:rPr>
              <w:t xml:space="preserve">World Bank Worldwide Governance indicator data </w:t>
            </w:r>
            <w:r w:rsidRPr="005403DD">
              <w:rPr>
                <w:rFonts w:ascii="Corbel" w:eastAsia="Calibri" w:hAnsi="Corbel" w:cs="Times New Roman"/>
                <w:sz w:val="16"/>
                <w:szCs w:val="16"/>
                <w:lang w:val="en-AU"/>
              </w:rPr>
              <w:fldChar w:fldCharType="begin"/>
            </w:r>
            <w:r w:rsidRPr="005403DD">
              <w:rPr>
                <w:rFonts w:ascii="Corbel" w:eastAsia="Calibri" w:hAnsi="Corbel" w:cs="Times New Roman"/>
                <w:sz w:val="16"/>
                <w:szCs w:val="16"/>
                <w:lang w:val="en-AU"/>
              </w:rPr>
              <w:instrText xml:space="preserve"> ADDIN EN.CITE &lt;EndNote&gt;&lt;Cite&gt;&lt;Author&gt;Kaufman&lt;/Author&gt;&lt;Year&gt;2016&lt;/Year&gt;&lt;RecNum&gt;1045&lt;/RecNum&gt;&lt;DisplayText&gt;(Kaufman and Kraay, 2016)&lt;/DisplayText&gt;&lt;record&gt;&lt;rec-number&gt;1045&lt;/rec-number&gt;&lt;foreign-keys&gt;&lt;key app="EN" db-id="9vsrvaat7fadwtesfsrpw5w5t0x5v500ef25" timestamp="1565084453"&gt;1045&lt;/key&gt;&lt;/foreign-keys&gt;&lt;ref-type name="Dataset"&gt;59&lt;/ref-type&gt;&lt;contributors&gt;&lt;authors&gt;&lt;author&gt;Kaufman, D&lt;/author&gt;&lt;author&gt;Kraay, A&lt;/author&gt;&lt;/authors&gt;&lt;/contributors&gt;&lt;titles&gt;&lt;title&gt;Worldwide Governance Indicators&lt;/title&gt;&lt;/titles&gt;&lt;dates&gt;&lt;year&gt;2016&lt;/year&gt;&lt;/dates&gt;&lt;pub-location&gt;Washington, USA&lt;/pub-location&gt;&lt;publisher&gt;The World Bank&lt;/publisher&gt;&lt;urls&gt;&lt;related-urls&gt;&lt;url&gt;http://info.worldbank.org/governance/wgi/index.aspx#home&lt;/url&gt;&lt;/related-urls&gt;&lt;/urls&gt;&lt;access-date&gt;11/12/17&lt;/access-date&gt;&lt;/record&gt;&lt;/Cite&gt;&lt;/EndNote&gt;</w:instrText>
            </w:r>
            <w:r w:rsidRPr="005403DD">
              <w:rPr>
                <w:rFonts w:ascii="Corbel" w:eastAsia="Calibri" w:hAnsi="Corbel" w:cs="Times New Roman"/>
                <w:sz w:val="16"/>
                <w:szCs w:val="16"/>
                <w:lang w:val="en-AU"/>
              </w:rPr>
              <w:fldChar w:fldCharType="separate"/>
            </w:r>
            <w:r w:rsidRPr="005403DD">
              <w:rPr>
                <w:rFonts w:ascii="Corbel" w:eastAsia="Calibri" w:hAnsi="Corbel" w:cs="Times New Roman"/>
                <w:noProof/>
                <w:sz w:val="16"/>
                <w:szCs w:val="16"/>
                <w:lang w:val="en-AU"/>
              </w:rPr>
              <w:t>(Kaufman and Kraay, 2016)</w:t>
            </w:r>
            <w:r w:rsidRPr="005403DD">
              <w:rPr>
                <w:rFonts w:ascii="Corbel" w:eastAsia="Calibri" w:hAnsi="Corbel" w:cs="Times New Roman"/>
                <w:sz w:val="16"/>
                <w:szCs w:val="16"/>
                <w:lang w:val="en-AU"/>
              </w:rPr>
              <w:fldChar w:fldCharType="end"/>
            </w:r>
            <w:r w:rsidRPr="005403DD">
              <w:rPr>
                <w:rFonts w:ascii="Corbel" w:eastAsia="Calibri" w:hAnsi="Corbel" w:cs="Times New Roman"/>
                <w:sz w:val="16"/>
                <w:szCs w:val="16"/>
                <w:lang w:val="en-AU"/>
              </w:rPr>
              <w:t xml:space="preserve"> for Fiji (1990-2016). Parameterised based on low-high values for Regulatory quality; Global Max (2015) = 2.26. Fiji historic max = 0.08; min = -0.96.</w:t>
            </w:r>
          </w:p>
        </w:tc>
      </w:tr>
      <w:tr w:rsidR="00D82082" w:rsidRPr="00403FE0" w14:paraId="55BC5E24" w14:textId="77777777" w:rsidTr="00C04DFB">
        <w:tc>
          <w:tcPr>
            <w:tcW w:w="1531" w:type="dxa"/>
            <w:tcBorders>
              <w:top w:val="single" w:sz="4" w:space="0" w:color="auto"/>
              <w:left w:val="single" w:sz="4" w:space="0" w:color="auto"/>
              <w:bottom w:val="single" w:sz="4" w:space="0" w:color="auto"/>
            </w:tcBorders>
            <w:shd w:val="clear" w:color="auto" w:fill="E7E6E6"/>
          </w:tcPr>
          <w:p w14:paraId="29DCE87E" w14:textId="77777777" w:rsidR="001D1322" w:rsidRPr="00403FE0" w:rsidRDefault="001D1322" w:rsidP="00C04DFB">
            <w:pPr>
              <w:rPr>
                <w:rFonts w:ascii="Corbel" w:eastAsia="Calibri" w:hAnsi="Corbel" w:cs="Times New Roman"/>
                <w:color w:val="FF0000"/>
                <w:sz w:val="16"/>
                <w:szCs w:val="16"/>
                <w:lang w:val="en-AU"/>
              </w:rPr>
            </w:pPr>
          </w:p>
        </w:tc>
        <w:tc>
          <w:tcPr>
            <w:tcW w:w="1186" w:type="dxa"/>
            <w:tcBorders>
              <w:top w:val="single" w:sz="4" w:space="0" w:color="auto"/>
              <w:bottom w:val="single" w:sz="4" w:space="0" w:color="auto"/>
            </w:tcBorders>
            <w:shd w:val="clear" w:color="auto" w:fill="E7E6E6"/>
          </w:tcPr>
          <w:p w14:paraId="1ACFEBDD" w14:textId="77777777" w:rsidR="001D1322" w:rsidRPr="00403FE0" w:rsidRDefault="001D1322" w:rsidP="00C04DFB">
            <w:pPr>
              <w:rPr>
                <w:rFonts w:ascii="Corbel" w:eastAsia="Calibri" w:hAnsi="Corbel" w:cs="Times New Roman"/>
                <w:color w:val="FF0000"/>
                <w:sz w:val="16"/>
                <w:szCs w:val="16"/>
                <w:lang w:val="en-AU"/>
              </w:rPr>
            </w:pPr>
          </w:p>
        </w:tc>
        <w:tc>
          <w:tcPr>
            <w:tcW w:w="1848" w:type="dxa"/>
            <w:tcBorders>
              <w:top w:val="single" w:sz="4" w:space="0" w:color="auto"/>
              <w:bottom w:val="single" w:sz="4" w:space="0" w:color="auto"/>
              <w:right w:val="single" w:sz="4" w:space="0" w:color="auto"/>
            </w:tcBorders>
            <w:shd w:val="clear" w:color="auto" w:fill="E7E6E6"/>
          </w:tcPr>
          <w:p w14:paraId="359838B4" w14:textId="77777777" w:rsidR="001D1322" w:rsidRPr="00403FE0" w:rsidRDefault="001D1322" w:rsidP="00C04DFB">
            <w:pPr>
              <w:rPr>
                <w:rFonts w:ascii="Corbel" w:eastAsia="Calibri" w:hAnsi="Corbel" w:cs="Times New Roman"/>
                <w:color w:val="FF0000"/>
                <w:sz w:val="16"/>
                <w:szCs w:val="16"/>
                <w:lang w:val="en-AU"/>
              </w:rPr>
            </w:pPr>
          </w:p>
        </w:tc>
        <w:tc>
          <w:tcPr>
            <w:tcW w:w="1950" w:type="dxa"/>
            <w:tcBorders>
              <w:top w:val="single" w:sz="4" w:space="0" w:color="auto"/>
              <w:left w:val="single" w:sz="4" w:space="0" w:color="auto"/>
              <w:bottom w:val="single" w:sz="4" w:space="0" w:color="auto"/>
            </w:tcBorders>
            <w:shd w:val="clear" w:color="auto" w:fill="E7E6E6"/>
          </w:tcPr>
          <w:p w14:paraId="2BC42CCE" w14:textId="77777777" w:rsidR="001D1322" w:rsidRPr="00403FE0" w:rsidRDefault="001D1322" w:rsidP="00C04DFB">
            <w:pPr>
              <w:jc w:val="center"/>
              <w:rPr>
                <w:rFonts w:ascii="Corbel" w:eastAsia="Calibri" w:hAnsi="Corbel" w:cs="Times New Roman"/>
                <w:color w:val="FF0000"/>
                <w:sz w:val="16"/>
                <w:szCs w:val="16"/>
                <w:lang w:val="en-AU"/>
              </w:rPr>
            </w:pPr>
          </w:p>
        </w:tc>
        <w:tc>
          <w:tcPr>
            <w:tcW w:w="1804" w:type="dxa"/>
            <w:tcBorders>
              <w:top w:val="single" w:sz="4" w:space="0" w:color="auto"/>
              <w:bottom w:val="single" w:sz="4" w:space="0" w:color="auto"/>
            </w:tcBorders>
            <w:shd w:val="clear" w:color="auto" w:fill="E7E6E6"/>
          </w:tcPr>
          <w:p w14:paraId="1FF7A564" w14:textId="77777777" w:rsidR="001D1322" w:rsidRPr="00403FE0" w:rsidRDefault="001D1322" w:rsidP="00C04DFB">
            <w:pPr>
              <w:jc w:val="center"/>
              <w:rPr>
                <w:rFonts w:ascii="Corbel" w:eastAsia="Calibri" w:hAnsi="Corbel" w:cs="Times New Roman"/>
                <w:color w:val="FF0000"/>
                <w:sz w:val="16"/>
                <w:szCs w:val="16"/>
                <w:lang w:val="en-AU"/>
              </w:rPr>
            </w:pPr>
          </w:p>
        </w:tc>
        <w:tc>
          <w:tcPr>
            <w:tcW w:w="1890" w:type="dxa"/>
            <w:tcBorders>
              <w:top w:val="single" w:sz="4" w:space="0" w:color="auto"/>
              <w:bottom w:val="single" w:sz="4" w:space="0" w:color="auto"/>
            </w:tcBorders>
            <w:shd w:val="clear" w:color="auto" w:fill="E7E6E6"/>
          </w:tcPr>
          <w:p w14:paraId="7A90BCE6" w14:textId="77777777" w:rsidR="001D1322" w:rsidRPr="00403FE0" w:rsidRDefault="001D1322" w:rsidP="00C04DFB">
            <w:pPr>
              <w:jc w:val="center"/>
              <w:rPr>
                <w:rFonts w:ascii="Corbel" w:eastAsia="Calibri" w:hAnsi="Corbel" w:cs="Times New Roman"/>
                <w:color w:val="FF0000"/>
                <w:sz w:val="16"/>
                <w:szCs w:val="16"/>
                <w:lang w:val="en-AU"/>
              </w:rPr>
            </w:pPr>
          </w:p>
        </w:tc>
        <w:tc>
          <w:tcPr>
            <w:tcW w:w="1841" w:type="dxa"/>
            <w:tcBorders>
              <w:top w:val="single" w:sz="4" w:space="0" w:color="auto"/>
              <w:bottom w:val="single" w:sz="4" w:space="0" w:color="auto"/>
            </w:tcBorders>
            <w:shd w:val="clear" w:color="auto" w:fill="E7E6E6"/>
          </w:tcPr>
          <w:p w14:paraId="1DABC003" w14:textId="77777777" w:rsidR="001D1322" w:rsidRPr="00403FE0" w:rsidRDefault="001D1322" w:rsidP="00C04DFB">
            <w:pPr>
              <w:jc w:val="center"/>
              <w:rPr>
                <w:rFonts w:ascii="Corbel" w:eastAsia="Calibri" w:hAnsi="Corbel" w:cs="Times New Roman"/>
                <w:color w:val="FF0000"/>
                <w:sz w:val="16"/>
                <w:szCs w:val="16"/>
                <w:lang w:val="en-AU"/>
              </w:rPr>
            </w:pPr>
          </w:p>
        </w:tc>
        <w:tc>
          <w:tcPr>
            <w:tcW w:w="1701" w:type="dxa"/>
            <w:tcBorders>
              <w:top w:val="single" w:sz="4" w:space="0" w:color="auto"/>
              <w:bottom w:val="single" w:sz="4" w:space="0" w:color="auto"/>
              <w:right w:val="single" w:sz="4" w:space="0" w:color="auto"/>
            </w:tcBorders>
            <w:shd w:val="clear" w:color="auto" w:fill="E7E6E6"/>
          </w:tcPr>
          <w:p w14:paraId="60F201B0" w14:textId="77777777" w:rsidR="001D1322" w:rsidRPr="00403FE0" w:rsidRDefault="001D1322" w:rsidP="00C04DFB">
            <w:pPr>
              <w:jc w:val="center"/>
              <w:rPr>
                <w:rFonts w:ascii="Corbel" w:eastAsia="Calibri" w:hAnsi="Corbel" w:cs="Times New Roman"/>
                <w:color w:val="FF0000"/>
                <w:sz w:val="16"/>
                <w:szCs w:val="16"/>
                <w:lang w:val="en-AU"/>
              </w:rPr>
            </w:pPr>
          </w:p>
        </w:tc>
        <w:tc>
          <w:tcPr>
            <w:tcW w:w="2213" w:type="dxa"/>
            <w:tcBorders>
              <w:top w:val="single" w:sz="4" w:space="0" w:color="auto"/>
              <w:left w:val="single" w:sz="4" w:space="0" w:color="auto"/>
              <w:bottom w:val="single" w:sz="4" w:space="0" w:color="auto"/>
              <w:right w:val="single" w:sz="4" w:space="0" w:color="auto"/>
            </w:tcBorders>
            <w:shd w:val="clear" w:color="auto" w:fill="E7E6E6"/>
          </w:tcPr>
          <w:p w14:paraId="3F37AB88" w14:textId="77777777" w:rsidR="001D1322" w:rsidRPr="00403FE0" w:rsidRDefault="001D1322" w:rsidP="00C04DFB">
            <w:pPr>
              <w:jc w:val="center"/>
              <w:rPr>
                <w:rFonts w:ascii="Corbel" w:eastAsia="Calibri" w:hAnsi="Corbel" w:cs="Times New Roman"/>
                <w:color w:val="FF0000"/>
                <w:sz w:val="16"/>
                <w:szCs w:val="16"/>
                <w:lang w:val="en-AU"/>
              </w:rPr>
            </w:pPr>
          </w:p>
        </w:tc>
      </w:tr>
    </w:tbl>
    <w:p w14:paraId="004F06E6" w14:textId="77777777" w:rsidR="001D1322" w:rsidRDefault="001D1322" w:rsidP="00E92CE0">
      <w:pPr>
        <w:rPr>
          <w:b/>
        </w:rPr>
      </w:pPr>
    </w:p>
    <w:p w14:paraId="5317FDDE" w14:textId="77777777" w:rsidR="001D1322" w:rsidRDefault="001D1322" w:rsidP="00E92CE0">
      <w:pPr>
        <w:rPr>
          <w:b/>
        </w:rPr>
      </w:pPr>
    </w:p>
    <w:p w14:paraId="09749DC7" w14:textId="77777777" w:rsidR="001D1322" w:rsidRDefault="001D1322" w:rsidP="00E92CE0">
      <w:pPr>
        <w:rPr>
          <w:b/>
        </w:rPr>
      </w:pPr>
    </w:p>
    <w:p w14:paraId="6F2F401E" w14:textId="77777777" w:rsidR="001D1322" w:rsidRDefault="001D1322" w:rsidP="00E92CE0">
      <w:pPr>
        <w:rPr>
          <w:b/>
        </w:rPr>
      </w:pPr>
    </w:p>
    <w:p w14:paraId="1D298C17" w14:textId="5DF01FCD" w:rsidR="001D1322" w:rsidRDefault="001D1322" w:rsidP="00E92CE0">
      <w:pPr>
        <w:rPr>
          <w:b/>
        </w:rPr>
      </w:pPr>
    </w:p>
    <w:p w14:paraId="72897320" w14:textId="0137DBC8" w:rsidR="00373308" w:rsidRDefault="00373308" w:rsidP="00E92CE0">
      <w:pPr>
        <w:rPr>
          <w:b/>
        </w:rPr>
      </w:pPr>
    </w:p>
    <w:p w14:paraId="6A0E5D37" w14:textId="77777777" w:rsidR="001D1322" w:rsidRDefault="001D1322" w:rsidP="00E92CE0">
      <w:pPr>
        <w:rPr>
          <w:b/>
        </w:rPr>
        <w:sectPr w:rsidR="001D1322" w:rsidSect="001D1322">
          <w:pgSz w:w="16838" w:h="11906" w:orient="landscape"/>
          <w:pgMar w:top="1440" w:right="1440" w:bottom="1440" w:left="1440" w:header="708" w:footer="708" w:gutter="0"/>
          <w:cols w:space="708"/>
          <w:docGrid w:linePitch="360"/>
        </w:sectPr>
      </w:pPr>
    </w:p>
    <w:p w14:paraId="476FB998" w14:textId="68CFBA7A" w:rsidR="00373308" w:rsidRDefault="00373308" w:rsidP="00E92CE0">
      <w:pPr>
        <w:rPr>
          <w:b/>
        </w:rPr>
      </w:pPr>
      <w:r>
        <w:rPr>
          <w:b/>
        </w:rPr>
        <w:lastRenderedPageBreak/>
        <w:t>SUPPLEMENTARY TABLE 2. SDG EVALUATION FRAMEWORK</w:t>
      </w:r>
      <w:r w:rsidR="001D1322">
        <w:rPr>
          <w:b/>
        </w:rPr>
        <w:t xml:space="preserve"> – FIJI’S SDG TARGETS AND INDICATORS FOR EVALUATING SCENARIO PERFORMANCE</w:t>
      </w:r>
    </w:p>
    <w:tbl>
      <w:tblPr>
        <w:tblW w:w="15593" w:type="dxa"/>
        <w:tblInd w:w="-851" w:type="dxa"/>
        <w:tblBorders>
          <w:top w:val="single" w:sz="4" w:space="0" w:color="auto"/>
          <w:bottom w:val="single" w:sz="4" w:space="0" w:color="auto"/>
          <w:insideH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510"/>
        <w:gridCol w:w="4195"/>
        <w:gridCol w:w="397"/>
        <w:gridCol w:w="1100"/>
        <w:gridCol w:w="3862"/>
        <w:gridCol w:w="1277"/>
        <w:gridCol w:w="992"/>
        <w:gridCol w:w="567"/>
        <w:gridCol w:w="2693"/>
      </w:tblGrid>
      <w:tr w:rsidR="005403DD" w:rsidRPr="005403DD" w14:paraId="7537D943" w14:textId="77777777" w:rsidTr="00C04DFB">
        <w:trPr>
          <w:cantSplit/>
          <w:trHeight w:val="300"/>
          <w:tblHeader/>
        </w:trPr>
        <w:tc>
          <w:tcPr>
            <w:tcW w:w="510" w:type="dxa"/>
            <w:shd w:val="clear" w:color="auto" w:fill="D9D9D9" w:themeFill="background1" w:themeFillShade="D9"/>
          </w:tcPr>
          <w:p w14:paraId="05F28B5E" w14:textId="77777777" w:rsidR="001D1322" w:rsidRPr="005403DD" w:rsidRDefault="001D1322" w:rsidP="00C04DFB">
            <w:pPr>
              <w:spacing w:after="0"/>
              <w:rPr>
                <w:rFonts w:ascii="Corbel" w:hAnsi="Corbel" w:cstheme="minorHAnsi"/>
                <w:b/>
                <w:bCs/>
                <w:sz w:val="16"/>
                <w:szCs w:val="16"/>
                <w:lang w:val="en-US"/>
              </w:rPr>
            </w:pPr>
            <w:r w:rsidRPr="005403DD">
              <w:rPr>
                <w:rFonts w:ascii="Corbel" w:hAnsi="Corbel" w:cstheme="minorHAnsi"/>
                <w:b/>
                <w:bCs/>
                <w:sz w:val="16"/>
                <w:szCs w:val="16"/>
                <w:lang w:val="en-US"/>
              </w:rPr>
              <w:t>Goal</w:t>
            </w:r>
          </w:p>
        </w:tc>
        <w:tc>
          <w:tcPr>
            <w:tcW w:w="4195" w:type="dxa"/>
            <w:tcBorders>
              <w:right w:val="single" w:sz="4" w:space="0" w:color="auto"/>
            </w:tcBorders>
            <w:shd w:val="clear" w:color="auto" w:fill="D9D9D9" w:themeFill="background1" w:themeFillShade="D9"/>
          </w:tcPr>
          <w:p w14:paraId="44D94028" w14:textId="77777777" w:rsidR="001D1322" w:rsidRPr="005403DD" w:rsidRDefault="001D1322" w:rsidP="00C04DFB">
            <w:pPr>
              <w:spacing w:after="0"/>
              <w:rPr>
                <w:rFonts w:ascii="Corbel" w:hAnsi="Corbel" w:cstheme="minorHAnsi"/>
                <w:b/>
                <w:bCs/>
                <w:sz w:val="16"/>
                <w:szCs w:val="16"/>
                <w:lang w:val="en-US"/>
              </w:rPr>
            </w:pPr>
            <w:r w:rsidRPr="005403DD">
              <w:rPr>
                <w:rFonts w:ascii="Corbel" w:hAnsi="Corbel" w:cstheme="minorHAnsi"/>
                <w:b/>
                <w:bCs/>
                <w:sz w:val="16"/>
                <w:szCs w:val="16"/>
                <w:lang w:val="en-US"/>
              </w:rPr>
              <w:t>Target (52)</w:t>
            </w:r>
          </w:p>
        </w:tc>
        <w:tc>
          <w:tcPr>
            <w:tcW w:w="397" w:type="dxa"/>
            <w:tcBorders>
              <w:left w:val="single" w:sz="4" w:space="0" w:color="auto"/>
              <w:right w:val="single" w:sz="4" w:space="0" w:color="auto"/>
            </w:tcBorders>
            <w:shd w:val="clear" w:color="auto" w:fill="D9D9D9" w:themeFill="background1" w:themeFillShade="D9"/>
          </w:tcPr>
          <w:p w14:paraId="5D7F2269" w14:textId="77777777" w:rsidR="001D1322" w:rsidRPr="005403DD" w:rsidRDefault="001D1322" w:rsidP="00C04DFB">
            <w:pPr>
              <w:spacing w:after="0"/>
              <w:rPr>
                <w:rFonts w:ascii="Corbel" w:hAnsi="Corbel" w:cstheme="minorHAnsi"/>
                <w:b/>
                <w:bCs/>
                <w:sz w:val="16"/>
                <w:szCs w:val="16"/>
                <w:lang w:val="en-US"/>
              </w:rPr>
            </w:pPr>
            <w:r w:rsidRPr="005403DD">
              <w:rPr>
                <w:rFonts w:ascii="Corbel" w:hAnsi="Corbel" w:cstheme="minorHAnsi"/>
                <w:b/>
                <w:bCs/>
                <w:sz w:val="16"/>
                <w:szCs w:val="16"/>
                <w:lang w:val="en-US"/>
              </w:rPr>
              <w:t>D</w:t>
            </w:r>
            <w:r w:rsidRPr="005403DD">
              <w:rPr>
                <w:rFonts w:ascii="Corbel" w:hAnsi="Corbel" w:cstheme="minorHAnsi"/>
                <w:b/>
                <w:bCs/>
                <w:sz w:val="16"/>
                <w:szCs w:val="16"/>
                <w:vertAlign w:val="superscript"/>
                <w:lang w:val="en-US"/>
              </w:rPr>
              <w:t>#</w:t>
            </w:r>
          </w:p>
        </w:tc>
        <w:tc>
          <w:tcPr>
            <w:tcW w:w="1100" w:type="dxa"/>
            <w:tcBorders>
              <w:left w:val="single" w:sz="4" w:space="0" w:color="auto"/>
            </w:tcBorders>
            <w:shd w:val="clear" w:color="auto" w:fill="D9D9D9" w:themeFill="background1" w:themeFillShade="D9"/>
            <w:noWrap/>
            <w:hideMark/>
          </w:tcPr>
          <w:p w14:paraId="7157F4DA" w14:textId="77777777" w:rsidR="001D1322" w:rsidRPr="005403DD" w:rsidRDefault="001D1322" w:rsidP="00C04DFB">
            <w:pPr>
              <w:spacing w:after="0"/>
              <w:rPr>
                <w:rFonts w:ascii="Corbel" w:hAnsi="Corbel" w:cstheme="minorHAnsi"/>
                <w:b/>
                <w:bCs/>
                <w:sz w:val="16"/>
                <w:szCs w:val="16"/>
                <w:lang w:val="en-US"/>
              </w:rPr>
            </w:pPr>
            <w:r w:rsidRPr="005403DD">
              <w:rPr>
                <w:rFonts w:ascii="Corbel" w:hAnsi="Corbel" w:cstheme="minorHAnsi"/>
                <w:b/>
                <w:bCs/>
                <w:sz w:val="16"/>
                <w:szCs w:val="16"/>
                <w:lang w:val="en-US"/>
              </w:rPr>
              <w:t>Indicators</w:t>
            </w:r>
          </w:p>
        </w:tc>
        <w:tc>
          <w:tcPr>
            <w:tcW w:w="3862" w:type="dxa"/>
            <w:tcBorders>
              <w:right w:val="single" w:sz="4" w:space="0" w:color="auto"/>
            </w:tcBorders>
            <w:shd w:val="clear" w:color="auto" w:fill="D9D9D9" w:themeFill="background1" w:themeFillShade="D9"/>
            <w:noWrap/>
            <w:hideMark/>
          </w:tcPr>
          <w:p w14:paraId="56593FD0" w14:textId="28105792" w:rsidR="001D1322" w:rsidRPr="005403DD" w:rsidRDefault="001D1322" w:rsidP="00C04DFB">
            <w:pPr>
              <w:spacing w:after="0"/>
              <w:rPr>
                <w:rFonts w:ascii="Corbel" w:hAnsi="Corbel" w:cstheme="minorHAnsi"/>
                <w:b/>
                <w:bCs/>
                <w:sz w:val="16"/>
                <w:szCs w:val="16"/>
                <w:lang w:val="en-US"/>
              </w:rPr>
            </w:pPr>
            <w:r w:rsidRPr="005403DD">
              <w:rPr>
                <w:rFonts w:ascii="Corbel" w:hAnsi="Corbel" w:cstheme="minorHAnsi"/>
                <w:b/>
                <w:bCs/>
                <w:sz w:val="16"/>
                <w:szCs w:val="16"/>
                <w:lang w:val="en-US"/>
              </w:rPr>
              <w:t xml:space="preserve">Indicator in </w:t>
            </w:r>
            <w:r w:rsidRPr="005403DD">
              <w:rPr>
                <w:rFonts w:ascii="Corbel" w:hAnsi="Corbel" w:cstheme="minorHAnsi"/>
                <w:b/>
                <w:bCs/>
                <w:i/>
                <w:sz w:val="16"/>
                <w:szCs w:val="16"/>
                <w:lang w:val="en-US"/>
              </w:rPr>
              <w:t>iSDG-</w:t>
            </w:r>
            <w:r w:rsidR="00352AF7">
              <w:rPr>
                <w:rFonts w:ascii="Corbel" w:hAnsi="Corbel" w:cstheme="minorHAnsi"/>
                <w:b/>
                <w:bCs/>
                <w:i/>
                <w:sz w:val="16"/>
                <w:szCs w:val="16"/>
                <w:lang w:val="en-US"/>
              </w:rPr>
              <w:t>Fiji</w:t>
            </w:r>
            <w:r w:rsidRPr="005403DD">
              <w:rPr>
                <w:rFonts w:ascii="Corbel" w:hAnsi="Corbel" w:cstheme="minorHAnsi"/>
                <w:b/>
                <w:bCs/>
                <w:sz w:val="16"/>
                <w:szCs w:val="16"/>
                <w:lang w:val="en-US"/>
              </w:rPr>
              <w:t xml:space="preserve"> (97)</w:t>
            </w:r>
          </w:p>
        </w:tc>
        <w:tc>
          <w:tcPr>
            <w:tcW w:w="1277" w:type="dxa"/>
            <w:tcBorders>
              <w:left w:val="single" w:sz="4" w:space="0" w:color="auto"/>
            </w:tcBorders>
            <w:shd w:val="clear" w:color="auto" w:fill="D9D9D9" w:themeFill="background1" w:themeFillShade="D9"/>
          </w:tcPr>
          <w:p w14:paraId="38F1E8B4" w14:textId="77777777" w:rsidR="001D1322" w:rsidRPr="00AB0BAD" w:rsidRDefault="001D1322" w:rsidP="00C04DFB">
            <w:pPr>
              <w:spacing w:after="0"/>
              <w:rPr>
                <w:rFonts w:ascii="Corbel" w:hAnsi="Corbel" w:cstheme="minorHAnsi"/>
                <w:b/>
                <w:bCs/>
                <w:sz w:val="16"/>
                <w:szCs w:val="16"/>
                <w:lang w:val="en-US"/>
              </w:rPr>
            </w:pPr>
            <w:r w:rsidRPr="00AB0BAD">
              <w:rPr>
                <w:rFonts w:ascii="Corbel" w:hAnsi="Corbel" w:cstheme="minorHAnsi"/>
                <w:b/>
                <w:bCs/>
                <w:sz w:val="16"/>
                <w:szCs w:val="16"/>
                <w:lang w:val="en-US"/>
              </w:rPr>
              <w:t>Baseline Value (2015)</w:t>
            </w:r>
          </w:p>
        </w:tc>
        <w:tc>
          <w:tcPr>
            <w:tcW w:w="992" w:type="dxa"/>
            <w:shd w:val="clear" w:color="auto" w:fill="D9D9D9" w:themeFill="background1" w:themeFillShade="D9"/>
            <w:noWrap/>
            <w:hideMark/>
          </w:tcPr>
          <w:p w14:paraId="33790893" w14:textId="77777777" w:rsidR="001D1322" w:rsidRPr="00AB0BAD" w:rsidRDefault="001D1322" w:rsidP="00C04DFB">
            <w:pPr>
              <w:spacing w:after="0"/>
              <w:rPr>
                <w:rFonts w:ascii="Corbel" w:hAnsi="Corbel" w:cstheme="minorHAnsi"/>
                <w:b/>
                <w:bCs/>
                <w:sz w:val="16"/>
                <w:szCs w:val="16"/>
                <w:lang w:val="en-US"/>
              </w:rPr>
            </w:pPr>
            <w:r w:rsidRPr="00AB0BAD">
              <w:rPr>
                <w:rFonts w:ascii="Corbel" w:hAnsi="Corbel" w:cstheme="minorHAnsi"/>
                <w:b/>
                <w:bCs/>
                <w:sz w:val="16"/>
                <w:szCs w:val="16"/>
                <w:lang w:val="en-US"/>
              </w:rPr>
              <w:t>Target value 2030</w:t>
            </w:r>
          </w:p>
        </w:tc>
        <w:tc>
          <w:tcPr>
            <w:tcW w:w="567" w:type="dxa"/>
            <w:shd w:val="clear" w:color="auto" w:fill="D9D9D9" w:themeFill="background1" w:themeFillShade="D9"/>
          </w:tcPr>
          <w:p w14:paraId="454AB84F" w14:textId="77777777" w:rsidR="001D1322" w:rsidRPr="005403DD" w:rsidRDefault="001D1322" w:rsidP="00C04DFB">
            <w:pPr>
              <w:spacing w:after="0"/>
              <w:rPr>
                <w:rFonts w:ascii="Corbel" w:hAnsi="Corbel" w:cstheme="minorHAnsi"/>
                <w:b/>
                <w:bCs/>
                <w:sz w:val="16"/>
                <w:szCs w:val="16"/>
                <w:lang w:val="en-US"/>
              </w:rPr>
            </w:pPr>
            <w:r w:rsidRPr="005403DD">
              <w:rPr>
                <w:rFonts w:ascii="Corbel" w:hAnsi="Corbel" w:cstheme="minorHAnsi"/>
                <w:b/>
                <w:bCs/>
                <w:sz w:val="16"/>
                <w:szCs w:val="16"/>
                <w:lang w:val="en-US"/>
              </w:rPr>
              <w:t>Type</w:t>
            </w:r>
          </w:p>
        </w:tc>
        <w:tc>
          <w:tcPr>
            <w:tcW w:w="2693" w:type="dxa"/>
            <w:shd w:val="clear" w:color="auto" w:fill="D9D9D9" w:themeFill="background1" w:themeFillShade="D9"/>
          </w:tcPr>
          <w:p w14:paraId="5E8D7E6C" w14:textId="77777777" w:rsidR="001D1322" w:rsidRPr="005403DD" w:rsidRDefault="001D1322" w:rsidP="00C04DFB">
            <w:pPr>
              <w:spacing w:after="0"/>
              <w:jc w:val="center"/>
              <w:rPr>
                <w:rFonts w:ascii="Corbel" w:hAnsi="Corbel" w:cstheme="minorHAnsi"/>
                <w:b/>
                <w:bCs/>
                <w:sz w:val="16"/>
                <w:szCs w:val="16"/>
                <w:lang w:val="en-US"/>
              </w:rPr>
            </w:pPr>
            <w:r w:rsidRPr="005403DD">
              <w:rPr>
                <w:rFonts w:ascii="Corbel" w:hAnsi="Corbel" w:cstheme="minorHAnsi"/>
                <w:b/>
                <w:bCs/>
                <w:sz w:val="16"/>
                <w:szCs w:val="16"/>
                <w:lang w:val="en-US"/>
              </w:rPr>
              <w:t>Target source</w:t>
            </w:r>
          </w:p>
        </w:tc>
      </w:tr>
      <w:tr w:rsidR="005403DD" w:rsidRPr="005403DD" w14:paraId="416F03FC" w14:textId="77777777" w:rsidTr="00C04DFB">
        <w:trPr>
          <w:trHeight w:val="300"/>
        </w:trPr>
        <w:tc>
          <w:tcPr>
            <w:tcW w:w="510" w:type="dxa"/>
            <w:shd w:val="clear" w:color="auto" w:fill="FFFFFF" w:themeFill="background1"/>
          </w:tcPr>
          <w:p w14:paraId="7A96CBF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w:t>
            </w:r>
          </w:p>
        </w:tc>
        <w:tc>
          <w:tcPr>
            <w:tcW w:w="4195" w:type="dxa"/>
            <w:tcBorders>
              <w:right w:val="single" w:sz="4" w:space="0" w:color="auto"/>
            </w:tcBorders>
            <w:shd w:val="clear" w:color="auto" w:fill="auto"/>
          </w:tcPr>
          <w:p w14:paraId="061C6B1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1.1 By 2030, eradicate extreme poverty for all people everywhere</w:t>
            </w:r>
          </w:p>
        </w:tc>
        <w:tc>
          <w:tcPr>
            <w:tcW w:w="397" w:type="dxa"/>
            <w:tcBorders>
              <w:left w:val="single" w:sz="4" w:space="0" w:color="auto"/>
              <w:right w:val="single" w:sz="4" w:space="0" w:color="auto"/>
            </w:tcBorders>
            <w:shd w:val="clear" w:color="auto" w:fill="FFFFFF" w:themeFill="background1"/>
          </w:tcPr>
          <w:p w14:paraId="0B447A5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tcPr>
          <w:p w14:paraId="5D17200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1.1.1</w:t>
            </w:r>
          </w:p>
        </w:tc>
        <w:tc>
          <w:tcPr>
            <w:tcW w:w="3862" w:type="dxa"/>
            <w:tcBorders>
              <w:right w:val="single" w:sz="4" w:space="0" w:color="auto"/>
            </w:tcBorders>
            <w:shd w:val="clear" w:color="auto" w:fill="FFFFFF" w:themeFill="background1"/>
            <w:noWrap/>
          </w:tcPr>
          <w:p w14:paraId="5B35332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1.1.1 Proportion of population below the international poverty line (% population)</w:t>
            </w:r>
          </w:p>
        </w:tc>
        <w:tc>
          <w:tcPr>
            <w:tcW w:w="1277" w:type="dxa"/>
            <w:tcBorders>
              <w:left w:val="single" w:sz="4" w:space="0" w:color="auto"/>
            </w:tcBorders>
            <w:shd w:val="clear" w:color="auto" w:fill="FFFFFF" w:themeFill="background1"/>
          </w:tcPr>
          <w:p w14:paraId="22F8C50D" w14:textId="09C08E98"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w:t>
            </w:r>
            <w:r w:rsidR="001C2E45" w:rsidRPr="00AB0BAD">
              <w:rPr>
                <w:rFonts w:ascii="Corbel" w:hAnsi="Corbel" w:cstheme="minorHAnsi"/>
                <w:sz w:val="16"/>
                <w:szCs w:val="16"/>
                <w:lang w:val="en-US"/>
              </w:rPr>
              <w:t>2</w:t>
            </w:r>
          </w:p>
        </w:tc>
        <w:tc>
          <w:tcPr>
            <w:tcW w:w="992" w:type="dxa"/>
            <w:shd w:val="clear" w:color="auto" w:fill="D9D9D9" w:themeFill="background1" w:themeFillShade="D9"/>
            <w:noWrap/>
          </w:tcPr>
          <w:p w14:paraId="3CAC41B0"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0.02</w:t>
            </w:r>
          </w:p>
        </w:tc>
        <w:tc>
          <w:tcPr>
            <w:tcW w:w="567" w:type="dxa"/>
            <w:shd w:val="clear" w:color="auto" w:fill="FFFFFF" w:themeFill="background1"/>
          </w:tcPr>
          <w:p w14:paraId="3760DF1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1A5B739D" w14:textId="03675FB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1.1 is to eliminate – interpreted as </w:t>
            </w:r>
            <w:r w:rsidR="00561649">
              <w:rPr>
                <w:rFonts w:ascii="Corbel" w:hAnsi="Corbel" w:cstheme="minorHAnsi"/>
                <w:sz w:val="16"/>
                <w:szCs w:val="16"/>
                <w:lang w:val="en-US"/>
              </w:rPr>
              <w:t>=</w:t>
            </w:r>
            <w:r w:rsidRPr="005403DD">
              <w:rPr>
                <w:rFonts w:ascii="Corbel" w:hAnsi="Corbel" w:cstheme="minorHAnsi"/>
                <w:sz w:val="16"/>
                <w:szCs w:val="16"/>
                <w:lang w:val="en-US"/>
              </w:rPr>
              <w:t xml:space="preserve">&lt;2%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5403DD" w:rsidRPr="005403DD" w14:paraId="2A00BBC5" w14:textId="77777777" w:rsidTr="00C04DFB">
        <w:trPr>
          <w:trHeight w:val="300"/>
        </w:trPr>
        <w:tc>
          <w:tcPr>
            <w:tcW w:w="510" w:type="dxa"/>
            <w:shd w:val="clear" w:color="auto" w:fill="FFFFFF" w:themeFill="background1"/>
          </w:tcPr>
          <w:p w14:paraId="5AF8ABFE"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10EB1A2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1.2 By 2030, reduce at least by half the proportion of men, women and children of all ages living in poverty in all its dimensions according to national definitions</w:t>
            </w:r>
          </w:p>
        </w:tc>
        <w:tc>
          <w:tcPr>
            <w:tcW w:w="397" w:type="dxa"/>
            <w:tcBorders>
              <w:left w:val="single" w:sz="4" w:space="0" w:color="auto"/>
              <w:right w:val="single" w:sz="4" w:space="0" w:color="auto"/>
            </w:tcBorders>
            <w:shd w:val="clear" w:color="auto" w:fill="FFFFFF" w:themeFill="background1"/>
          </w:tcPr>
          <w:p w14:paraId="2655F1D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tcPr>
          <w:p w14:paraId="4A2C02D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1.2.1</w:t>
            </w:r>
          </w:p>
        </w:tc>
        <w:tc>
          <w:tcPr>
            <w:tcW w:w="3862" w:type="dxa"/>
            <w:tcBorders>
              <w:right w:val="single" w:sz="4" w:space="0" w:color="auto"/>
            </w:tcBorders>
            <w:shd w:val="clear" w:color="auto" w:fill="FFFFFF" w:themeFill="background1"/>
            <w:noWrap/>
          </w:tcPr>
          <w:p w14:paraId="15752F3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Proportion of population below national poverty line (% population)</w:t>
            </w:r>
          </w:p>
        </w:tc>
        <w:tc>
          <w:tcPr>
            <w:tcW w:w="1277" w:type="dxa"/>
            <w:tcBorders>
              <w:left w:val="single" w:sz="4" w:space="0" w:color="auto"/>
            </w:tcBorders>
            <w:shd w:val="clear" w:color="auto" w:fill="FFFFFF" w:themeFill="background1"/>
          </w:tcPr>
          <w:p w14:paraId="4BA06323" w14:textId="4312849D"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0.35</w:t>
            </w:r>
          </w:p>
        </w:tc>
        <w:tc>
          <w:tcPr>
            <w:tcW w:w="992" w:type="dxa"/>
            <w:shd w:val="clear" w:color="auto" w:fill="D9D9D9" w:themeFill="background1" w:themeFillShade="D9"/>
            <w:noWrap/>
          </w:tcPr>
          <w:p w14:paraId="6308049D"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0.175</w:t>
            </w:r>
          </w:p>
        </w:tc>
        <w:tc>
          <w:tcPr>
            <w:tcW w:w="567" w:type="dxa"/>
            <w:shd w:val="clear" w:color="auto" w:fill="FFFFFF" w:themeFill="background1"/>
          </w:tcPr>
          <w:p w14:paraId="45A5DF2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076E3555" w14:textId="0C0B59F8"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1.2 is to halve baseline value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5403DD" w:rsidRPr="005403DD" w14:paraId="73FB43D3" w14:textId="77777777" w:rsidTr="00C04DFB">
        <w:trPr>
          <w:trHeight w:val="300"/>
        </w:trPr>
        <w:tc>
          <w:tcPr>
            <w:tcW w:w="510" w:type="dxa"/>
            <w:shd w:val="clear" w:color="auto" w:fill="FFFFFF" w:themeFill="background1"/>
          </w:tcPr>
          <w:p w14:paraId="79304FC0"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D707B2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1.4 By 2030, ensure that all men and women, in particular the poor and the vulnerable, have equal rights to economic resources, as well as access to basic services…</w:t>
            </w:r>
          </w:p>
        </w:tc>
        <w:tc>
          <w:tcPr>
            <w:tcW w:w="397" w:type="dxa"/>
            <w:tcBorders>
              <w:left w:val="single" w:sz="4" w:space="0" w:color="auto"/>
              <w:right w:val="single" w:sz="4" w:space="0" w:color="auto"/>
            </w:tcBorders>
            <w:shd w:val="clear" w:color="auto" w:fill="FFFFFF" w:themeFill="background1"/>
          </w:tcPr>
          <w:p w14:paraId="6F30568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2C75A74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1.4.1</w:t>
            </w:r>
          </w:p>
        </w:tc>
        <w:tc>
          <w:tcPr>
            <w:tcW w:w="3862" w:type="dxa"/>
            <w:tcBorders>
              <w:right w:val="single" w:sz="4" w:space="0" w:color="auto"/>
            </w:tcBorders>
            <w:shd w:val="clear" w:color="auto" w:fill="FFFFFF" w:themeFill="background1"/>
            <w:noWrap/>
            <w:hideMark/>
          </w:tcPr>
          <w:p w14:paraId="389F4E66"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Average access to basic health care (% population)</w:t>
            </w:r>
          </w:p>
        </w:tc>
        <w:tc>
          <w:tcPr>
            <w:tcW w:w="1277" w:type="dxa"/>
            <w:tcBorders>
              <w:left w:val="single" w:sz="4" w:space="0" w:color="auto"/>
            </w:tcBorders>
            <w:shd w:val="clear" w:color="auto" w:fill="FFFFFF" w:themeFill="background1"/>
          </w:tcPr>
          <w:p w14:paraId="528F5F58" w14:textId="571A762C" w:rsidR="001D1322" w:rsidRPr="00AB0BAD" w:rsidRDefault="00050896" w:rsidP="00C04DFB">
            <w:pPr>
              <w:spacing w:after="0"/>
              <w:rPr>
                <w:rFonts w:ascii="Corbel" w:hAnsi="Corbel" w:cstheme="minorHAnsi"/>
                <w:sz w:val="16"/>
                <w:szCs w:val="16"/>
                <w:lang w:val="en-US"/>
              </w:rPr>
            </w:pPr>
            <w:r w:rsidRPr="00AB0BAD">
              <w:rPr>
                <w:rFonts w:ascii="Corbel" w:hAnsi="Corbel" w:cstheme="minorHAnsi"/>
                <w:sz w:val="16"/>
                <w:szCs w:val="16"/>
                <w:lang w:val="en-US"/>
              </w:rPr>
              <w:t>0.99</w:t>
            </w:r>
          </w:p>
        </w:tc>
        <w:tc>
          <w:tcPr>
            <w:tcW w:w="992" w:type="dxa"/>
            <w:shd w:val="clear" w:color="auto" w:fill="D9D9D9" w:themeFill="background1" w:themeFillShade="D9"/>
            <w:noWrap/>
            <w:hideMark/>
          </w:tcPr>
          <w:p w14:paraId="614986F6" w14:textId="3ED8F1C6" w:rsidR="001D1322" w:rsidRPr="00AB0BAD" w:rsidRDefault="00050896" w:rsidP="00C04DFB">
            <w:pPr>
              <w:spacing w:after="0"/>
              <w:rPr>
                <w:rFonts w:ascii="Corbel" w:hAnsi="Corbel" w:cstheme="minorHAnsi"/>
                <w:sz w:val="16"/>
                <w:szCs w:val="16"/>
                <w:lang w:val="en-US"/>
              </w:rPr>
            </w:pPr>
            <w:r w:rsidRPr="00AB0BAD">
              <w:rPr>
                <w:rFonts w:ascii="Corbel" w:hAnsi="Corbel" w:cstheme="minorHAnsi"/>
                <w:sz w:val="16"/>
                <w:szCs w:val="16"/>
                <w:lang w:val="en-US"/>
              </w:rPr>
              <w:t>0.99</w:t>
            </w:r>
          </w:p>
        </w:tc>
        <w:tc>
          <w:tcPr>
            <w:tcW w:w="567" w:type="dxa"/>
            <w:shd w:val="clear" w:color="auto" w:fill="FFFFFF" w:themeFill="background1"/>
          </w:tcPr>
          <w:p w14:paraId="5CCB7CF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Ab</w:t>
            </w:r>
          </w:p>
        </w:tc>
        <w:tc>
          <w:tcPr>
            <w:tcW w:w="2693" w:type="dxa"/>
            <w:shd w:val="clear" w:color="auto" w:fill="FFFFFF" w:themeFill="background1"/>
          </w:tcPr>
          <w:p w14:paraId="0585AAEF"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1.4 already achieved for Fiji.  Maintain performance.</w:t>
            </w:r>
          </w:p>
        </w:tc>
      </w:tr>
      <w:tr w:rsidR="005403DD" w:rsidRPr="005403DD" w14:paraId="45E783F6" w14:textId="77777777" w:rsidTr="00C04DFB">
        <w:trPr>
          <w:trHeight w:val="300"/>
        </w:trPr>
        <w:tc>
          <w:tcPr>
            <w:tcW w:w="510" w:type="dxa"/>
            <w:shd w:val="clear" w:color="auto" w:fill="FFFFFF" w:themeFill="background1"/>
          </w:tcPr>
          <w:p w14:paraId="0965EDEA"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2664F20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1.5 By 2030, build the resilience of the poor and those in vulnerable situations and reduce their exposure and vulnerability to climate-related extreme events and other economic, social and environmental shocks and disasters</w:t>
            </w:r>
          </w:p>
        </w:tc>
        <w:tc>
          <w:tcPr>
            <w:tcW w:w="397" w:type="dxa"/>
            <w:tcBorders>
              <w:left w:val="single" w:sz="4" w:space="0" w:color="auto"/>
              <w:right w:val="single" w:sz="4" w:space="0" w:color="auto"/>
            </w:tcBorders>
            <w:shd w:val="clear" w:color="auto" w:fill="FFFFFF" w:themeFill="background1"/>
          </w:tcPr>
          <w:p w14:paraId="09A54C4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256C554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1.5.1a</w:t>
            </w:r>
          </w:p>
        </w:tc>
        <w:tc>
          <w:tcPr>
            <w:tcW w:w="3862" w:type="dxa"/>
            <w:tcBorders>
              <w:right w:val="single" w:sz="4" w:space="0" w:color="auto"/>
            </w:tcBorders>
            <w:shd w:val="clear" w:color="auto" w:fill="FFFFFF" w:themeFill="background1"/>
            <w:noWrap/>
            <w:hideMark/>
          </w:tcPr>
          <w:p w14:paraId="4810469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 xml:space="preserve">Mortality due to disasters 5-year average (% population) </w:t>
            </w:r>
          </w:p>
        </w:tc>
        <w:tc>
          <w:tcPr>
            <w:tcW w:w="1277" w:type="dxa"/>
            <w:tcBorders>
              <w:left w:val="single" w:sz="4" w:space="0" w:color="auto"/>
            </w:tcBorders>
            <w:shd w:val="clear" w:color="auto" w:fill="FFFFFF" w:themeFill="background1"/>
          </w:tcPr>
          <w:p w14:paraId="3370880A"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0.0000094</w:t>
            </w:r>
          </w:p>
        </w:tc>
        <w:tc>
          <w:tcPr>
            <w:tcW w:w="992" w:type="dxa"/>
            <w:shd w:val="clear" w:color="auto" w:fill="D9D9D9" w:themeFill="background1" w:themeFillShade="D9"/>
            <w:noWrap/>
          </w:tcPr>
          <w:p w14:paraId="7F1FAD2A"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0.0000047</w:t>
            </w:r>
          </w:p>
        </w:tc>
        <w:tc>
          <w:tcPr>
            <w:tcW w:w="567" w:type="dxa"/>
            <w:shd w:val="clear" w:color="auto" w:fill="FFFFFF" w:themeFill="background1"/>
          </w:tcPr>
          <w:p w14:paraId="7D4313A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1156B196"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Sendai Framework DRR targets for 2030 are to ‘substantially reduce’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Nations&lt;/Author&gt;&lt;Year&gt;2015&lt;/Year&gt;&lt;RecNum&gt;1060&lt;/RecNum&gt;&lt;DisplayText&gt;(United Nations, 2015)&lt;/DisplayText&gt;&lt;record&gt;&lt;rec-number&gt;1060&lt;/rec-number&gt;&lt;foreign-keys&gt;&lt;key app="EN" db-id="9vsrvaat7fadwtesfsrpw5w5t0x5v500ef25" timestamp="1565158494"&gt;1060&lt;/key&gt;&lt;/foreign-keys&gt;&lt;ref-type name="Generic"&gt;13&lt;/ref-type&gt;&lt;contributors&gt;&lt;authors&gt;&lt;author&gt;United Nations,&lt;/author&gt;&lt;/authors&gt;&lt;/contributors&gt;&lt;titles&gt;&lt;title&gt;Sendai Framework for Disaster Risk Reduction 2015-2030&lt;/title&gt;&lt;/titles&gt;&lt;dates&gt;&lt;year&gt;2015&lt;/year&gt;&lt;/dates&gt;&lt;pub-location&gt;New York&lt;/pub-location&gt;&lt;publisher&gt;United Nations Office for Disaster Risk Reduction&lt;/publisher&gt;&lt;urls&gt;&lt;related-urls&gt;&lt;url&gt;https://www.unisdr.org/we/inform/publications/43291&lt;/url&gt;&lt;/related-urls&gt;&lt;/urls&gt;&lt;/record&gt;&lt;/Cite&gt;&lt;/EndNote&gt;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50% improvement on baseline value.</w:t>
            </w:r>
          </w:p>
        </w:tc>
      </w:tr>
      <w:tr w:rsidR="005403DD" w:rsidRPr="005403DD" w14:paraId="6D9FDB4A" w14:textId="77777777" w:rsidTr="00C04DFB">
        <w:trPr>
          <w:trHeight w:val="300"/>
        </w:trPr>
        <w:tc>
          <w:tcPr>
            <w:tcW w:w="510" w:type="dxa"/>
            <w:shd w:val="clear" w:color="auto" w:fill="FFFFFF" w:themeFill="background1"/>
          </w:tcPr>
          <w:p w14:paraId="5DBE3E3F"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666D478" w14:textId="77777777" w:rsidR="001D1322" w:rsidRPr="005403DD" w:rsidRDefault="001D1322" w:rsidP="00C04DFB">
            <w:pPr>
              <w:spacing w:after="0"/>
              <w:rPr>
                <w:rFonts w:ascii="Corbel" w:hAnsi="Corbel" w:cstheme="minorHAnsi"/>
                <w:sz w:val="16"/>
                <w:szCs w:val="16"/>
                <w:lang w:val="en-US"/>
              </w:rPr>
            </w:pPr>
          </w:p>
        </w:tc>
        <w:tc>
          <w:tcPr>
            <w:tcW w:w="397" w:type="dxa"/>
            <w:tcBorders>
              <w:left w:val="single" w:sz="4" w:space="0" w:color="auto"/>
              <w:right w:val="single" w:sz="4" w:space="0" w:color="auto"/>
            </w:tcBorders>
            <w:shd w:val="clear" w:color="auto" w:fill="FFFFFF" w:themeFill="background1"/>
          </w:tcPr>
          <w:p w14:paraId="11F1FAC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tcPr>
          <w:p w14:paraId="0B2E6F7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1.5.1b</w:t>
            </w:r>
          </w:p>
        </w:tc>
        <w:tc>
          <w:tcPr>
            <w:tcW w:w="3862" w:type="dxa"/>
            <w:tcBorders>
              <w:right w:val="single" w:sz="4" w:space="0" w:color="auto"/>
            </w:tcBorders>
            <w:shd w:val="clear" w:color="auto" w:fill="FFFFFF" w:themeFill="background1"/>
            <w:noWrap/>
          </w:tcPr>
          <w:p w14:paraId="0F76496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Population affected by disasters 5-year average (% population)</w:t>
            </w:r>
          </w:p>
        </w:tc>
        <w:tc>
          <w:tcPr>
            <w:tcW w:w="1277" w:type="dxa"/>
            <w:tcBorders>
              <w:left w:val="single" w:sz="4" w:space="0" w:color="auto"/>
            </w:tcBorders>
            <w:shd w:val="clear" w:color="auto" w:fill="FFFFFF" w:themeFill="background1"/>
          </w:tcPr>
          <w:p w14:paraId="47E99D00"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0.039</w:t>
            </w:r>
          </w:p>
        </w:tc>
        <w:tc>
          <w:tcPr>
            <w:tcW w:w="992" w:type="dxa"/>
            <w:shd w:val="clear" w:color="auto" w:fill="D9D9D9" w:themeFill="background1" w:themeFillShade="D9"/>
            <w:noWrap/>
          </w:tcPr>
          <w:p w14:paraId="6838DA85"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0.02</w:t>
            </w:r>
          </w:p>
        </w:tc>
        <w:tc>
          <w:tcPr>
            <w:tcW w:w="567" w:type="dxa"/>
            <w:shd w:val="clear" w:color="auto" w:fill="FFFFFF" w:themeFill="background1"/>
          </w:tcPr>
          <w:p w14:paraId="6824122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4AD878D2"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Sendai Framework DRR targets for 2030 are to ‘substantially reduce’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Nations&lt;/Author&gt;&lt;Year&gt;2015&lt;/Year&gt;&lt;RecNum&gt;1060&lt;/RecNum&gt;&lt;DisplayText&gt;(United Nations, 2015)&lt;/DisplayText&gt;&lt;record&gt;&lt;rec-number&gt;1060&lt;/rec-number&gt;&lt;foreign-keys&gt;&lt;key app="EN" db-id="9vsrvaat7fadwtesfsrpw5w5t0x5v500ef25" timestamp="1565158494"&gt;1060&lt;/key&gt;&lt;/foreign-keys&gt;&lt;ref-type name="Generic"&gt;13&lt;/ref-type&gt;&lt;contributors&gt;&lt;authors&gt;&lt;author&gt;United Nations,&lt;/author&gt;&lt;/authors&gt;&lt;/contributors&gt;&lt;titles&gt;&lt;title&gt;Sendai Framework for Disaster Risk Reduction 2015-2030&lt;/title&gt;&lt;/titles&gt;&lt;dates&gt;&lt;year&gt;2015&lt;/year&gt;&lt;/dates&gt;&lt;pub-location&gt;New York&lt;/pub-location&gt;&lt;publisher&gt;United Nations Office for Disaster Risk Reduction&lt;/publisher&gt;&lt;urls&gt;&lt;related-urls&gt;&lt;url&gt;https://www.unisdr.org/we/inform/publications/43291&lt;/url&gt;&lt;/related-urls&gt;&lt;/urls&gt;&lt;/record&gt;&lt;/Cite&gt;&lt;/EndNote&gt;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50% improvement on baseline value.</w:t>
            </w:r>
          </w:p>
        </w:tc>
      </w:tr>
      <w:tr w:rsidR="005403DD" w:rsidRPr="005403DD" w14:paraId="2C76CAD8" w14:textId="77777777" w:rsidTr="00C04DFB">
        <w:trPr>
          <w:trHeight w:val="300"/>
        </w:trPr>
        <w:tc>
          <w:tcPr>
            <w:tcW w:w="510" w:type="dxa"/>
            <w:shd w:val="clear" w:color="auto" w:fill="FFFFFF" w:themeFill="background1"/>
          </w:tcPr>
          <w:p w14:paraId="28AC9F45"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FFFFFF" w:themeFill="background1"/>
          </w:tcPr>
          <w:p w14:paraId="0166D77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1.5</w:t>
            </w:r>
          </w:p>
        </w:tc>
        <w:tc>
          <w:tcPr>
            <w:tcW w:w="397" w:type="dxa"/>
            <w:tcBorders>
              <w:left w:val="single" w:sz="4" w:space="0" w:color="auto"/>
              <w:right w:val="single" w:sz="4" w:space="0" w:color="auto"/>
            </w:tcBorders>
            <w:shd w:val="clear" w:color="auto" w:fill="FFFFFF" w:themeFill="background1"/>
          </w:tcPr>
          <w:p w14:paraId="61638E1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434F279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1.5.2</w:t>
            </w:r>
          </w:p>
        </w:tc>
        <w:tc>
          <w:tcPr>
            <w:tcW w:w="3862" w:type="dxa"/>
            <w:tcBorders>
              <w:right w:val="single" w:sz="4" w:space="0" w:color="auto"/>
            </w:tcBorders>
            <w:shd w:val="clear" w:color="auto" w:fill="FFFFFF" w:themeFill="background1"/>
            <w:noWrap/>
            <w:hideMark/>
          </w:tcPr>
          <w:p w14:paraId="4EAE3D8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Economic damage due to natural disasters as share of GDP five-year average (% GDP)</w:t>
            </w:r>
          </w:p>
        </w:tc>
        <w:tc>
          <w:tcPr>
            <w:tcW w:w="1277" w:type="dxa"/>
            <w:tcBorders>
              <w:left w:val="single" w:sz="4" w:space="0" w:color="auto"/>
            </w:tcBorders>
            <w:shd w:val="clear" w:color="auto" w:fill="FFFFFF" w:themeFill="background1"/>
          </w:tcPr>
          <w:p w14:paraId="0D7BE31A"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0.0087</w:t>
            </w:r>
          </w:p>
        </w:tc>
        <w:tc>
          <w:tcPr>
            <w:tcW w:w="992" w:type="dxa"/>
            <w:shd w:val="clear" w:color="auto" w:fill="D9D9D9" w:themeFill="background1" w:themeFillShade="D9"/>
            <w:noWrap/>
            <w:hideMark/>
          </w:tcPr>
          <w:p w14:paraId="64C41B9C"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0.0044</w:t>
            </w:r>
          </w:p>
        </w:tc>
        <w:tc>
          <w:tcPr>
            <w:tcW w:w="567" w:type="dxa"/>
            <w:shd w:val="clear" w:color="auto" w:fill="FFFFFF" w:themeFill="background1"/>
          </w:tcPr>
          <w:p w14:paraId="52640E3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6382D01D"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Sendai Framework DRR targets are to ‘substantially reduce’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Nations&lt;/Author&gt;&lt;Year&gt;2015&lt;/Year&gt;&lt;RecNum&gt;1060&lt;/RecNum&gt;&lt;DisplayText&gt;(United Nations, 2015)&lt;/DisplayText&gt;&lt;record&gt;&lt;rec-number&gt;1060&lt;/rec-number&gt;&lt;foreign-keys&gt;&lt;key app="EN" db-id="9vsrvaat7fadwtesfsrpw5w5t0x5v500ef25" timestamp="1565158494"&gt;1060&lt;/key&gt;&lt;/foreign-keys&gt;&lt;ref-type name="Generic"&gt;13&lt;/ref-type&gt;&lt;contributors&gt;&lt;authors&gt;&lt;author&gt;United Nations,&lt;/author&gt;&lt;/authors&gt;&lt;/contributors&gt;&lt;titles&gt;&lt;title&gt;Sendai Framework for Disaster Risk Reduction 2015-2030&lt;/title&gt;&lt;/titles&gt;&lt;dates&gt;&lt;year&gt;2015&lt;/year&gt;&lt;/dates&gt;&lt;pub-location&gt;New York&lt;/pub-location&gt;&lt;publisher&gt;United Nations Office for Disaster Risk Reduction&lt;/publisher&gt;&lt;urls&gt;&lt;related-urls&gt;&lt;url&gt;https://www.unisdr.org/we/inform/publications/43291&lt;/url&gt;&lt;/related-urls&gt;&lt;/urls&gt;&lt;/record&gt;&lt;/Cite&gt;&lt;/EndNote&gt;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50% improvement on baseline value.</w:t>
            </w:r>
          </w:p>
        </w:tc>
      </w:tr>
      <w:tr w:rsidR="005403DD" w:rsidRPr="005403DD" w14:paraId="25992E10" w14:textId="77777777" w:rsidTr="00C04DFB">
        <w:trPr>
          <w:trHeight w:val="54"/>
        </w:trPr>
        <w:tc>
          <w:tcPr>
            <w:tcW w:w="510" w:type="dxa"/>
            <w:shd w:val="clear" w:color="auto" w:fill="D9D9D9" w:themeFill="background1" w:themeFillShade="D9"/>
          </w:tcPr>
          <w:p w14:paraId="64507FEE"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7F48C7E4"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26296E64"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1E7CAFD9"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3072D02E"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3FA93EF7"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5AE163CB"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13BE4953"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060FC22F"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0EDB3C8F" w14:textId="77777777" w:rsidTr="00C04DFB">
        <w:trPr>
          <w:trHeight w:val="300"/>
        </w:trPr>
        <w:tc>
          <w:tcPr>
            <w:tcW w:w="510" w:type="dxa"/>
            <w:shd w:val="clear" w:color="auto" w:fill="FFFFFF" w:themeFill="background1"/>
          </w:tcPr>
          <w:p w14:paraId="0088DD0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w:t>
            </w:r>
          </w:p>
        </w:tc>
        <w:tc>
          <w:tcPr>
            <w:tcW w:w="4195" w:type="dxa"/>
            <w:tcBorders>
              <w:right w:val="single" w:sz="4" w:space="0" w:color="auto"/>
            </w:tcBorders>
            <w:shd w:val="clear" w:color="auto" w:fill="auto"/>
          </w:tcPr>
          <w:p w14:paraId="1D9323E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2.1 By 2030, end hunger and ensure access by all people, in particular the poor and people in vulnerable situations, including infants, to safe, nutritious and sufficient food all year round</w:t>
            </w:r>
          </w:p>
        </w:tc>
        <w:tc>
          <w:tcPr>
            <w:tcW w:w="397" w:type="dxa"/>
            <w:tcBorders>
              <w:left w:val="single" w:sz="4" w:space="0" w:color="auto"/>
              <w:right w:val="single" w:sz="4" w:space="0" w:color="auto"/>
            </w:tcBorders>
            <w:shd w:val="clear" w:color="auto" w:fill="FFFFFF" w:themeFill="background1"/>
          </w:tcPr>
          <w:p w14:paraId="30D4A1F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685678A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2.1.1</w:t>
            </w:r>
          </w:p>
        </w:tc>
        <w:tc>
          <w:tcPr>
            <w:tcW w:w="3862" w:type="dxa"/>
            <w:tcBorders>
              <w:right w:val="single" w:sz="4" w:space="0" w:color="auto"/>
            </w:tcBorders>
            <w:shd w:val="clear" w:color="auto" w:fill="FFFFFF" w:themeFill="background1"/>
            <w:noWrap/>
            <w:hideMark/>
          </w:tcPr>
          <w:p w14:paraId="585F80C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Prevalence of undernourishment</w:t>
            </w:r>
          </w:p>
        </w:tc>
        <w:tc>
          <w:tcPr>
            <w:tcW w:w="1277" w:type="dxa"/>
            <w:tcBorders>
              <w:left w:val="single" w:sz="4" w:space="0" w:color="auto"/>
            </w:tcBorders>
            <w:shd w:val="clear" w:color="auto" w:fill="FFFFFF" w:themeFill="background1"/>
          </w:tcPr>
          <w:p w14:paraId="62DC8692"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0.01</w:t>
            </w:r>
          </w:p>
        </w:tc>
        <w:tc>
          <w:tcPr>
            <w:tcW w:w="992" w:type="dxa"/>
            <w:shd w:val="clear" w:color="auto" w:fill="D9D9D9" w:themeFill="background1" w:themeFillShade="D9"/>
            <w:noWrap/>
            <w:hideMark/>
          </w:tcPr>
          <w:p w14:paraId="412369ED"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0.01</w:t>
            </w:r>
          </w:p>
          <w:p w14:paraId="06A38F9A" w14:textId="77777777" w:rsidR="001D1322" w:rsidRPr="00AB0BAD" w:rsidRDefault="001D1322" w:rsidP="00C04DFB">
            <w:pPr>
              <w:spacing w:after="0"/>
              <w:rPr>
                <w:rFonts w:ascii="Corbel" w:hAnsi="Corbel" w:cstheme="minorHAnsi"/>
                <w:sz w:val="16"/>
                <w:szCs w:val="16"/>
                <w:lang w:val="en-US"/>
              </w:rPr>
            </w:pPr>
          </w:p>
        </w:tc>
        <w:tc>
          <w:tcPr>
            <w:tcW w:w="567" w:type="dxa"/>
            <w:shd w:val="clear" w:color="auto" w:fill="FFFFFF" w:themeFill="background1"/>
          </w:tcPr>
          <w:p w14:paraId="4BC8CD0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Ab</w:t>
            </w:r>
          </w:p>
        </w:tc>
        <w:tc>
          <w:tcPr>
            <w:tcW w:w="2693" w:type="dxa"/>
            <w:shd w:val="clear" w:color="auto" w:fill="FFFFFF" w:themeFill="background1"/>
          </w:tcPr>
          <w:p w14:paraId="716D72D5" w14:textId="406414D6"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2.1 is to ‘end hunger’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Baseline value is very low for Fiji.  Target set as maintain or improve on baseline.</w:t>
            </w:r>
          </w:p>
        </w:tc>
      </w:tr>
      <w:tr w:rsidR="005403DD" w:rsidRPr="005403DD" w14:paraId="7931401D" w14:textId="77777777" w:rsidTr="00C04DFB">
        <w:trPr>
          <w:trHeight w:val="300"/>
        </w:trPr>
        <w:tc>
          <w:tcPr>
            <w:tcW w:w="510" w:type="dxa"/>
            <w:shd w:val="clear" w:color="auto" w:fill="FFFFFF" w:themeFill="background1"/>
          </w:tcPr>
          <w:p w14:paraId="0BAEF213"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5189784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2.2 By 2030, end all forms of malnutrition, including achieving, by 2025, the internationally agreed targets on stunting and wasting in children under 5 years of age…</w:t>
            </w:r>
          </w:p>
        </w:tc>
        <w:tc>
          <w:tcPr>
            <w:tcW w:w="397" w:type="dxa"/>
            <w:tcBorders>
              <w:left w:val="single" w:sz="4" w:space="0" w:color="auto"/>
              <w:right w:val="single" w:sz="4" w:space="0" w:color="auto"/>
            </w:tcBorders>
            <w:shd w:val="clear" w:color="auto" w:fill="FFFFFF" w:themeFill="background1"/>
          </w:tcPr>
          <w:p w14:paraId="21D715A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5367734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2.2.1</w:t>
            </w:r>
          </w:p>
        </w:tc>
        <w:tc>
          <w:tcPr>
            <w:tcW w:w="3862" w:type="dxa"/>
            <w:tcBorders>
              <w:right w:val="single" w:sz="4" w:space="0" w:color="auto"/>
            </w:tcBorders>
            <w:shd w:val="clear" w:color="auto" w:fill="FFFFFF" w:themeFill="background1"/>
            <w:noWrap/>
            <w:hideMark/>
          </w:tcPr>
          <w:p w14:paraId="42BF289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Prevalence of stunting</w:t>
            </w:r>
          </w:p>
        </w:tc>
        <w:tc>
          <w:tcPr>
            <w:tcW w:w="1277" w:type="dxa"/>
            <w:tcBorders>
              <w:left w:val="single" w:sz="4" w:space="0" w:color="auto"/>
            </w:tcBorders>
            <w:shd w:val="clear" w:color="auto" w:fill="FFFFFF" w:themeFill="background1"/>
          </w:tcPr>
          <w:p w14:paraId="3A84031D"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0.044</w:t>
            </w:r>
          </w:p>
        </w:tc>
        <w:tc>
          <w:tcPr>
            <w:tcW w:w="992" w:type="dxa"/>
            <w:shd w:val="clear" w:color="auto" w:fill="D9D9D9" w:themeFill="background1" w:themeFillShade="D9"/>
            <w:noWrap/>
            <w:hideMark/>
          </w:tcPr>
          <w:p w14:paraId="75785177"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0.03</w:t>
            </w:r>
          </w:p>
        </w:tc>
        <w:tc>
          <w:tcPr>
            <w:tcW w:w="567" w:type="dxa"/>
            <w:shd w:val="clear" w:color="auto" w:fill="FFFFFF" w:themeFill="background1"/>
          </w:tcPr>
          <w:p w14:paraId="23DA2B9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Ab</w:t>
            </w:r>
          </w:p>
        </w:tc>
        <w:tc>
          <w:tcPr>
            <w:tcW w:w="2693" w:type="dxa"/>
            <w:shd w:val="clear" w:color="auto" w:fill="FFFFFF" w:themeFill="background1"/>
          </w:tcPr>
          <w:p w14:paraId="03C6B598"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2.2.1 baseline value is low for Fiji.  Target set as &lt;4%.</w:t>
            </w:r>
          </w:p>
        </w:tc>
      </w:tr>
      <w:tr w:rsidR="005403DD" w:rsidRPr="005403DD" w14:paraId="6970D2ED" w14:textId="77777777" w:rsidTr="00C04DFB">
        <w:trPr>
          <w:trHeight w:val="300"/>
        </w:trPr>
        <w:tc>
          <w:tcPr>
            <w:tcW w:w="510" w:type="dxa"/>
            <w:shd w:val="clear" w:color="auto" w:fill="FFFFFF" w:themeFill="background1"/>
          </w:tcPr>
          <w:p w14:paraId="717585B4"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4973D4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 xml:space="preserve">2.2 </w:t>
            </w:r>
          </w:p>
        </w:tc>
        <w:tc>
          <w:tcPr>
            <w:tcW w:w="397" w:type="dxa"/>
            <w:tcBorders>
              <w:left w:val="single" w:sz="4" w:space="0" w:color="auto"/>
              <w:right w:val="single" w:sz="4" w:space="0" w:color="auto"/>
            </w:tcBorders>
            <w:shd w:val="clear" w:color="auto" w:fill="FFFFFF" w:themeFill="background1"/>
          </w:tcPr>
          <w:p w14:paraId="7915D1F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5525958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2.2.2</w:t>
            </w:r>
          </w:p>
        </w:tc>
        <w:tc>
          <w:tcPr>
            <w:tcW w:w="3862" w:type="dxa"/>
            <w:tcBorders>
              <w:right w:val="single" w:sz="4" w:space="0" w:color="auto"/>
            </w:tcBorders>
            <w:shd w:val="clear" w:color="auto" w:fill="FFFFFF" w:themeFill="background1"/>
            <w:noWrap/>
            <w:hideMark/>
          </w:tcPr>
          <w:p w14:paraId="1DE7165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 xml:space="preserve">Prevalence of malnutrition </w:t>
            </w:r>
          </w:p>
        </w:tc>
        <w:tc>
          <w:tcPr>
            <w:tcW w:w="1277" w:type="dxa"/>
            <w:tcBorders>
              <w:left w:val="single" w:sz="4" w:space="0" w:color="auto"/>
            </w:tcBorders>
            <w:shd w:val="clear" w:color="auto" w:fill="FFFFFF" w:themeFill="background1"/>
          </w:tcPr>
          <w:p w14:paraId="4551ED50"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0.07</w:t>
            </w:r>
          </w:p>
        </w:tc>
        <w:tc>
          <w:tcPr>
            <w:tcW w:w="992" w:type="dxa"/>
            <w:shd w:val="clear" w:color="auto" w:fill="D9D9D9" w:themeFill="background1" w:themeFillShade="D9"/>
            <w:noWrap/>
            <w:hideMark/>
          </w:tcPr>
          <w:p w14:paraId="7309F5BE"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0.03</w:t>
            </w:r>
          </w:p>
        </w:tc>
        <w:tc>
          <w:tcPr>
            <w:tcW w:w="567" w:type="dxa"/>
            <w:shd w:val="clear" w:color="auto" w:fill="FFFFFF" w:themeFill="background1"/>
          </w:tcPr>
          <w:p w14:paraId="6025788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Ab</w:t>
            </w:r>
          </w:p>
        </w:tc>
        <w:tc>
          <w:tcPr>
            <w:tcW w:w="2693" w:type="dxa"/>
            <w:shd w:val="clear" w:color="auto" w:fill="FFFFFF" w:themeFill="background1"/>
          </w:tcPr>
          <w:p w14:paraId="188CB7B8"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2.2.2 baseline value is quite low for Fiji.  Target set as &lt;4%.</w:t>
            </w:r>
          </w:p>
        </w:tc>
      </w:tr>
      <w:tr w:rsidR="005403DD" w:rsidRPr="005403DD" w14:paraId="38DB7044" w14:textId="77777777" w:rsidTr="00C04DFB">
        <w:trPr>
          <w:trHeight w:val="300"/>
        </w:trPr>
        <w:tc>
          <w:tcPr>
            <w:tcW w:w="510" w:type="dxa"/>
            <w:shd w:val="clear" w:color="auto" w:fill="FFFFFF" w:themeFill="background1"/>
          </w:tcPr>
          <w:p w14:paraId="2858BA12"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EE7148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2.3 By 2030, double the agricultural productivity and incomes of small-scale food producers, in particular women, indigenous peoples, family farmers, pastoralists and fishers…</w:t>
            </w:r>
          </w:p>
        </w:tc>
        <w:tc>
          <w:tcPr>
            <w:tcW w:w="397" w:type="dxa"/>
            <w:tcBorders>
              <w:left w:val="single" w:sz="4" w:space="0" w:color="auto"/>
              <w:right w:val="single" w:sz="4" w:space="0" w:color="auto"/>
            </w:tcBorders>
            <w:shd w:val="clear" w:color="auto" w:fill="FFFFFF" w:themeFill="background1"/>
          </w:tcPr>
          <w:p w14:paraId="320CB1D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2C0FD46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2.3.1</w:t>
            </w:r>
          </w:p>
        </w:tc>
        <w:tc>
          <w:tcPr>
            <w:tcW w:w="3862" w:type="dxa"/>
            <w:tcBorders>
              <w:right w:val="single" w:sz="4" w:space="0" w:color="auto"/>
            </w:tcBorders>
            <w:shd w:val="clear" w:color="auto" w:fill="FFFFFF" w:themeFill="background1"/>
            <w:noWrap/>
            <w:hideMark/>
          </w:tcPr>
          <w:p w14:paraId="765570C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Total agriculture production in tons per labor unit (t/person)</w:t>
            </w:r>
          </w:p>
        </w:tc>
        <w:tc>
          <w:tcPr>
            <w:tcW w:w="1277" w:type="dxa"/>
            <w:tcBorders>
              <w:left w:val="single" w:sz="4" w:space="0" w:color="auto"/>
            </w:tcBorders>
            <w:shd w:val="clear" w:color="auto" w:fill="FFFFFF" w:themeFill="background1"/>
          </w:tcPr>
          <w:p w14:paraId="46D55771"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15.73</w:t>
            </w:r>
          </w:p>
        </w:tc>
        <w:tc>
          <w:tcPr>
            <w:tcW w:w="992" w:type="dxa"/>
            <w:shd w:val="clear" w:color="auto" w:fill="D9D9D9" w:themeFill="background1" w:themeFillShade="D9"/>
            <w:noWrap/>
            <w:hideMark/>
          </w:tcPr>
          <w:p w14:paraId="01886458"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20.5</w:t>
            </w:r>
          </w:p>
          <w:p w14:paraId="687E32B9" w14:textId="77777777" w:rsidR="001D1322" w:rsidRPr="00AB0BAD" w:rsidRDefault="001D1322" w:rsidP="00C04DFB">
            <w:pPr>
              <w:spacing w:after="0"/>
              <w:rPr>
                <w:rFonts w:ascii="Corbel" w:hAnsi="Corbel" w:cstheme="minorHAnsi"/>
                <w:sz w:val="16"/>
                <w:szCs w:val="16"/>
                <w:lang w:val="en-US"/>
              </w:rPr>
            </w:pPr>
          </w:p>
        </w:tc>
        <w:tc>
          <w:tcPr>
            <w:tcW w:w="567" w:type="dxa"/>
            <w:shd w:val="clear" w:color="auto" w:fill="FFFFFF" w:themeFill="background1"/>
          </w:tcPr>
          <w:p w14:paraId="4C6CCA3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04973BBD" w14:textId="497CFA64"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2.3 is to double productivity for small-scale food producers compared to baseline value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at 30% improvement on baseline.</w:t>
            </w:r>
          </w:p>
        </w:tc>
      </w:tr>
      <w:tr w:rsidR="005403DD" w:rsidRPr="005403DD" w14:paraId="1C94F5CC" w14:textId="77777777" w:rsidTr="00C04DFB">
        <w:trPr>
          <w:trHeight w:val="300"/>
        </w:trPr>
        <w:tc>
          <w:tcPr>
            <w:tcW w:w="510" w:type="dxa"/>
            <w:shd w:val="clear" w:color="auto" w:fill="FFFFFF" w:themeFill="background1"/>
          </w:tcPr>
          <w:p w14:paraId="556EB9CB"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13DA797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2.4 By 2030, ensure sustainable food production systems and implement resilient agricultural practices that increase productivity and production…</w:t>
            </w:r>
          </w:p>
        </w:tc>
        <w:tc>
          <w:tcPr>
            <w:tcW w:w="397" w:type="dxa"/>
            <w:tcBorders>
              <w:left w:val="single" w:sz="4" w:space="0" w:color="auto"/>
              <w:right w:val="single" w:sz="4" w:space="0" w:color="auto"/>
            </w:tcBorders>
            <w:shd w:val="clear" w:color="auto" w:fill="FFFFFF" w:themeFill="background1"/>
          </w:tcPr>
          <w:p w14:paraId="3F72801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26A9564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2.4.1</w:t>
            </w:r>
          </w:p>
        </w:tc>
        <w:tc>
          <w:tcPr>
            <w:tcW w:w="3862" w:type="dxa"/>
            <w:tcBorders>
              <w:right w:val="single" w:sz="4" w:space="0" w:color="auto"/>
            </w:tcBorders>
            <w:shd w:val="clear" w:color="auto" w:fill="FFFFFF" w:themeFill="background1"/>
            <w:noWrap/>
            <w:hideMark/>
          </w:tcPr>
          <w:p w14:paraId="49601D7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Proportion of harvested area sustainably managed (%)</w:t>
            </w:r>
          </w:p>
        </w:tc>
        <w:tc>
          <w:tcPr>
            <w:tcW w:w="1277" w:type="dxa"/>
            <w:tcBorders>
              <w:left w:val="single" w:sz="4" w:space="0" w:color="auto"/>
            </w:tcBorders>
            <w:shd w:val="clear" w:color="auto" w:fill="FFFFFF" w:themeFill="background1"/>
          </w:tcPr>
          <w:p w14:paraId="07581EA1"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0.0436</w:t>
            </w:r>
          </w:p>
        </w:tc>
        <w:tc>
          <w:tcPr>
            <w:tcW w:w="992" w:type="dxa"/>
            <w:shd w:val="clear" w:color="auto" w:fill="D9D9D9" w:themeFill="background1" w:themeFillShade="D9"/>
            <w:noWrap/>
          </w:tcPr>
          <w:p w14:paraId="5A9BAE46" w14:textId="34BDF6DD"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433448" w:rsidRPr="00AB0BAD">
              <w:rPr>
                <w:rFonts w:ascii="Corbel" w:hAnsi="Corbel" w:cstheme="minorHAnsi"/>
                <w:sz w:val="16"/>
                <w:szCs w:val="16"/>
                <w:lang w:val="en-US"/>
              </w:rPr>
              <w:t>5</w:t>
            </w:r>
          </w:p>
        </w:tc>
        <w:tc>
          <w:tcPr>
            <w:tcW w:w="567" w:type="dxa"/>
            <w:shd w:val="clear" w:color="auto" w:fill="FFFFFF" w:themeFill="background1"/>
          </w:tcPr>
          <w:p w14:paraId="21799E9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51C563DD"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is vague.  Target set as 50% harvested area, calibrated as significant increase off historic data from FAO (increase from 0 to ~5% since 2010)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&lt;EndNote&gt;&lt;Cite&gt;&lt;Author&gt;FAO&lt;/Author&gt;&lt;Year&gt;2017&lt;/Year&gt;&lt;RecNum&gt;1052&lt;/RecNum&gt;&lt;DisplayText&gt;(FAO, 2017)&lt;/DisplayText&gt;&lt;record&gt;&lt;rec-number&gt;1052&lt;/rec-number&gt;&lt;foreign-keys&gt;&lt;key app="EN" db-id="9vsrvaat7fadwtesfsrpw5w5t0x5v500ef25" timestamp="1565086591"&gt;1052&lt;/key&gt;&lt;/foreign-keys&gt;&lt;ref-type name="Dataset"&gt;59&lt;/ref-type&gt;&lt;contributors&gt;&lt;authors&gt;&lt;author&gt;FAO&lt;/author&gt;&lt;/authors&gt;&lt;/contributors&gt;&lt;titles&gt;&lt;title&gt;FAOSTAT database&lt;/title&gt;&lt;/titles&gt;&lt;dates&gt;&lt;year&gt;2017&lt;/year&gt;&lt;/dates&gt;&lt;pub-location&gt;Rome, Italy&lt;/pub-location&gt;&lt;urls&gt;&lt;related-urls&gt;&lt;url&gt;http://www.fao.org/faostat/en/#data/RL&lt;/url&gt;&lt;/related-urls&gt;&lt;/urls&gt;&lt;access-date&gt;03/02/18&lt;/access-date&gt;&lt;/record&gt;&lt;/Cite&gt;&lt;/EndNote&gt;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(FAO, 2017)</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5403DD" w:rsidRPr="005403DD" w14:paraId="5ED7FA45" w14:textId="77777777" w:rsidTr="00C04DFB">
        <w:trPr>
          <w:trHeight w:val="54"/>
        </w:trPr>
        <w:tc>
          <w:tcPr>
            <w:tcW w:w="510" w:type="dxa"/>
            <w:shd w:val="clear" w:color="auto" w:fill="D9D9D9" w:themeFill="background1" w:themeFillShade="D9"/>
          </w:tcPr>
          <w:p w14:paraId="19A644CA"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1AA9BD45"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7CCEC945"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240C47AA"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0626184F"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7E7F301D"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7065C92F"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0BE40BA2"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469F0D8F"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7DF543B6" w14:textId="77777777" w:rsidTr="00C04DFB">
        <w:trPr>
          <w:trHeight w:val="300"/>
        </w:trPr>
        <w:tc>
          <w:tcPr>
            <w:tcW w:w="510" w:type="dxa"/>
            <w:shd w:val="clear" w:color="auto" w:fill="FFFFFF" w:themeFill="background1"/>
          </w:tcPr>
          <w:p w14:paraId="1EA9024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w:t>
            </w:r>
          </w:p>
        </w:tc>
        <w:tc>
          <w:tcPr>
            <w:tcW w:w="4195" w:type="dxa"/>
            <w:tcBorders>
              <w:right w:val="single" w:sz="4" w:space="0" w:color="auto"/>
            </w:tcBorders>
            <w:shd w:val="clear" w:color="auto" w:fill="auto"/>
          </w:tcPr>
          <w:p w14:paraId="54CA50F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3.1 By 2030, reduce the global maternal mortality ratio to less than 70 per 100,000 live births</w:t>
            </w:r>
          </w:p>
        </w:tc>
        <w:tc>
          <w:tcPr>
            <w:tcW w:w="397" w:type="dxa"/>
            <w:tcBorders>
              <w:left w:val="single" w:sz="4" w:space="0" w:color="auto"/>
              <w:right w:val="single" w:sz="4" w:space="0" w:color="auto"/>
            </w:tcBorders>
            <w:shd w:val="clear" w:color="auto" w:fill="FFFFFF" w:themeFill="background1"/>
          </w:tcPr>
          <w:p w14:paraId="7091CDE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2495088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3.1.1</w:t>
            </w:r>
          </w:p>
        </w:tc>
        <w:tc>
          <w:tcPr>
            <w:tcW w:w="3862" w:type="dxa"/>
            <w:tcBorders>
              <w:right w:val="single" w:sz="4" w:space="0" w:color="auto"/>
            </w:tcBorders>
            <w:shd w:val="clear" w:color="auto" w:fill="FFFFFF" w:themeFill="background1"/>
            <w:noWrap/>
            <w:hideMark/>
          </w:tcPr>
          <w:p w14:paraId="04744B2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Maternal mortality ratio (per 100,000 live births)</w:t>
            </w:r>
          </w:p>
          <w:p w14:paraId="7C73EE88" w14:textId="77777777" w:rsidR="001D1322" w:rsidRPr="005403DD" w:rsidRDefault="001D1322" w:rsidP="00C04DFB">
            <w:pPr>
              <w:spacing w:after="0"/>
              <w:rPr>
                <w:rFonts w:ascii="Corbel" w:hAnsi="Corbel" w:cstheme="minorHAnsi"/>
                <w:sz w:val="16"/>
                <w:szCs w:val="16"/>
                <w:lang w:val="en-US"/>
              </w:rPr>
            </w:pPr>
          </w:p>
          <w:p w14:paraId="0692CFAC" w14:textId="77777777" w:rsidR="001D1322" w:rsidRPr="005403DD" w:rsidRDefault="001D1322" w:rsidP="00C04DFB">
            <w:pPr>
              <w:spacing w:after="0"/>
              <w:rPr>
                <w:rFonts w:ascii="Corbel" w:hAnsi="Corbel" w:cstheme="minorHAnsi"/>
                <w:sz w:val="16"/>
                <w:szCs w:val="16"/>
                <w:lang w:val="en-US"/>
              </w:rPr>
            </w:pPr>
          </w:p>
        </w:tc>
        <w:tc>
          <w:tcPr>
            <w:tcW w:w="1277" w:type="dxa"/>
            <w:tcBorders>
              <w:left w:val="single" w:sz="4" w:space="0" w:color="auto"/>
            </w:tcBorders>
            <w:shd w:val="clear" w:color="auto" w:fill="FFFFFF" w:themeFill="background1"/>
          </w:tcPr>
          <w:p w14:paraId="49359B20" w14:textId="687AEA13" w:rsidR="001D1322" w:rsidRPr="00AB0BAD" w:rsidRDefault="00D55601" w:rsidP="00C04DFB">
            <w:pPr>
              <w:spacing w:after="0"/>
              <w:rPr>
                <w:rFonts w:ascii="Corbel" w:hAnsi="Corbel" w:cstheme="minorHAnsi"/>
                <w:sz w:val="16"/>
                <w:szCs w:val="16"/>
                <w:lang w:val="en-US"/>
              </w:rPr>
            </w:pPr>
            <w:r w:rsidRPr="00AB0BAD">
              <w:rPr>
                <w:rFonts w:ascii="Corbel" w:hAnsi="Corbel" w:cstheme="minorHAnsi"/>
                <w:sz w:val="16"/>
                <w:szCs w:val="16"/>
                <w:lang w:val="en-US"/>
              </w:rPr>
              <w:t>38.01</w:t>
            </w:r>
          </w:p>
        </w:tc>
        <w:tc>
          <w:tcPr>
            <w:tcW w:w="992" w:type="dxa"/>
            <w:shd w:val="clear" w:color="auto" w:fill="D9D9D9" w:themeFill="background1" w:themeFillShade="D9"/>
            <w:noWrap/>
            <w:hideMark/>
          </w:tcPr>
          <w:p w14:paraId="288D09D2"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70</w:t>
            </w:r>
          </w:p>
        </w:tc>
        <w:tc>
          <w:tcPr>
            <w:tcW w:w="567" w:type="dxa"/>
            <w:shd w:val="clear" w:color="auto" w:fill="FFFFFF" w:themeFill="background1"/>
          </w:tcPr>
          <w:p w14:paraId="45BE860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39293C26"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3.1 is 70. Target already achieved for Fiji.  Maintain performance.</w:t>
            </w:r>
          </w:p>
        </w:tc>
      </w:tr>
      <w:tr w:rsidR="005403DD" w:rsidRPr="005403DD" w14:paraId="06A034AA" w14:textId="77777777" w:rsidTr="00C04DFB">
        <w:trPr>
          <w:trHeight w:val="300"/>
        </w:trPr>
        <w:tc>
          <w:tcPr>
            <w:tcW w:w="510" w:type="dxa"/>
            <w:shd w:val="clear" w:color="auto" w:fill="FFFFFF" w:themeFill="background1"/>
          </w:tcPr>
          <w:p w14:paraId="45338904"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51C278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3.1</w:t>
            </w:r>
          </w:p>
        </w:tc>
        <w:tc>
          <w:tcPr>
            <w:tcW w:w="397" w:type="dxa"/>
            <w:tcBorders>
              <w:left w:val="single" w:sz="4" w:space="0" w:color="auto"/>
              <w:right w:val="single" w:sz="4" w:space="0" w:color="auto"/>
            </w:tcBorders>
            <w:shd w:val="clear" w:color="auto" w:fill="FFFFFF" w:themeFill="background1"/>
          </w:tcPr>
          <w:p w14:paraId="042483E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07E4774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3.1.2</w:t>
            </w:r>
          </w:p>
        </w:tc>
        <w:tc>
          <w:tcPr>
            <w:tcW w:w="3862" w:type="dxa"/>
            <w:tcBorders>
              <w:right w:val="single" w:sz="4" w:space="0" w:color="auto"/>
            </w:tcBorders>
            <w:shd w:val="clear" w:color="auto" w:fill="FFFFFF" w:themeFill="background1"/>
            <w:noWrap/>
            <w:hideMark/>
          </w:tcPr>
          <w:p w14:paraId="62BFBFA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Average access to basic health care (%)</w:t>
            </w:r>
          </w:p>
        </w:tc>
        <w:tc>
          <w:tcPr>
            <w:tcW w:w="1277" w:type="dxa"/>
            <w:tcBorders>
              <w:left w:val="single" w:sz="4" w:space="0" w:color="auto"/>
            </w:tcBorders>
            <w:shd w:val="clear" w:color="auto" w:fill="FFFFFF" w:themeFill="background1"/>
          </w:tcPr>
          <w:p w14:paraId="7127FE45" w14:textId="2543F290" w:rsidR="001D1322" w:rsidRPr="00AB0BAD" w:rsidRDefault="00050896" w:rsidP="00C04DFB">
            <w:pPr>
              <w:spacing w:after="0"/>
              <w:rPr>
                <w:rFonts w:ascii="Corbel" w:hAnsi="Corbel" w:cstheme="minorHAnsi"/>
                <w:sz w:val="16"/>
                <w:szCs w:val="16"/>
                <w:lang w:val="en-US"/>
              </w:rPr>
            </w:pPr>
            <w:r w:rsidRPr="00AB0BAD">
              <w:rPr>
                <w:rFonts w:ascii="Corbel" w:hAnsi="Corbel" w:cstheme="minorHAnsi"/>
                <w:sz w:val="16"/>
                <w:szCs w:val="16"/>
                <w:lang w:val="en-US"/>
              </w:rPr>
              <w:t>0.99</w:t>
            </w:r>
          </w:p>
        </w:tc>
        <w:tc>
          <w:tcPr>
            <w:tcW w:w="992" w:type="dxa"/>
            <w:shd w:val="clear" w:color="auto" w:fill="D9D9D9" w:themeFill="background1" w:themeFillShade="D9"/>
            <w:noWrap/>
            <w:hideMark/>
          </w:tcPr>
          <w:p w14:paraId="26529B66" w14:textId="0151CE60" w:rsidR="001D1322" w:rsidRPr="00AB0BAD" w:rsidRDefault="00050896" w:rsidP="00C04DFB">
            <w:pPr>
              <w:spacing w:after="0"/>
              <w:rPr>
                <w:rFonts w:ascii="Corbel" w:hAnsi="Corbel" w:cstheme="minorHAnsi"/>
                <w:sz w:val="16"/>
                <w:szCs w:val="16"/>
                <w:lang w:val="en-US"/>
              </w:rPr>
            </w:pPr>
            <w:r w:rsidRPr="00AB0BAD">
              <w:rPr>
                <w:rFonts w:ascii="Corbel" w:hAnsi="Corbel" w:cstheme="minorHAnsi"/>
                <w:sz w:val="16"/>
                <w:szCs w:val="16"/>
                <w:lang w:val="en-US"/>
              </w:rPr>
              <w:t>0.99</w:t>
            </w:r>
          </w:p>
        </w:tc>
        <w:tc>
          <w:tcPr>
            <w:tcW w:w="567" w:type="dxa"/>
            <w:shd w:val="clear" w:color="auto" w:fill="FFFFFF" w:themeFill="background1"/>
          </w:tcPr>
          <w:p w14:paraId="4A20551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556E6186" w14:textId="166C649C" w:rsidR="001D1322" w:rsidRPr="005403DD" w:rsidRDefault="00281CC5" w:rsidP="00281CC5">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1.4 already achieved for Fiji.  Maintain performance.</w:t>
            </w:r>
          </w:p>
        </w:tc>
      </w:tr>
      <w:tr w:rsidR="005403DD" w:rsidRPr="005403DD" w14:paraId="39611E57" w14:textId="77777777" w:rsidTr="00C04DFB">
        <w:trPr>
          <w:trHeight w:val="300"/>
        </w:trPr>
        <w:tc>
          <w:tcPr>
            <w:tcW w:w="510" w:type="dxa"/>
            <w:shd w:val="clear" w:color="auto" w:fill="FFFFFF" w:themeFill="background1"/>
          </w:tcPr>
          <w:p w14:paraId="4B110F36"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8815FF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3.2 By 2030, end preventable deaths of newborns and children under 5 years of age, with all countries aiming to reduce neonatal mortality to at least as low as 12 per 1,000 live births and under</w:t>
            </w:r>
            <w:r w:rsidRPr="005403DD">
              <w:rPr>
                <w:rFonts w:ascii="Cambria Math" w:hAnsi="Cambria Math" w:cs="Cambria Math"/>
                <w:sz w:val="16"/>
                <w:szCs w:val="16"/>
                <w:lang w:val="en-US"/>
              </w:rPr>
              <w:t>‑</w:t>
            </w:r>
            <w:r w:rsidRPr="005403DD">
              <w:rPr>
                <w:rFonts w:ascii="Corbel" w:hAnsi="Corbel" w:cstheme="minorHAnsi"/>
                <w:sz w:val="16"/>
                <w:szCs w:val="16"/>
                <w:lang w:val="en-US"/>
              </w:rPr>
              <w:t>5 mortality to at least as low as 25 per 1,000 live births</w:t>
            </w:r>
          </w:p>
        </w:tc>
        <w:tc>
          <w:tcPr>
            <w:tcW w:w="397" w:type="dxa"/>
            <w:tcBorders>
              <w:left w:val="single" w:sz="4" w:space="0" w:color="auto"/>
              <w:right w:val="single" w:sz="4" w:space="0" w:color="auto"/>
            </w:tcBorders>
            <w:shd w:val="clear" w:color="auto" w:fill="FFFFFF" w:themeFill="background1"/>
          </w:tcPr>
          <w:p w14:paraId="464B35E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4E60FC4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3.2.1</w:t>
            </w:r>
          </w:p>
        </w:tc>
        <w:tc>
          <w:tcPr>
            <w:tcW w:w="3862" w:type="dxa"/>
            <w:tcBorders>
              <w:right w:val="single" w:sz="4" w:space="0" w:color="auto"/>
            </w:tcBorders>
            <w:shd w:val="clear" w:color="auto" w:fill="FFFFFF" w:themeFill="background1"/>
            <w:noWrap/>
            <w:hideMark/>
          </w:tcPr>
          <w:p w14:paraId="79BBCDB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Under five mortality rate (per 1,000 live births)</w:t>
            </w:r>
          </w:p>
        </w:tc>
        <w:tc>
          <w:tcPr>
            <w:tcW w:w="1277" w:type="dxa"/>
            <w:tcBorders>
              <w:left w:val="single" w:sz="4" w:space="0" w:color="auto"/>
            </w:tcBorders>
            <w:shd w:val="clear" w:color="auto" w:fill="FFFFFF" w:themeFill="background1"/>
          </w:tcPr>
          <w:p w14:paraId="34CFEB14" w14:textId="34E50731" w:rsidR="001D1322" w:rsidRPr="00AB0BAD" w:rsidRDefault="006E767D" w:rsidP="00C04DFB">
            <w:pPr>
              <w:spacing w:after="0"/>
              <w:rPr>
                <w:rFonts w:ascii="Corbel" w:hAnsi="Corbel" w:cstheme="minorHAnsi"/>
                <w:sz w:val="16"/>
                <w:szCs w:val="16"/>
                <w:lang w:val="en-US"/>
              </w:rPr>
            </w:pPr>
            <w:r w:rsidRPr="00AB0BAD">
              <w:rPr>
                <w:rFonts w:ascii="Corbel" w:hAnsi="Corbel" w:cstheme="minorHAnsi"/>
                <w:sz w:val="16"/>
                <w:szCs w:val="16"/>
                <w:lang w:val="en-US"/>
              </w:rPr>
              <w:t>27.</w:t>
            </w:r>
            <w:r w:rsidR="00290A34" w:rsidRPr="00AB0BAD">
              <w:rPr>
                <w:rFonts w:ascii="Corbel" w:hAnsi="Corbel" w:cstheme="minorHAnsi"/>
                <w:sz w:val="16"/>
                <w:szCs w:val="16"/>
                <w:lang w:val="en-US"/>
              </w:rPr>
              <w:t>8</w:t>
            </w:r>
          </w:p>
        </w:tc>
        <w:tc>
          <w:tcPr>
            <w:tcW w:w="992" w:type="dxa"/>
            <w:shd w:val="clear" w:color="auto" w:fill="D9D9D9" w:themeFill="background1" w:themeFillShade="D9"/>
            <w:noWrap/>
            <w:hideMark/>
          </w:tcPr>
          <w:p w14:paraId="277A3303" w14:textId="5A2751BC" w:rsidR="001D1322" w:rsidRPr="00AB0BAD" w:rsidRDefault="00C77768" w:rsidP="00C04DFB">
            <w:pPr>
              <w:spacing w:after="0"/>
              <w:rPr>
                <w:rFonts w:ascii="Corbel" w:hAnsi="Corbel" w:cstheme="minorHAnsi"/>
                <w:sz w:val="16"/>
                <w:szCs w:val="16"/>
                <w:lang w:val="en-US"/>
              </w:rPr>
            </w:pPr>
            <w:r w:rsidRPr="00AB0BAD">
              <w:rPr>
                <w:rFonts w:ascii="Corbel" w:hAnsi="Corbel" w:cstheme="minorHAnsi"/>
                <w:sz w:val="16"/>
                <w:szCs w:val="16"/>
                <w:lang w:val="en-US"/>
              </w:rPr>
              <w:t>2</w:t>
            </w:r>
            <w:r w:rsidR="002D4704" w:rsidRPr="00AB0BAD">
              <w:rPr>
                <w:rFonts w:ascii="Corbel" w:hAnsi="Corbel" w:cstheme="minorHAnsi"/>
                <w:sz w:val="16"/>
                <w:szCs w:val="16"/>
                <w:lang w:val="en-US"/>
              </w:rPr>
              <w:t>5</w:t>
            </w:r>
          </w:p>
        </w:tc>
        <w:tc>
          <w:tcPr>
            <w:tcW w:w="567" w:type="dxa"/>
            <w:shd w:val="clear" w:color="auto" w:fill="FFFFFF" w:themeFill="background1"/>
          </w:tcPr>
          <w:p w14:paraId="1603BE4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28A76882" w14:textId="50D4A2FE"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3.2 value is 25</w:t>
            </w:r>
            <w:r w:rsidR="002D4704">
              <w:rPr>
                <w:rFonts w:ascii="Corbel" w:hAnsi="Corbel" w:cstheme="minorHAnsi"/>
                <w:sz w:val="16"/>
                <w:szCs w:val="16"/>
                <w:lang w:val="en-US"/>
              </w:rPr>
              <w:t>.</w:t>
            </w:r>
          </w:p>
        </w:tc>
      </w:tr>
      <w:tr w:rsidR="005403DD" w:rsidRPr="005403DD" w14:paraId="6F31D6D9" w14:textId="77777777" w:rsidTr="00C04DFB">
        <w:trPr>
          <w:trHeight w:val="300"/>
        </w:trPr>
        <w:tc>
          <w:tcPr>
            <w:tcW w:w="510" w:type="dxa"/>
            <w:shd w:val="clear" w:color="auto" w:fill="FFFFFF" w:themeFill="background1"/>
          </w:tcPr>
          <w:p w14:paraId="5DD5C4A6"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CE5F45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3.2</w:t>
            </w:r>
          </w:p>
        </w:tc>
        <w:tc>
          <w:tcPr>
            <w:tcW w:w="397" w:type="dxa"/>
            <w:tcBorders>
              <w:left w:val="single" w:sz="4" w:space="0" w:color="auto"/>
              <w:right w:val="single" w:sz="4" w:space="0" w:color="auto"/>
            </w:tcBorders>
            <w:shd w:val="clear" w:color="auto" w:fill="FFFFFF" w:themeFill="background1"/>
          </w:tcPr>
          <w:p w14:paraId="4CDC686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3E9D2DE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3.2.2</w:t>
            </w:r>
          </w:p>
        </w:tc>
        <w:tc>
          <w:tcPr>
            <w:tcW w:w="3862" w:type="dxa"/>
            <w:tcBorders>
              <w:right w:val="single" w:sz="4" w:space="0" w:color="auto"/>
            </w:tcBorders>
            <w:shd w:val="clear" w:color="auto" w:fill="FFFFFF" w:themeFill="background1"/>
            <w:noWrap/>
            <w:hideMark/>
          </w:tcPr>
          <w:p w14:paraId="2EF7AB06"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Neonatal mortality rate (per 1,000 live births)</w:t>
            </w:r>
          </w:p>
        </w:tc>
        <w:tc>
          <w:tcPr>
            <w:tcW w:w="1277" w:type="dxa"/>
            <w:tcBorders>
              <w:left w:val="single" w:sz="4" w:space="0" w:color="auto"/>
            </w:tcBorders>
            <w:shd w:val="clear" w:color="auto" w:fill="FFFFFF" w:themeFill="background1"/>
          </w:tcPr>
          <w:p w14:paraId="6E68DB6B"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12.07</w:t>
            </w:r>
          </w:p>
        </w:tc>
        <w:tc>
          <w:tcPr>
            <w:tcW w:w="992" w:type="dxa"/>
            <w:shd w:val="clear" w:color="auto" w:fill="D9D9D9" w:themeFill="background1" w:themeFillShade="D9"/>
            <w:noWrap/>
            <w:hideMark/>
          </w:tcPr>
          <w:p w14:paraId="47B69AB2" w14:textId="0741EAE2" w:rsidR="001D1322" w:rsidRPr="00AB0BAD" w:rsidRDefault="00073D27" w:rsidP="00C04DFB">
            <w:pPr>
              <w:spacing w:after="0"/>
              <w:rPr>
                <w:rFonts w:ascii="Corbel" w:hAnsi="Corbel" w:cstheme="minorHAnsi"/>
                <w:sz w:val="16"/>
                <w:szCs w:val="16"/>
                <w:lang w:val="en-US"/>
              </w:rPr>
            </w:pPr>
            <w:r w:rsidRPr="00AB0BAD">
              <w:rPr>
                <w:rFonts w:ascii="Corbel" w:hAnsi="Corbel" w:cstheme="minorHAnsi"/>
                <w:sz w:val="16"/>
                <w:szCs w:val="16"/>
                <w:lang w:val="en-US"/>
              </w:rPr>
              <w:t>9</w:t>
            </w:r>
          </w:p>
        </w:tc>
        <w:tc>
          <w:tcPr>
            <w:tcW w:w="567" w:type="dxa"/>
            <w:shd w:val="clear" w:color="auto" w:fill="FFFFFF" w:themeFill="background1"/>
          </w:tcPr>
          <w:p w14:paraId="43597E3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5B4B34B4" w14:textId="4C80DC76"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3.2 value is 12 while Fiji’s national target is 9 from their NDP.  </w:t>
            </w:r>
          </w:p>
        </w:tc>
      </w:tr>
      <w:tr w:rsidR="005403DD" w:rsidRPr="005403DD" w14:paraId="3B32E59D" w14:textId="77777777" w:rsidTr="00C04DFB">
        <w:trPr>
          <w:trHeight w:val="300"/>
        </w:trPr>
        <w:tc>
          <w:tcPr>
            <w:tcW w:w="510" w:type="dxa"/>
            <w:shd w:val="clear" w:color="auto" w:fill="FFFFFF" w:themeFill="background1"/>
          </w:tcPr>
          <w:p w14:paraId="660C2D87"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7C3B870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3.4 By 2030, reduce by one third premature mortality from non-communicable diseases through prevention and treatment and promote mental health and well-being</w:t>
            </w:r>
          </w:p>
        </w:tc>
        <w:tc>
          <w:tcPr>
            <w:tcW w:w="397" w:type="dxa"/>
            <w:tcBorders>
              <w:left w:val="single" w:sz="4" w:space="0" w:color="auto"/>
              <w:right w:val="single" w:sz="4" w:space="0" w:color="auto"/>
            </w:tcBorders>
            <w:shd w:val="clear" w:color="auto" w:fill="FFFFFF" w:themeFill="background1"/>
          </w:tcPr>
          <w:p w14:paraId="12B91D5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62A6A8B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3.4.1</w:t>
            </w:r>
          </w:p>
        </w:tc>
        <w:tc>
          <w:tcPr>
            <w:tcW w:w="3862" w:type="dxa"/>
            <w:tcBorders>
              <w:right w:val="single" w:sz="4" w:space="0" w:color="auto"/>
            </w:tcBorders>
            <w:shd w:val="clear" w:color="auto" w:fill="FFFFFF" w:themeFill="background1"/>
            <w:noWrap/>
            <w:hideMark/>
          </w:tcPr>
          <w:p w14:paraId="2EA3F4E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Cardiovascular neoplasm diabetes and respiratory mortality (per 1,000 population)</w:t>
            </w:r>
          </w:p>
          <w:p w14:paraId="62F671F8" w14:textId="146AD98B" w:rsidR="001D1322" w:rsidRPr="005403DD" w:rsidRDefault="001D1322" w:rsidP="00C04DFB">
            <w:pPr>
              <w:spacing w:after="0"/>
              <w:rPr>
                <w:rFonts w:ascii="Corbel" w:hAnsi="Corbel" w:cstheme="minorHAnsi"/>
                <w:sz w:val="16"/>
                <w:szCs w:val="16"/>
                <w:lang w:val="en-US"/>
              </w:rPr>
            </w:pPr>
          </w:p>
        </w:tc>
        <w:tc>
          <w:tcPr>
            <w:tcW w:w="1277" w:type="dxa"/>
            <w:tcBorders>
              <w:left w:val="single" w:sz="4" w:space="0" w:color="auto"/>
            </w:tcBorders>
            <w:shd w:val="clear" w:color="auto" w:fill="FFFFFF" w:themeFill="background1"/>
          </w:tcPr>
          <w:p w14:paraId="237F1834" w14:textId="0E9BD3BD"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w:t>
            </w:r>
            <w:r w:rsidR="0045009C" w:rsidRPr="00AB0BAD">
              <w:rPr>
                <w:rFonts w:ascii="Corbel" w:hAnsi="Corbel" w:cstheme="minorHAnsi"/>
                <w:sz w:val="16"/>
                <w:szCs w:val="16"/>
                <w:lang w:val="en-US"/>
              </w:rPr>
              <w:t>6</w:t>
            </w:r>
          </w:p>
        </w:tc>
        <w:tc>
          <w:tcPr>
            <w:tcW w:w="992" w:type="dxa"/>
            <w:shd w:val="clear" w:color="auto" w:fill="D9D9D9" w:themeFill="background1" w:themeFillShade="D9"/>
            <w:noWrap/>
            <w:hideMark/>
          </w:tcPr>
          <w:p w14:paraId="5DD045F3" w14:textId="190AE168"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w:t>
            </w:r>
            <w:r w:rsidR="001F49EB" w:rsidRPr="00AB0BAD">
              <w:rPr>
                <w:rFonts w:ascii="Corbel" w:hAnsi="Corbel" w:cstheme="minorHAnsi"/>
                <w:sz w:val="16"/>
                <w:szCs w:val="16"/>
                <w:lang w:val="en-US"/>
              </w:rPr>
              <w:t>4</w:t>
            </w:r>
          </w:p>
        </w:tc>
        <w:tc>
          <w:tcPr>
            <w:tcW w:w="567" w:type="dxa"/>
            <w:shd w:val="clear" w:color="auto" w:fill="FFFFFF" w:themeFill="background1"/>
          </w:tcPr>
          <w:p w14:paraId="1A186AE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35CAABF0" w14:textId="7D90C5E6"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3.4  is to reduce by 1/3 on baseline value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p>
        </w:tc>
      </w:tr>
      <w:tr w:rsidR="005403DD" w:rsidRPr="005403DD" w14:paraId="18BE91DA" w14:textId="77777777" w:rsidTr="00C04DFB">
        <w:trPr>
          <w:trHeight w:val="300"/>
        </w:trPr>
        <w:tc>
          <w:tcPr>
            <w:tcW w:w="510" w:type="dxa"/>
            <w:shd w:val="clear" w:color="auto" w:fill="FFFFFF" w:themeFill="background1"/>
          </w:tcPr>
          <w:p w14:paraId="2A9F8031"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405AE9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3.4</w:t>
            </w:r>
          </w:p>
        </w:tc>
        <w:tc>
          <w:tcPr>
            <w:tcW w:w="397" w:type="dxa"/>
            <w:tcBorders>
              <w:left w:val="single" w:sz="4" w:space="0" w:color="auto"/>
              <w:right w:val="single" w:sz="4" w:space="0" w:color="auto"/>
            </w:tcBorders>
            <w:shd w:val="clear" w:color="auto" w:fill="FFFFFF" w:themeFill="background1"/>
          </w:tcPr>
          <w:p w14:paraId="2906D78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tcPr>
          <w:p w14:paraId="0688252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3.4.1ALT</w:t>
            </w:r>
          </w:p>
        </w:tc>
        <w:tc>
          <w:tcPr>
            <w:tcW w:w="3862" w:type="dxa"/>
            <w:tcBorders>
              <w:right w:val="single" w:sz="4" w:space="0" w:color="auto"/>
            </w:tcBorders>
            <w:shd w:val="clear" w:color="auto" w:fill="FFFFFF" w:themeFill="background1"/>
            <w:noWrap/>
          </w:tcPr>
          <w:p w14:paraId="3004FB7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Average life expectancy (years)</w:t>
            </w:r>
          </w:p>
          <w:p w14:paraId="4A30D376" w14:textId="77777777" w:rsidR="001D1322" w:rsidRPr="005403DD" w:rsidRDefault="001D1322" w:rsidP="00C04DFB">
            <w:pPr>
              <w:spacing w:after="0"/>
              <w:rPr>
                <w:rFonts w:ascii="Corbel" w:hAnsi="Corbel" w:cstheme="minorHAnsi"/>
                <w:sz w:val="16"/>
                <w:szCs w:val="16"/>
                <w:lang w:val="en-US"/>
              </w:rPr>
            </w:pPr>
          </w:p>
          <w:p w14:paraId="4E2D22AB" w14:textId="62286EE1" w:rsidR="001D1322" w:rsidRPr="005403DD" w:rsidRDefault="001D1322" w:rsidP="00C04DFB">
            <w:pPr>
              <w:spacing w:after="0"/>
              <w:rPr>
                <w:rFonts w:ascii="Corbel" w:hAnsi="Corbel" w:cstheme="minorHAnsi"/>
                <w:sz w:val="16"/>
                <w:szCs w:val="16"/>
                <w:lang w:val="en-US"/>
              </w:rPr>
            </w:pPr>
          </w:p>
        </w:tc>
        <w:tc>
          <w:tcPr>
            <w:tcW w:w="1277" w:type="dxa"/>
            <w:tcBorders>
              <w:left w:val="single" w:sz="4" w:space="0" w:color="auto"/>
            </w:tcBorders>
            <w:shd w:val="clear" w:color="auto" w:fill="FFFFFF" w:themeFill="background1"/>
          </w:tcPr>
          <w:p w14:paraId="3497DAEE" w14:textId="5A5FA80C"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6</w:t>
            </w:r>
            <w:r w:rsidR="00D83937" w:rsidRPr="00AB0BAD">
              <w:rPr>
                <w:rFonts w:ascii="Corbel" w:hAnsi="Corbel" w:cstheme="minorHAnsi"/>
                <w:sz w:val="16"/>
                <w:szCs w:val="16"/>
                <w:lang w:val="en-US"/>
              </w:rPr>
              <w:t>6.75</w:t>
            </w:r>
          </w:p>
        </w:tc>
        <w:tc>
          <w:tcPr>
            <w:tcW w:w="992" w:type="dxa"/>
            <w:shd w:val="clear" w:color="auto" w:fill="D9D9D9" w:themeFill="background1" w:themeFillShade="D9"/>
            <w:noWrap/>
          </w:tcPr>
          <w:p w14:paraId="40B6AA03" w14:textId="1D7AC682"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72</w:t>
            </w:r>
          </w:p>
        </w:tc>
        <w:tc>
          <w:tcPr>
            <w:tcW w:w="567" w:type="dxa"/>
            <w:shd w:val="clear" w:color="auto" w:fill="FFFFFF" w:themeFill="background1"/>
          </w:tcPr>
          <w:p w14:paraId="3AA50ED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6937B243" w14:textId="0A0355B0"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Fiji’s NDP sets targets for 2031 for males at 69.7 and females at 74.8.  Target set as 72 for 2030. </w:t>
            </w:r>
          </w:p>
        </w:tc>
      </w:tr>
      <w:tr w:rsidR="005403DD" w:rsidRPr="005403DD" w14:paraId="0E0CC238" w14:textId="77777777" w:rsidTr="00C04DFB">
        <w:trPr>
          <w:trHeight w:val="300"/>
        </w:trPr>
        <w:tc>
          <w:tcPr>
            <w:tcW w:w="510" w:type="dxa"/>
            <w:shd w:val="clear" w:color="auto" w:fill="FFFFFF" w:themeFill="background1"/>
          </w:tcPr>
          <w:p w14:paraId="61EE260B"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083669A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3.6 By 2020, halve the number of global deaths and injuries from road traffic accidents</w:t>
            </w:r>
          </w:p>
        </w:tc>
        <w:tc>
          <w:tcPr>
            <w:tcW w:w="397" w:type="dxa"/>
            <w:tcBorders>
              <w:left w:val="single" w:sz="4" w:space="0" w:color="auto"/>
              <w:right w:val="single" w:sz="4" w:space="0" w:color="auto"/>
            </w:tcBorders>
            <w:shd w:val="clear" w:color="auto" w:fill="FFFFFF" w:themeFill="background1"/>
          </w:tcPr>
          <w:p w14:paraId="2A7F4C7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70A41D5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3.6.1</w:t>
            </w:r>
          </w:p>
        </w:tc>
        <w:tc>
          <w:tcPr>
            <w:tcW w:w="3862" w:type="dxa"/>
            <w:tcBorders>
              <w:right w:val="single" w:sz="4" w:space="0" w:color="auto"/>
            </w:tcBorders>
            <w:shd w:val="clear" w:color="auto" w:fill="FFFFFF" w:themeFill="background1"/>
            <w:noWrap/>
            <w:hideMark/>
          </w:tcPr>
          <w:p w14:paraId="63062C0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Total road fatalities (mortality rates by cause[roads])</w:t>
            </w:r>
          </w:p>
          <w:p w14:paraId="7ED31261" w14:textId="77777777" w:rsidR="001D1322" w:rsidRPr="005403DD" w:rsidRDefault="001D1322" w:rsidP="00C04DFB">
            <w:pPr>
              <w:spacing w:after="0"/>
              <w:rPr>
                <w:rFonts w:ascii="Corbel" w:hAnsi="Corbel" w:cstheme="minorHAnsi"/>
                <w:sz w:val="16"/>
                <w:szCs w:val="16"/>
                <w:lang w:val="en-US"/>
              </w:rPr>
            </w:pPr>
          </w:p>
          <w:p w14:paraId="02750249" w14:textId="388E4C3C" w:rsidR="001D1322" w:rsidRPr="005403DD" w:rsidRDefault="001D1322" w:rsidP="00C04DFB">
            <w:pPr>
              <w:spacing w:after="0"/>
              <w:rPr>
                <w:rFonts w:ascii="Corbel" w:hAnsi="Corbel" w:cstheme="minorHAnsi"/>
                <w:sz w:val="16"/>
                <w:szCs w:val="16"/>
                <w:lang w:val="en-US"/>
              </w:rPr>
            </w:pPr>
          </w:p>
        </w:tc>
        <w:tc>
          <w:tcPr>
            <w:tcW w:w="1277" w:type="dxa"/>
            <w:tcBorders>
              <w:left w:val="single" w:sz="4" w:space="0" w:color="auto"/>
            </w:tcBorders>
            <w:shd w:val="clear" w:color="auto" w:fill="FFFFFF" w:themeFill="background1"/>
          </w:tcPr>
          <w:p w14:paraId="5DE5657D" w14:textId="1DCCCCAE"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0.0001</w:t>
            </w:r>
          </w:p>
        </w:tc>
        <w:tc>
          <w:tcPr>
            <w:tcW w:w="992" w:type="dxa"/>
            <w:shd w:val="clear" w:color="auto" w:fill="D9D9D9" w:themeFill="background1" w:themeFillShade="D9"/>
            <w:noWrap/>
            <w:hideMark/>
          </w:tcPr>
          <w:p w14:paraId="44734461" w14:textId="3C11814E"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0.0000</w:t>
            </w:r>
            <w:r w:rsidR="00951609" w:rsidRPr="00AB0BAD">
              <w:rPr>
                <w:rFonts w:ascii="Corbel" w:hAnsi="Corbel" w:cstheme="minorHAnsi"/>
                <w:sz w:val="16"/>
                <w:szCs w:val="16"/>
                <w:lang w:val="en-US"/>
              </w:rPr>
              <w:t>5</w:t>
            </w:r>
          </w:p>
        </w:tc>
        <w:tc>
          <w:tcPr>
            <w:tcW w:w="567" w:type="dxa"/>
            <w:shd w:val="clear" w:color="auto" w:fill="FFFFFF" w:themeFill="background1"/>
          </w:tcPr>
          <w:p w14:paraId="1513112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17861628" w14:textId="134B7A48"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3.6 is to halve baseline value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p>
        </w:tc>
      </w:tr>
      <w:tr w:rsidR="005403DD" w:rsidRPr="005403DD" w14:paraId="4FDC9DE4" w14:textId="77777777" w:rsidTr="00C04DFB">
        <w:trPr>
          <w:trHeight w:val="300"/>
        </w:trPr>
        <w:tc>
          <w:tcPr>
            <w:tcW w:w="510" w:type="dxa"/>
            <w:shd w:val="clear" w:color="auto" w:fill="FFFFFF" w:themeFill="background1"/>
          </w:tcPr>
          <w:p w14:paraId="1A838EFA"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410BBE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3.7 By 2030, ensure universal access to sexual and reproductive health-care services…</w:t>
            </w:r>
          </w:p>
        </w:tc>
        <w:tc>
          <w:tcPr>
            <w:tcW w:w="397" w:type="dxa"/>
            <w:tcBorders>
              <w:left w:val="single" w:sz="4" w:space="0" w:color="auto"/>
              <w:right w:val="single" w:sz="4" w:space="0" w:color="auto"/>
            </w:tcBorders>
            <w:shd w:val="clear" w:color="auto" w:fill="FFFFFF" w:themeFill="background1"/>
          </w:tcPr>
          <w:p w14:paraId="51045CE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2F6D3CF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3.7.1</w:t>
            </w:r>
          </w:p>
        </w:tc>
        <w:tc>
          <w:tcPr>
            <w:tcW w:w="3862" w:type="dxa"/>
            <w:tcBorders>
              <w:right w:val="single" w:sz="4" w:space="0" w:color="auto"/>
            </w:tcBorders>
            <w:shd w:val="clear" w:color="auto" w:fill="FFFFFF" w:themeFill="background1"/>
            <w:noWrap/>
            <w:hideMark/>
          </w:tcPr>
          <w:p w14:paraId="0CC9E12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Contraceptive prevalence rate (%)</w:t>
            </w:r>
          </w:p>
        </w:tc>
        <w:tc>
          <w:tcPr>
            <w:tcW w:w="1277" w:type="dxa"/>
            <w:tcBorders>
              <w:left w:val="single" w:sz="4" w:space="0" w:color="auto"/>
            </w:tcBorders>
            <w:shd w:val="clear" w:color="auto" w:fill="FFFFFF" w:themeFill="background1"/>
          </w:tcPr>
          <w:p w14:paraId="37CE3DFA" w14:textId="0A869B10"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0.5</w:t>
            </w:r>
            <w:r w:rsidR="00AF06F3" w:rsidRPr="00AB0BAD">
              <w:rPr>
                <w:rFonts w:ascii="Corbel" w:hAnsi="Corbel" w:cstheme="minorHAnsi"/>
                <w:sz w:val="16"/>
                <w:szCs w:val="16"/>
                <w:lang w:val="en-US"/>
              </w:rPr>
              <w:t>1</w:t>
            </w:r>
          </w:p>
        </w:tc>
        <w:tc>
          <w:tcPr>
            <w:tcW w:w="992" w:type="dxa"/>
            <w:shd w:val="clear" w:color="auto" w:fill="D9D9D9" w:themeFill="background1" w:themeFillShade="D9"/>
            <w:noWrap/>
            <w:hideMark/>
          </w:tcPr>
          <w:p w14:paraId="7E2C5FE1" w14:textId="3EC2B65C"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754F53" w:rsidRPr="00AB0BAD">
              <w:rPr>
                <w:rFonts w:ascii="Corbel" w:hAnsi="Corbel" w:cstheme="minorHAnsi"/>
                <w:sz w:val="16"/>
                <w:szCs w:val="16"/>
                <w:lang w:val="en-US"/>
              </w:rPr>
              <w:t>6</w:t>
            </w:r>
          </w:p>
        </w:tc>
        <w:tc>
          <w:tcPr>
            <w:tcW w:w="567" w:type="dxa"/>
            <w:shd w:val="clear" w:color="auto" w:fill="FFFFFF" w:themeFill="background1"/>
          </w:tcPr>
          <w:p w14:paraId="0767468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200A8D54" w14:textId="3A404CFC"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as </w:t>
            </w:r>
            <w:r w:rsidR="00754F53">
              <w:rPr>
                <w:rFonts w:ascii="Corbel" w:hAnsi="Corbel" w:cstheme="minorHAnsi"/>
                <w:sz w:val="16"/>
                <w:szCs w:val="16"/>
                <w:lang w:val="en-US"/>
              </w:rPr>
              <w:t>2</w:t>
            </w:r>
            <w:r w:rsidRPr="005403DD">
              <w:rPr>
                <w:rFonts w:ascii="Corbel" w:hAnsi="Corbel" w:cstheme="minorHAnsi"/>
                <w:sz w:val="16"/>
                <w:szCs w:val="16"/>
                <w:lang w:val="en-US"/>
              </w:rPr>
              <w:t xml:space="preserve">0% increase on baseline value. Population growth in Fiji is slow due to negative net migration. Note average for OECD countries of 70.5%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5403DD" w:rsidRPr="005403DD" w14:paraId="403DF039" w14:textId="77777777" w:rsidTr="00C04DFB">
        <w:trPr>
          <w:trHeight w:val="300"/>
        </w:trPr>
        <w:tc>
          <w:tcPr>
            <w:tcW w:w="510" w:type="dxa"/>
            <w:shd w:val="clear" w:color="auto" w:fill="FFFFFF" w:themeFill="background1"/>
          </w:tcPr>
          <w:p w14:paraId="5DA20D84"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2CED6B0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3.7</w:t>
            </w:r>
          </w:p>
        </w:tc>
        <w:tc>
          <w:tcPr>
            <w:tcW w:w="397" w:type="dxa"/>
            <w:tcBorders>
              <w:left w:val="single" w:sz="4" w:space="0" w:color="auto"/>
              <w:right w:val="single" w:sz="4" w:space="0" w:color="auto"/>
            </w:tcBorders>
            <w:shd w:val="clear" w:color="auto" w:fill="FFFFFF" w:themeFill="background1"/>
          </w:tcPr>
          <w:p w14:paraId="2B30B35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065D778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3.7.2</w:t>
            </w:r>
          </w:p>
        </w:tc>
        <w:tc>
          <w:tcPr>
            <w:tcW w:w="3862" w:type="dxa"/>
            <w:tcBorders>
              <w:right w:val="single" w:sz="4" w:space="0" w:color="auto"/>
            </w:tcBorders>
            <w:shd w:val="clear" w:color="auto" w:fill="FFFFFF" w:themeFill="background1"/>
            <w:noWrap/>
            <w:hideMark/>
          </w:tcPr>
          <w:p w14:paraId="4ABF959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Adolescent birth rate (per 1,000)</w:t>
            </w:r>
          </w:p>
        </w:tc>
        <w:tc>
          <w:tcPr>
            <w:tcW w:w="1277" w:type="dxa"/>
            <w:tcBorders>
              <w:left w:val="single" w:sz="4" w:space="0" w:color="auto"/>
            </w:tcBorders>
            <w:shd w:val="clear" w:color="auto" w:fill="FFFFFF" w:themeFill="background1"/>
          </w:tcPr>
          <w:p w14:paraId="32D9AA80" w14:textId="0697AA4D" w:rsidR="001D1322" w:rsidRPr="00AB0BAD" w:rsidRDefault="00BD01EB" w:rsidP="00C04DFB">
            <w:pPr>
              <w:spacing w:after="0"/>
              <w:rPr>
                <w:rFonts w:ascii="Corbel" w:hAnsi="Corbel" w:cstheme="minorHAnsi"/>
                <w:sz w:val="16"/>
                <w:szCs w:val="16"/>
                <w:lang w:val="en-US"/>
              </w:rPr>
            </w:pPr>
            <w:r w:rsidRPr="00AB0BAD">
              <w:rPr>
                <w:rFonts w:ascii="Corbel" w:hAnsi="Corbel" w:cstheme="minorHAnsi"/>
                <w:sz w:val="16"/>
                <w:szCs w:val="16"/>
                <w:lang w:val="en-US"/>
              </w:rPr>
              <w:t>54.0</w:t>
            </w:r>
          </w:p>
        </w:tc>
        <w:tc>
          <w:tcPr>
            <w:tcW w:w="992" w:type="dxa"/>
            <w:shd w:val="clear" w:color="auto" w:fill="D9D9D9" w:themeFill="background1" w:themeFillShade="D9"/>
            <w:noWrap/>
          </w:tcPr>
          <w:p w14:paraId="636ECDA2" w14:textId="5A5CB71D"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4</w:t>
            </w:r>
            <w:r w:rsidR="00C73810" w:rsidRPr="00AB0BAD">
              <w:rPr>
                <w:rFonts w:ascii="Corbel" w:hAnsi="Corbel" w:cstheme="minorHAnsi"/>
                <w:sz w:val="16"/>
                <w:szCs w:val="16"/>
                <w:lang w:val="en-US"/>
              </w:rPr>
              <w:t>5.9</w:t>
            </w:r>
          </w:p>
        </w:tc>
        <w:tc>
          <w:tcPr>
            <w:tcW w:w="567" w:type="dxa"/>
            <w:shd w:val="clear" w:color="auto" w:fill="FFFFFF" w:themeFill="background1"/>
          </w:tcPr>
          <w:p w14:paraId="2CD3B79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5136D95F" w14:textId="327075C6"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as </w:t>
            </w:r>
            <w:r w:rsidR="00C73810">
              <w:rPr>
                <w:rFonts w:ascii="Corbel" w:hAnsi="Corbel" w:cstheme="minorHAnsi"/>
                <w:sz w:val="16"/>
                <w:szCs w:val="16"/>
                <w:lang w:val="en-US"/>
              </w:rPr>
              <w:t>15</w:t>
            </w:r>
            <w:r w:rsidRPr="005403DD">
              <w:rPr>
                <w:rFonts w:ascii="Corbel" w:hAnsi="Corbel" w:cstheme="minorHAnsi"/>
                <w:sz w:val="16"/>
                <w:szCs w:val="16"/>
                <w:lang w:val="en-US"/>
              </w:rPr>
              <w:t xml:space="preserve">% improvement on baseline value; calibrated from historic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5403DD" w:rsidRPr="005403DD" w14:paraId="72EE2EAB" w14:textId="77777777" w:rsidTr="00C04DFB">
        <w:trPr>
          <w:trHeight w:val="300"/>
        </w:trPr>
        <w:tc>
          <w:tcPr>
            <w:tcW w:w="510" w:type="dxa"/>
            <w:shd w:val="clear" w:color="auto" w:fill="FFFFFF" w:themeFill="background1"/>
          </w:tcPr>
          <w:p w14:paraId="233584F7"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573AAB6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3.8 Achieve universal health coverage</w:t>
            </w:r>
          </w:p>
        </w:tc>
        <w:tc>
          <w:tcPr>
            <w:tcW w:w="397" w:type="dxa"/>
            <w:tcBorders>
              <w:left w:val="single" w:sz="4" w:space="0" w:color="auto"/>
              <w:right w:val="single" w:sz="4" w:space="0" w:color="auto"/>
            </w:tcBorders>
            <w:shd w:val="clear" w:color="auto" w:fill="FFFFFF" w:themeFill="background1"/>
          </w:tcPr>
          <w:p w14:paraId="00CF818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33A9582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3.8.1</w:t>
            </w:r>
          </w:p>
        </w:tc>
        <w:tc>
          <w:tcPr>
            <w:tcW w:w="3862" w:type="dxa"/>
            <w:tcBorders>
              <w:right w:val="single" w:sz="4" w:space="0" w:color="auto"/>
            </w:tcBorders>
            <w:shd w:val="clear" w:color="auto" w:fill="FFFFFF" w:themeFill="background1"/>
            <w:noWrap/>
            <w:hideMark/>
          </w:tcPr>
          <w:p w14:paraId="02A7EC4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Average access to basic health care</w:t>
            </w:r>
          </w:p>
        </w:tc>
        <w:tc>
          <w:tcPr>
            <w:tcW w:w="1277" w:type="dxa"/>
            <w:tcBorders>
              <w:left w:val="single" w:sz="4" w:space="0" w:color="auto"/>
            </w:tcBorders>
            <w:shd w:val="clear" w:color="auto" w:fill="FFFFFF" w:themeFill="background1"/>
          </w:tcPr>
          <w:p w14:paraId="7F1EF993" w14:textId="176032C6"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0.99</w:t>
            </w:r>
          </w:p>
        </w:tc>
        <w:tc>
          <w:tcPr>
            <w:tcW w:w="992" w:type="dxa"/>
            <w:shd w:val="clear" w:color="auto" w:fill="D9D9D9" w:themeFill="background1" w:themeFillShade="D9"/>
            <w:noWrap/>
            <w:hideMark/>
          </w:tcPr>
          <w:p w14:paraId="625965F0"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0.99</w:t>
            </w:r>
          </w:p>
        </w:tc>
        <w:tc>
          <w:tcPr>
            <w:tcW w:w="567" w:type="dxa"/>
            <w:shd w:val="clear" w:color="auto" w:fill="FFFFFF" w:themeFill="background1"/>
          </w:tcPr>
          <w:p w14:paraId="1AA8A625" w14:textId="77777777" w:rsidR="001D1322" w:rsidRPr="005403DD" w:rsidRDefault="001D1322" w:rsidP="00C04DFB">
            <w:pPr>
              <w:spacing w:after="0"/>
              <w:rPr>
                <w:rFonts w:ascii="Corbel" w:hAnsi="Corbel" w:cstheme="minorHAnsi"/>
                <w:sz w:val="16"/>
                <w:szCs w:val="16"/>
                <w:lang w:val="en-US"/>
              </w:rPr>
            </w:pPr>
          </w:p>
        </w:tc>
        <w:tc>
          <w:tcPr>
            <w:tcW w:w="2693" w:type="dxa"/>
            <w:shd w:val="clear" w:color="auto" w:fill="FFFFFF" w:themeFill="background1"/>
          </w:tcPr>
          <w:p w14:paraId="52FA99E1"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3.8 already achieved for Fiji.  Maintain performance.</w:t>
            </w:r>
          </w:p>
        </w:tc>
      </w:tr>
      <w:tr w:rsidR="005403DD" w:rsidRPr="005403DD" w14:paraId="7D35D1AA" w14:textId="77777777" w:rsidTr="00C04DFB">
        <w:trPr>
          <w:trHeight w:val="54"/>
        </w:trPr>
        <w:tc>
          <w:tcPr>
            <w:tcW w:w="510" w:type="dxa"/>
            <w:shd w:val="clear" w:color="auto" w:fill="D9D9D9" w:themeFill="background1" w:themeFillShade="D9"/>
          </w:tcPr>
          <w:p w14:paraId="36813F79"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176CC76C"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432B3222"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6B2F0928"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067F3653"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5953CC1E"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7ECA7D0D"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392C59FA"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7584A834"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7CE3F25C" w14:textId="77777777" w:rsidTr="00C04DFB">
        <w:trPr>
          <w:trHeight w:val="300"/>
        </w:trPr>
        <w:tc>
          <w:tcPr>
            <w:tcW w:w="510" w:type="dxa"/>
            <w:shd w:val="clear" w:color="auto" w:fill="FFFFFF" w:themeFill="background1"/>
          </w:tcPr>
          <w:p w14:paraId="14B973D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lastRenderedPageBreak/>
              <w:t>4</w:t>
            </w:r>
          </w:p>
        </w:tc>
        <w:tc>
          <w:tcPr>
            <w:tcW w:w="4195" w:type="dxa"/>
            <w:tcBorders>
              <w:right w:val="single" w:sz="4" w:space="0" w:color="auto"/>
            </w:tcBorders>
            <w:shd w:val="clear" w:color="auto" w:fill="auto"/>
          </w:tcPr>
          <w:p w14:paraId="299E26D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4.1 By 2030, ensure that all girls and boys complete free, equitable and quality primary and secondary education leading to relevant and effective learning outcomes</w:t>
            </w:r>
          </w:p>
        </w:tc>
        <w:tc>
          <w:tcPr>
            <w:tcW w:w="397" w:type="dxa"/>
            <w:tcBorders>
              <w:left w:val="single" w:sz="4" w:space="0" w:color="auto"/>
              <w:right w:val="single" w:sz="4" w:space="0" w:color="auto"/>
            </w:tcBorders>
            <w:shd w:val="clear" w:color="auto" w:fill="FFFFFF" w:themeFill="background1"/>
          </w:tcPr>
          <w:p w14:paraId="3346071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208ABB2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4.1.1</w:t>
            </w:r>
          </w:p>
        </w:tc>
        <w:tc>
          <w:tcPr>
            <w:tcW w:w="3862" w:type="dxa"/>
            <w:tcBorders>
              <w:right w:val="single" w:sz="4" w:space="0" w:color="auto"/>
            </w:tcBorders>
            <w:shd w:val="clear" w:color="auto" w:fill="FFFFFF" w:themeFill="background1"/>
            <w:noWrap/>
            <w:hideMark/>
          </w:tcPr>
          <w:p w14:paraId="053B5B3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Proportion of population age 20 to 24 that has completed secondary school (%)</w:t>
            </w:r>
          </w:p>
        </w:tc>
        <w:tc>
          <w:tcPr>
            <w:tcW w:w="1277" w:type="dxa"/>
            <w:tcBorders>
              <w:left w:val="single" w:sz="4" w:space="0" w:color="auto"/>
            </w:tcBorders>
            <w:shd w:val="clear" w:color="auto" w:fill="FFFFFF" w:themeFill="background1"/>
          </w:tcPr>
          <w:p w14:paraId="5126BA06" w14:textId="7EEB1039"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0.6</w:t>
            </w:r>
            <w:r w:rsidR="004905D0" w:rsidRPr="00AB0BAD">
              <w:rPr>
                <w:rFonts w:ascii="Corbel" w:hAnsi="Corbel" w:cstheme="minorHAnsi"/>
                <w:sz w:val="16"/>
                <w:szCs w:val="16"/>
                <w:lang w:val="en-US"/>
              </w:rPr>
              <w:t>8</w:t>
            </w:r>
          </w:p>
        </w:tc>
        <w:tc>
          <w:tcPr>
            <w:tcW w:w="992" w:type="dxa"/>
            <w:shd w:val="clear" w:color="auto" w:fill="D9D9D9" w:themeFill="background1" w:themeFillShade="D9"/>
            <w:noWrap/>
            <w:hideMark/>
          </w:tcPr>
          <w:p w14:paraId="55BB53BE" w14:textId="7B6F6D81"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20727C" w:rsidRPr="00AB0BAD">
              <w:rPr>
                <w:rFonts w:ascii="Corbel" w:hAnsi="Corbel" w:cstheme="minorHAnsi"/>
                <w:sz w:val="16"/>
                <w:szCs w:val="16"/>
                <w:lang w:val="en-US"/>
              </w:rPr>
              <w:t>9</w:t>
            </w:r>
          </w:p>
        </w:tc>
        <w:tc>
          <w:tcPr>
            <w:tcW w:w="567" w:type="dxa"/>
            <w:shd w:val="clear" w:color="auto" w:fill="FFFFFF" w:themeFill="background1"/>
          </w:tcPr>
          <w:p w14:paraId="0E88788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24842749" w14:textId="6930106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4.1 is ‘universal completion’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level of 0.</w:t>
            </w:r>
            <w:r w:rsidR="0020727C">
              <w:rPr>
                <w:rFonts w:ascii="Corbel" w:hAnsi="Corbel" w:cstheme="minorHAnsi"/>
                <w:sz w:val="16"/>
                <w:szCs w:val="16"/>
                <w:lang w:val="en-US"/>
              </w:rPr>
              <w:t>9</w:t>
            </w:r>
            <w:r w:rsidRPr="005403DD">
              <w:rPr>
                <w:rFonts w:ascii="Corbel" w:hAnsi="Corbel" w:cstheme="minorHAnsi"/>
                <w:sz w:val="16"/>
                <w:szCs w:val="16"/>
                <w:lang w:val="en-US"/>
              </w:rPr>
              <w:t xml:space="preserve"> set based on historic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5403DD" w:rsidRPr="005403DD" w14:paraId="7B5D24EB" w14:textId="77777777" w:rsidTr="00C04DFB">
        <w:trPr>
          <w:trHeight w:val="300"/>
        </w:trPr>
        <w:tc>
          <w:tcPr>
            <w:tcW w:w="510" w:type="dxa"/>
            <w:shd w:val="clear" w:color="auto" w:fill="FFFFFF" w:themeFill="background1"/>
          </w:tcPr>
          <w:p w14:paraId="4FD5A144"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519892A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4.3 By 2030, ensure equal access for all women and men to affordable and quality technical, vocational and tertiary education, including university</w:t>
            </w:r>
          </w:p>
        </w:tc>
        <w:tc>
          <w:tcPr>
            <w:tcW w:w="397" w:type="dxa"/>
            <w:tcBorders>
              <w:left w:val="single" w:sz="4" w:space="0" w:color="auto"/>
              <w:right w:val="single" w:sz="4" w:space="0" w:color="auto"/>
            </w:tcBorders>
            <w:shd w:val="clear" w:color="auto" w:fill="FFFFFF" w:themeFill="background1"/>
          </w:tcPr>
          <w:p w14:paraId="653E1E0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1B12CFD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4.3.1</w:t>
            </w:r>
          </w:p>
        </w:tc>
        <w:tc>
          <w:tcPr>
            <w:tcW w:w="3862" w:type="dxa"/>
            <w:tcBorders>
              <w:right w:val="single" w:sz="4" w:space="0" w:color="auto"/>
            </w:tcBorders>
            <w:shd w:val="clear" w:color="auto" w:fill="FFFFFF" w:themeFill="background1"/>
            <w:noWrap/>
            <w:hideMark/>
          </w:tcPr>
          <w:p w14:paraId="3BBBD75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Proportion of population age 20 to 29 that has enrolled in tertiary education (%)</w:t>
            </w:r>
          </w:p>
        </w:tc>
        <w:tc>
          <w:tcPr>
            <w:tcW w:w="1277" w:type="dxa"/>
            <w:tcBorders>
              <w:left w:val="single" w:sz="4" w:space="0" w:color="auto"/>
            </w:tcBorders>
            <w:shd w:val="clear" w:color="auto" w:fill="FFFFFF" w:themeFill="background1"/>
          </w:tcPr>
          <w:p w14:paraId="304066CA" w14:textId="10E8382D"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0.1</w:t>
            </w:r>
            <w:r w:rsidR="007C23A5" w:rsidRPr="00AB0BAD">
              <w:rPr>
                <w:rFonts w:ascii="Corbel" w:hAnsi="Corbel" w:cstheme="minorHAnsi"/>
                <w:sz w:val="16"/>
                <w:szCs w:val="16"/>
                <w:lang w:val="en-US"/>
              </w:rPr>
              <w:t>8</w:t>
            </w:r>
          </w:p>
        </w:tc>
        <w:tc>
          <w:tcPr>
            <w:tcW w:w="992" w:type="dxa"/>
            <w:shd w:val="clear" w:color="auto" w:fill="D9D9D9" w:themeFill="background1" w:themeFillShade="D9"/>
            <w:noWrap/>
            <w:hideMark/>
          </w:tcPr>
          <w:p w14:paraId="31B432D8" w14:textId="06861D89"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527C2A" w:rsidRPr="00AB0BAD">
              <w:rPr>
                <w:rFonts w:ascii="Corbel" w:hAnsi="Corbel" w:cstheme="minorHAnsi"/>
                <w:sz w:val="16"/>
                <w:szCs w:val="16"/>
                <w:lang w:val="en-US"/>
              </w:rPr>
              <w:t>4</w:t>
            </w:r>
          </w:p>
        </w:tc>
        <w:tc>
          <w:tcPr>
            <w:tcW w:w="567" w:type="dxa"/>
            <w:shd w:val="clear" w:color="auto" w:fill="FFFFFF" w:themeFill="background1"/>
          </w:tcPr>
          <w:p w14:paraId="690F4BA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0AD7296E"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as double baseline; calibrated off historic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5403DD" w:rsidRPr="005403DD" w14:paraId="0A99AF6A" w14:textId="77777777" w:rsidTr="00C04DFB">
        <w:trPr>
          <w:trHeight w:val="300"/>
        </w:trPr>
        <w:tc>
          <w:tcPr>
            <w:tcW w:w="510" w:type="dxa"/>
            <w:shd w:val="clear" w:color="auto" w:fill="FFFFFF" w:themeFill="background1"/>
          </w:tcPr>
          <w:p w14:paraId="3F5E41E8"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1E1348E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4.5 By 2030, eliminate gender disparities in education and ensure equal access to all levels of education and vocational training for the vulnerable, including persons with disabilities, indigenous peoples and children in vulnerable situations</w:t>
            </w:r>
          </w:p>
        </w:tc>
        <w:tc>
          <w:tcPr>
            <w:tcW w:w="397" w:type="dxa"/>
            <w:tcBorders>
              <w:left w:val="single" w:sz="4" w:space="0" w:color="auto"/>
              <w:right w:val="single" w:sz="4" w:space="0" w:color="auto"/>
            </w:tcBorders>
            <w:shd w:val="clear" w:color="auto" w:fill="FFFFFF" w:themeFill="background1"/>
          </w:tcPr>
          <w:p w14:paraId="64E0CE2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1F50F71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4.5.1</w:t>
            </w:r>
          </w:p>
        </w:tc>
        <w:tc>
          <w:tcPr>
            <w:tcW w:w="3862" w:type="dxa"/>
            <w:tcBorders>
              <w:right w:val="single" w:sz="4" w:space="0" w:color="auto"/>
            </w:tcBorders>
            <w:shd w:val="clear" w:color="auto" w:fill="FFFFFF" w:themeFill="background1"/>
            <w:noWrap/>
            <w:hideMark/>
          </w:tcPr>
          <w:p w14:paraId="0024408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Adult literacy gender gap ratio</w:t>
            </w:r>
          </w:p>
        </w:tc>
        <w:tc>
          <w:tcPr>
            <w:tcW w:w="1277" w:type="dxa"/>
            <w:tcBorders>
              <w:left w:val="single" w:sz="4" w:space="0" w:color="auto"/>
            </w:tcBorders>
            <w:shd w:val="clear" w:color="auto" w:fill="FFFFFF" w:themeFill="background1"/>
          </w:tcPr>
          <w:p w14:paraId="09CBD7E8" w14:textId="7D3609D0"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0.01</w:t>
            </w:r>
          </w:p>
        </w:tc>
        <w:tc>
          <w:tcPr>
            <w:tcW w:w="992" w:type="dxa"/>
            <w:shd w:val="clear" w:color="auto" w:fill="D9D9D9" w:themeFill="background1" w:themeFillShade="D9"/>
            <w:noWrap/>
            <w:hideMark/>
          </w:tcPr>
          <w:p w14:paraId="6C268B7D"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0.01</w:t>
            </w:r>
          </w:p>
        </w:tc>
        <w:tc>
          <w:tcPr>
            <w:tcW w:w="567" w:type="dxa"/>
            <w:shd w:val="clear" w:color="auto" w:fill="FFFFFF" w:themeFill="background1"/>
          </w:tcPr>
          <w:p w14:paraId="1DC2291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3CAE6D08" w14:textId="7A9C4096"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4.5 is to ‘eliminate gender disparity’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maintain at ~0% (+/-0.01%).</w:t>
            </w:r>
          </w:p>
        </w:tc>
      </w:tr>
      <w:tr w:rsidR="005403DD" w:rsidRPr="005403DD" w14:paraId="47E82435" w14:textId="77777777" w:rsidTr="00C04DFB">
        <w:trPr>
          <w:trHeight w:val="300"/>
        </w:trPr>
        <w:tc>
          <w:tcPr>
            <w:tcW w:w="510" w:type="dxa"/>
            <w:shd w:val="clear" w:color="auto" w:fill="FFFFFF" w:themeFill="background1"/>
          </w:tcPr>
          <w:p w14:paraId="44EB3160"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0DD20EB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4.6 By 2030, ensure that all youth and a substantial proportion of adults, both men and women, achieve literacy and numeracy</w:t>
            </w:r>
          </w:p>
        </w:tc>
        <w:tc>
          <w:tcPr>
            <w:tcW w:w="397" w:type="dxa"/>
            <w:tcBorders>
              <w:left w:val="single" w:sz="4" w:space="0" w:color="auto"/>
              <w:right w:val="single" w:sz="4" w:space="0" w:color="auto"/>
            </w:tcBorders>
            <w:shd w:val="clear" w:color="auto" w:fill="FFFFFF" w:themeFill="background1"/>
          </w:tcPr>
          <w:p w14:paraId="4E8C1A7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6FE0FF3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4.6.1</w:t>
            </w:r>
          </w:p>
        </w:tc>
        <w:tc>
          <w:tcPr>
            <w:tcW w:w="3862" w:type="dxa"/>
            <w:tcBorders>
              <w:right w:val="single" w:sz="4" w:space="0" w:color="auto"/>
            </w:tcBorders>
            <w:shd w:val="clear" w:color="auto" w:fill="FFFFFF" w:themeFill="background1"/>
            <w:noWrap/>
            <w:hideMark/>
          </w:tcPr>
          <w:p w14:paraId="25AC61C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Average adult literacy rate (%)</w:t>
            </w:r>
          </w:p>
        </w:tc>
        <w:tc>
          <w:tcPr>
            <w:tcW w:w="1277" w:type="dxa"/>
            <w:tcBorders>
              <w:left w:val="single" w:sz="4" w:space="0" w:color="auto"/>
            </w:tcBorders>
            <w:shd w:val="clear" w:color="auto" w:fill="FFFFFF" w:themeFill="background1"/>
          </w:tcPr>
          <w:p w14:paraId="612F3BE5" w14:textId="1A50244D"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0.96</w:t>
            </w:r>
          </w:p>
        </w:tc>
        <w:tc>
          <w:tcPr>
            <w:tcW w:w="992" w:type="dxa"/>
            <w:shd w:val="clear" w:color="auto" w:fill="D9D9D9" w:themeFill="background1" w:themeFillShade="D9"/>
            <w:noWrap/>
            <w:hideMark/>
          </w:tcPr>
          <w:p w14:paraId="6C19BA06"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0.97</w:t>
            </w:r>
          </w:p>
        </w:tc>
        <w:tc>
          <w:tcPr>
            <w:tcW w:w="567" w:type="dxa"/>
            <w:shd w:val="clear" w:color="auto" w:fill="FFFFFF" w:themeFill="background1"/>
          </w:tcPr>
          <w:p w14:paraId="32025F5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2011048C" w14:textId="5169F7AF"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4.6 is a ‘substantial proportion’ of adults ’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already achieved for Fiji.  Maintain performance.</w:t>
            </w:r>
          </w:p>
        </w:tc>
      </w:tr>
      <w:tr w:rsidR="005403DD" w:rsidRPr="005403DD" w14:paraId="6484B343" w14:textId="77777777" w:rsidTr="00C04DFB">
        <w:trPr>
          <w:trHeight w:val="54"/>
        </w:trPr>
        <w:tc>
          <w:tcPr>
            <w:tcW w:w="510" w:type="dxa"/>
            <w:shd w:val="clear" w:color="auto" w:fill="D9D9D9" w:themeFill="background1" w:themeFillShade="D9"/>
          </w:tcPr>
          <w:p w14:paraId="2FC1EBAF"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3D7B57AA"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3FDEEC59"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661DF922"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26EB6F49"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31190682"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281B6B8A"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3EF95D75"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7F83208D"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3537FA56" w14:textId="77777777" w:rsidTr="00C04DFB">
        <w:trPr>
          <w:trHeight w:val="300"/>
        </w:trPr>
        <w:tc>
          <w:tcPr>
            <w:tcW w:w="510" w:type="dxa"/>
            <w:shd w:val="clear" w:color="auto" w:fill="FFFFFF" w:themeFill="background1"/>
          </w:tcPr>
          <w:p w14:paraId="51DDFCD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5</w:t>
            </w:r>
          </w:p>
        </w:tc>
        <w:tc>
          <w:tcPr>
            <w:tcW w:w="4195" w:type="dxa"/>
            <w:tcBorders>
              <w:right w:val="single" w:sz="4" w:space="0" w:color="auto"/>
            </w:tcBorders>
            <w:shd w:val="clear" w:color="auto" w:fill="auto"/>
          </w:tcPr>
          <w:p w14:paraId="4C3A76D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5.5 Ensure women’s full and effective participation and equal opportunities for leadership at all levels of decision-making in political, economic and public life</w:t>
            </w:r>
          </w:p>
        </w:tc>
        <w:tc>
          <w:tcPr>
            <w:tcW w:w="397" w:type="dxa"/>
            <w:tcBorders>
              <w:left w:val="single" w:sz="4" w:space="0" w:color="auto"/>
              <w:right w:val="single" w:sz="4" w:space="0" w:color="auto"/>
            </w:tcBorders>
            <w:shd w:val="clear" w:color="auto" w:fill="FFFFFF" w:themeFill="background1"/>
          </w:tcPr>
          <w:p w14:paraId="79EEC82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5882B35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5.5.1</w:t>
            </w:r>
          </w:p>
        </w:tc>
        <w:tc>
          <w:tcPr>
            <w:tcW w:w="3862" w:type="dxa"/>
            <w:tcBorders>
              <w:right w:val="single" w:sz="4" w:space="0" w:color="auto"/>
            </w:tcBorders>
            <w:shd w:val="clear" w:color="auto" w:fill="FFFFFF" w:themeFill="background1"/>
            <w:noWrap/>
            <w:hideMark/>
          </w:tcPr>
          <w:p w14:paraId="29275C56"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Proportion of female legislators senior officials and managers (%)</w:t>
            </w:r>
          </w:p>
        </w:tc>
        <w:tc>
          <w:tcPr>
            <w:tcW w:w="1277" w:type="dxa"/>
            <w:tcBorders>
              <w:left w:val="single" w:sz="4" w:space="0" w:color="auto"/>
            </w:tcBorders>
            <w:shd w:val="clear" w:color="auto" w:fill="FFFFFF" w:themeFill="background1"/>
          </w:tcPr>
          <w:p w14:paraId="660E2482" w14:textId="0EE81A09"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0.1</w:t>
            </w:r>
            <w:r w:rsidR="00886326" w:rsidRPr="00AB0BAD">
              <w:rPr>
                <w:rFonts w:ascii="Corbel" w:hAnsi="Corbel" w:cstheme="minorHAnsi"/>
                <w:sz w:val="16"/>
                <w:szCs w:val="16"/>
                <w:lang w:val="en-US"/>
              </w:rPr>
              <w:t>8</w:t>
            </w:r>
          </w:p>
        </w:tc>
        <w:tc>
          <w:tcPr>
            <w:tcW w:w="992" w:type="dxa"/>
            <w:shd w:val="clear" w:color="auto" w:fill="D9D9D9" w:themeFill="background1" w:themeFillShade="D9"/>
            <w:noWrap/>
            <w:hideMark/>
          </w:tcPr>
          <w:p w14:paraId="479B8431" w14:textId="490FA5CB"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3F000E" w:rsidRPr="00AB0BAD">
              <w:rPr>
                <w:rFonts w:ascii="Corbel" w:hAnsi="Corbel" w:cstheme="minorHAnsi"/>
                <w:sz w:val="16"/>
                <w:szCs w:val="16"/>
                <w:lang w:val="en-US"/>
              </w:rPr>
              <w:t>27</w:t>
            </w:r>
          </w:p>
        </w:tc>
        <w:tc>
          <w:tcPr>
            <w:tcW w:w="567" w:type="dxa"/>
            <w:shd w:val="clear" w:color="auto" w:fill="FFFFFF" w:themeFill="background1"/>
          </w:tcPr>
          <w:p w14:paraId="342B140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73AC54A4" w14:textId="3EBB0355"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5.5 is for ‘equal opportunity’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xml:space="preserve">. Target set as </w:t>
            </w:r>
            <w:r w:rsidR="00105E13">
              <w:rPr>
                <w:rFonts w:ascii="Corbel" w:hAnsi="Corbel" w:cstheme="minorHAnsi"/>
                <w:sz w:val="16"/>
                <w:szCs w:val="16"/>
                <w:lang w:val="en-US"/>
              </w:rPr>
              <w:t>50%</w:t>
            </w:r>
            <w:r w:rsidR="003F000E">
              <w:rPr>
                <w:rFonts w:ascii="Corbel" w:hAnsi="Corbel" w:cstheme="minorHAnsi"/>
                <w:sz w:val="16"/>
                <w:szCs w:val="16"/>
                <w:lang w:val="en-US"/>
              </w:rPr>
              <w:t xml:space="preserve"> improvement on</w:t>
            </w:r>
            <w:r w:rsidRPr="005403DD">
              <w:rPr>
                <w:rFonts w:ascii="Corbel" w:hAnsi="Corbel" w:cstheme="minorHAnsi"/>
                <w:sz w:val="16"/>
                <w:szCs w:val="16"/>
                <w:lang w:val="en-US"/>
              </w:rPr>
              <w:t xml:space="preserve"> baseline value by 2030.</w:t>
            </w:r>
          </w:p>
        </w:tc>
      </w:tr>
      <w:tr w:rsidR="005403DD" w:rsidRPr="005403DD" w14:paraId="1FDBD968" w14:textId="77777777" w:rsidTr="00C04DFB">
        <w:trPr>
          <w:trHeight w:val="300"/>
        </w:trPr>
        <w:tc>
          <w:tcPr>
            <w:tcW w:w="510" w:type="dxa"/>
            <w:shd w:val="clear" w:color="auto" w:fill="FFFFFF" w:themeFill="background1"/>
          </w:tcPr>
          <w:p w14:paraId="3F8B784E"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493119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5.6 Ensure universal access to sexual and reproductive health and reproductive rights…</w:t>
            </w:r>
          </w:p>
        </w:tc>
        <w:tc>
          <w:tcPr>
            <w:tcW w:w="397" w:type="dxa"/>
            <w:tcBorders>
              <w:left w:val="single" w:sz="4" w:space="0" w:color="auto"/>
              <w:right w:val="single" w:sz="4" w:space="0" w:color="auto"/>
            </w:tcBorders>
            <w:shd w:val="clear" w:color="auto" w:fill="FFFFFF" w:themeFill="background1"/>
          </w:tcPr>
          <w:p w14:paraId="7917A69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1B5F315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5.6.1</w:t>
            </w:r>
          </w:p>
        </w:tc>
        <w:tc>
          <w:tcPr>
            <w:tcW w:w="3862" w:type="dxa"/>
            <w:tcBorders>
              <w:right w:val="single" w:sz="4" w:space="0" w:color="auto"/>
            </w:tcBorders>
            <w:shd w:val="clear" w:color="auto" w:fill="FFFFFF" w:themeFill="background1"/>
            <w:noWrap/>
            <w:hideMark/>
          </w:tcPr>
          <w:p w14:paraId="2DF5D1A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 xml:space="preserve">Contraceptive prevalence rate (%) </w:t>
            </w:r>
          </w:p>
        </w:tc>
        <w:tc>
          <w:tcPr>
            <w:tcW w:w="1277" w:type="dxa"/>
            <w:tcBorders>
              <w:left w:val="single" w:sz="4" w:space="0" w:color="auto"/>
            </w:tcBorders>
            <w:shd w:val="clear" w:color="auto" w:fill="FFFFFF" w:themeFill="background1"/>
          </w:tcPr>
          <w:p w14:paraId="4A7963E3" w14:textId="3CFBBEC0"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0.5</w:t>
            </w:r>
            <w:r w:rsidR="00E365D7" w:rsidRPr="00AB0BAD">
              <w:rPr>
                <w:rFonts w:ascii="Corbel" w:hAnsi="Corbel" w:cstheme="minorHAnsi"/>
                <w:sz w:val="16"/>
                <w:szCs w:val="16"/>
                <w:lang w:val="en-US"/>
              </w:rPr>
              <w:t>1</w:t>
            </w:r>
          </w:p>
        </w:tc>
        <w:tc>
          <w:tcPr>
            <w:tcW w:w="992" w:type="dxa"/>
            <w:shd w:val="clear" w:color="auto" w:fill="D9D9D9" w:themeFill="background1" w:themeFillShade="D9"/>
            <w:noWrap/>
            <w:hideMark/>
          </w:tcPr>
          <w:p w14:paraId="2DF9E258" w14:textId="3BEF1ECA"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083C2B" w:rsidRPr="00AB0BAD">
              <w:rPr>
                <w:rFonts w:ascii="Corbel" w:hAnsi="Corbel" w:cstheme="minorHAnsi"/>
                <w:sz w:val="16"/>
                <w:szCs w:val="16"/>
                <w:lang w:val="en-US"/>
              </w:rPr>
              <w:t>6</w:t>
            </w:r>
          </w:p>
        </w:tc>
        <w:tc>
          <w:tcPr>
            <w:tcW w:w="567" w:type="dxa"/>
            <w:shd w:val="clear" w:color="auto" w:fill="FFFFFF" w:themeFill="background1"/>
          </w:tcPr>
          <w:p w14:paraId="666D0C8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00859618" w14:textId="2DFFBCA7" w:rsidR="001D1322" w:rsidRPr="005403DD" w:rsidRDefault="00FB2F7E"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as </w:t>
            </w:r>
            <w:r>
              <w:rPr>
                <w:rFonts w:ascii="Corbel" w:hAnsi="Corbel" w:cstheme="minorHAnsi"/>
                <w:sz w:val="16"/>
                <w:szCs w:val="16"/>
                <w:lang w:val="en-US"/>
              </w:rPr>
              <w:t>2</w:t>
            </w:r>
            <w:r w:rsidRPr="005403DD">
              <w:rPr>
                <w:rFonts w:ascii="Corbel" w:hAnsi="Corbel" w:cstheme="minorHAnsi"/>
                <w:sz w:val="16"/>
                <w:szCs w:val="16"/>
                <w:lang w:val="en-US"/>
              </w:rPr>
              <w:t xml:space="preserve">0% increase on baseline value. Population growth in Fiji is slow due to negative net migration. Note average for OECD countries of 70.5%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5403DD" w:rsidRPr="005403DD" w14:paraId="1EE6261F" w14:textId="77777777" w:rsidTr="00C04DFB">
        <w:trPr>
          <w:trHeight w:val="54"/>
        </w:trPr>
        <w:tc>
          <w:tcPr>
            <w:tcW w:w="510" w:type="dxa"/>
            <w:shd w:val="clear" w:color="auto" w:fill="D9D9D9" w:themeFill="background1" w:themeFillShade="D9"/>
          </w:tcPr>
          <w:p w14:paraId="50303795"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64D13B70"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49E213D9"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012055B6"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5084CD7B"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11CBC187"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50CC0ED1"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3F61394C"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0FDFFC7E"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138C2726" w14:textId="77777777" w:rsidTr="00C04DFB">
        <w:trPr>
          <w:trHeight w:val="300"/>
        </w:trPr>
        <w:tc>
          <w:tcPr>
            <w:tcW w:w="510" w:type="dxa"/>
            <w:shd w:val="clear" w:color="auto" w:fill="FFFFFF" w:themeFill="background1"/>
          </w:tcPr>
          <w:p w14:paraId="7E513D8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6</w:t>
            </w:r>
          </w:p>
        </w:tc>
        <w:tc>
          <w:tcPr>
            <w:tcW w:w="4195" w:type="dxa"/>
            <w:tcBorders>
              <w:right w:val="single" w:sz="4" w:space="0" w:color="auto"/>
            </w:tcBorders>
            <w:shd w:val="clear" w:color="auto" w:fill="auto"/>
          </w:tcPr>
          <w:p w14:paraId="0DB1CB0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6.1 By 2030, achieve universal and equitable access to safe and affordable drinking water for all</w:t>
            </w:r>
          </w:p>
        </w:tc>
        <w:tc>
          <w:tcPr>
            <w:tcW w:w="397" w:type="dxa"/>
            <w:tcBorders>
              <w:left w:val="single" w:sz="4" w:space="0" w:color="auto"/>
              <w:right w:val="single" w:sz="4" w:space="0" w:color="auto"/>
            </w:tcBorders>
            <w:shd w:val="clear" w:color="auto" w:fill="FFFFFF" w:themeFill="background1"/>
          </w:tcPr>
          <w:p w14:paraId="78C63F2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6872A2A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6.1.1</w:t>
            </w:r>
          </w:p>
        </w:tc>
        <w:tc>
          <w:tcPr>
            <w:tcW w:w="3862" w:type="dxa"/>
            <w:tcBorders>
              <w:right w:val="single" w:sz="4" w:space="0" w:color="auto"/>
            </w:tcBorders>
            <w:shd w:val="clear" w:color="auto" w:fill="FFFFFF" w:themeFill="background1"/>
            <w:noWrap/>
            <w:hideMark/>
          </w:tcPr>
          <w:p w14:paraId="10D78E1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Average access to improved water source (%)</w:t>
            </w:r>
          </w:p>
        </w:tc>
        <w:tc>
          <w:tcPr>
            <w:tcW w:w="1277" w:type="dxa"/>
            <w:tcBorders>
              <w:left w:val="single" w:sz="4" w:space="0" w:color="auto"/>
            </w:tcBorders>
            <w:shd w:val="clear" w:color="auto" w:fill="FFFFFF" w:themeFill="background1"/>
          </w:tcPr>
          <w:p w14:paraId="387371AF" w14:textId="4D19E7F8"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0.9</w:t>
            </w:r>
            <w:r w:rsidR="00BD0004" w:rsidRPr="00AB0BAD">
              <w:rPr>
                <w:rFonts w:ascii="Corbel" w:hAnsi="Corbel" w:cstheme="minorHAnsi"/>
                <w:sz w:val="16"/>
                <w:szCs w:val="16"/>
                <w:lang w:val="en-US"/>
              </w:rPr>
              <w:t>6</w:t>
            </w:r>
          </w:p>
        </w:tc>
        <w:tc>
          <w:tcPr>
            <w:tcW w:w="992" w:type="dxa"/>
            <w:shd w:val="clear" w:color="auto" w:fill="D9D9D9" w:themeFill="background1" w:themeFillShade="D9"/>
            <w:noWrap/>
            <w:hideMark/>
          </w:tcPr>
          <w:p w14:paraId="3FDD122D"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1</w:t>
            </w:r>
          </w:p>
        </w:tc>
        <w:tc>
          <w:tcPr>
            <w:tcW w:w="567" w:type="dxa"/>
            <w:shd w:val="clear" w:color="auto" w:fill="FFFFFF" w:themeFill="background1"/>
          </w:tcPr>
          <w:p w14:paraId="1F0F2CC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2434AAE0"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6.1 is for universal access = 100%. </w:t>
            </w:r>
          </w:p>
        </w:tc>
      </w:tr>
      <w:tr w:rsidR="005403DD" w:rsidRPr="005403DD" w14:paraId="4C585151" w14:textId="77777777" w:rsidTr="00C04DFB">
        <w:trPr>
          <w:trHeight w:val="300"/>
        </w:trPr>
        <w:tc>
          <w:tcPr>
            <w:tcW w:w="510" w:type="dxa"/>
            <w:shd w:val="clear" w:color="auto" w:fill="FFFFFF" w:themeFill="background1"/>
          </w:tcPr>
          <w:p w14:paraId="02C69322"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170726E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6.2 By 2030, achieve access to adequate and equitable sanitation and hygiene for all</w:t>
            </w:r>
          </w:p>
        </w:tc>
        <w:tc>
          <w:tcPr>
            <w:tcW w:w="397" w:type="dxa"/>
            <w:tcBorders>
              <w:left w:val="single" w:sz="4" w:space="0" w:color="auto"/>
              <w:right w:val="single" w:sz="4" w:space="0" w:color="auto"/>
            </w:tcBorders>
            <w:shd w:val="clear" w:color="auto" w:fill="FFFFFF" w:themeFill="background1"/>
          </w:tcPr>
          <w:p w14:paraId="086CB54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4D724BB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6.2.1</w:t>
            </w:r>
          </w:p>
        </w:tc>
        <w:tc>
          <w:tcPr>
            <w:tcW w:w="3862" w:type="dxa"/>
            <w:tcBorders>
              <w:right w:val="single" w:sz="4" w:space="0" w:color="auto"/>
            </w:tcBorders>
            <w:shd w:val="clear" w:color="auto" w:fill="FFFFFF" w:themeFill="background1"/>
            <w:noWrap/>
            <w:hideMark/>
          </w:tcPr>
          <w:p w14:paraId="34CF81C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Average access to improved sanitation facility (%)</w:t>
            </w:r>
          </w:p>
        </w:tc>
        <w:tc>
          <w:tcPr>
            <w:tcW w:w="1277" w:type="dxa"/>
            <w:tcBorders>
              <w:left w:val="single" w:sz="4" w:space="0" w:color="auto"/>
            </w:tcBorders>
            <w:shd w:val="clear" w:color="auto" w:fill="FFFFFF" w:themeFill="background1"/>
          </w:tcPr>
          <w:p w14:paraId="17B3528B" w14:textId="7F210422"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0.9</w:t>
            </w:r>
            <w:r w:rsidR="00F93702" w:rsidRPr="00AB0BAD">
              <w:rPr>
                <w:rFonts w:ascii="Corbel" w:hAnsi="Corbel" w:cstheme="minorHAnsi"/>
                <w:sz w:val="16"/>
                <w:szCs w:val="16"/>
                <w:lang w:val="en-US"/>
              </w:rPr>
              <w:t>3</w:t>
            </w:r>
          </w:p>
        </w:tc>
        <w:tc>
          <w:tcPr>
            <w:tcW w:w="992" w:type="dxa"/>
            <w:shd w:val="clear" w:color="auto" w:fill="D9D9D9" w:themeFill="background1" w:themeFillShade="D9"/>
            <w:noWrap/>
            <w:hideMark/>
          </w:tcPr>
          <w:p w14:paraId="55725365"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1</w:t>
            </w:r>
          </w:p>
        </w:tc>
        <w:tc>
          <w:tcPr>
            <w:tcW w:w="567" w:type="dxa"/>
            <w:shd w:val="clear" w:color="auto" w:fill="FFFFFF" w:themeFill="background1"/>
          </w:tcPr>
          <w:p w14:paraId="1DF62CA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081C9A4E"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6.2 is for universal access = 100%.</w:t>
            </w:r>
          </w:p>
        </w:tc>
      </w:tr>
      <w:tr w:rsidR="005403DD" w:rsidRPr="005403DD" w14:paraId="44D9BDB4" w14:textId="77777777" w:rsidTr="00C04DFB">
        <w:trPr>
          <w:trHeight w:val="300"/>
        </w:trPr>
        <w:tc>
          <w:tcPr>
            <w:tcW w:w="510" w:type="dxa"/>
            <w:shd w:val="clear" w:color="auto" w:fill="FFFFFF" w:themeFill="background1"/>
          </w:tcPr>
          <w:p w14:paraId="733465FE"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3C39ABB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6.4 By 2030, substantially increase water-use efficiency across all sectors and ensure sustainable withdrawals and supply of freshwater…</w:t>
            </w:r>
          </w:p>
        </w:tc>
        <w:tc>
          <w:tcPr>
            <w:tcW w:w="397" w:type="dxa"/>
            <w:tcBorders>
              <w:left w:val="single" w:sz="4" w:space="0" w:color="auto"/>
              <w:right w:val="single" w:sz="4" w:space="0" w:color="auto"/>
            </w:tcBorders>
            <w:shd w:val="clear" w:color="auto" w:fill="FFFFFF" w:themeFill="background1"/>
          </w:tcPr>
          <w:p w14:paraId="0B7E9C9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1349733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6.4.1</w:t>
            </w:r>
          </w:p>
        </w:tc>
        <w:tc>
          <w:tcPr>
            <w:tcW w:w="3862" w:type="dxa"/>
            <w:tcBorders>
              <w:right w:val="single" w:sz="4" w:space="0" w:color="auto"/>
            </w:tcBorders>
            <w:shd w:val="clear" w:color="auto" w:fill="FFFFFF" w:themeFill="background1"/>
            <w:noWrap/>
            <w:hideMark/>
          </w:tcPr>
          <w:p w14:paraId="03D6E21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Total water withdrawal per unit of GDP (m3/$real GDP)</w:t>
            </w:r>
          </w:p>
        </w:tc>
        <w:tc>
          <w:tcPr>
            <w:tcW w:w="1277" w:type="dxa"/>
            <w:tcBorders>
              <w:left w:val="single" w:sz="4" w:space="0" w:color="auto"/>
            </w:tcBorders>
            <w:shd w:val="clear" w:color="auto" w:fill="FFFFFF" w:themeFill="background1"/>
          </w:tcPr>
          <w:p w14:paraId="65ABB07E" w14:textId="15FA1A12"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0.01</w:t>
            </w:r>
          </w:p>
        </w:tc>
        <w:tc>
          <w:tcPr>
            <w:tcW w:w="992" w:type="dxa"/>
            <w:shd w:val="clear" w:color="auto" w:fill="D9D9D9" w:themeFill="background1" w:themeFillShade="D9"/>
            <w:noWrap/>
            <w:hideMark/>
          </w:tcPr>
          <w:p w14:paraId="069EB774" w14:textId="4503F223"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w:t>
            </w:r>
            <w:r w:rsidR="00604C62" w:rsidRPr="00AB0BAD">
              <w:rPr>
                <w:rFonts w:ascii="Corbel" w:hAnsi="Corbel" w:cstheme="minorHAnsi"/>
                <w:sz w:val="16"/>
                <w:szCs w:val="16"/>
                <w:lang w:val="en-US"/>
              </w:rPr>
              <w:t>7</w:t>
            </w:r>
          </w:p>
        </w:tc>
        <w:tc>
          <w:tcPr>
            <w:tcW w:w="567" w:type="dxa"/>
            <w:shd w:val="clear" w:color="auto" w:fill="FFFFFF" w:themeFill="background1"/>
          </w:tcPr>
          <w:p w14:paraId="11F0A34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57B48EDE" w14:textId="06F646D5"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6.4 is for a ‘substantial increase’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xml:space="preserve">. Target set as 30% improvement on baseline value; calibrated from historic trend data, BAU projection and global trend and outlook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&lt;EndNote&gt;&lt;Cite&gt;&lt;Author&gt;FAO&lt;/Author&gt;&lt;Year&gt;2018&lt;/Year&gt;&lt;RecNum&gt;1066&lt;/RecNum&gt;&lt;DisplayText&gt;(FAO, 2018, Organisation for Economic Cooperation and Development, 2012)&lt;/DisplayText&gt;&lt;record&gt;&lt;rec-number&gt;1066&lt;/rec-number&gt;&lt;foreign-keys&gt;&lt;key app="EN" db-id="9vsrvaat7fadwtesfsrpw5w5t0x5v500ef25" timestamp="1565163605"&gt;1066&lt;/key&gt;&lt;/foreign-keys&gt;&lt;ref-type name="Online Database"&gt;45&lt;/ref-type&gt;&lt;contributors&gt;&lt;authors&gt;&lt;author&gt;FAO,&lt;/author&gt;&lt;/authors&gt;&lt;/contributors&gt;&lt;titles&gt;&lt;title&gt;AQUASTAT&lt;/title&gt;&lt;/titles&gt;&lt;dates&gt;&lt;year&gt;2018&lt;/year&gt;&lt;pub-dates&gt;&lt;date&gt;21/02/18&lt;/date&gt;&lt;/pub-dates&gt;&lt;/dates&gt;&lt;pub-location&gt;Rome, Italy&lt;/pub-location&gt;&lt;publisher&gt;Food and Agriculture Organisation of the United Nations&lt;/publisher&gt;&lt;urls&gt;&lt;related-urls&gt;&lt;url&gt;http://www.fao.org/aquastat/en/&lt;/url&gt;&lt;/related-urls&gt;&lt;/urls&gt;&lt;/record&gt;&lt;/Cite&gt;&lt;Cite&gt;&lt;Author&gt;Organisation for Economic Cooperation and Development&lt;/Author&gt;&lt;Year&gt;2012&lt;/Year&gt;&lt;RecNum&gt;886&lt;/RecNum&gt;&lt;record&gt;&lt;rec-number&gt;886&lt;/rec-number&gt;&lt;foreign-keys&gt;&lt;key app="EN" db-id="9vsrvaat7fadwtesfsrpw5w5t0x5v500ef25" timestamp="1542428002"&gt;886&lt;/key&gt;&lt;/foreign-keys&gt;&lt;ref-type name="Generic"&gt;13&lt;/ref-type&gt;&lt;contributors&gt;&lt;authors&gt;&lt;author&gt;Organisation for Economic Cooperation and Development,&lt;/author&gt;&lt;/authors&gt;&lt;/contributors&gt;&lt;titles&gt;&lt;title&gt;OECD Environmental Outlook to 2050: The consequences of inaction&lt;/title&gt;&lt;/titles&gt;&lt;dates&gt;&lt;year&gt;2012&lt;/year&gt;&lt;/dates&gt;&lt;pub-location&gt;Paris&lt;/pub-location&gt;&lt;publisher&gt;OECD&lt;/publisher&gt;&lt;urls&gt;&lt;/urls&gt;&lt;/record&gt;&lt;/Cite&gt;&lt;/EndNote&gt;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 xml:space="preserve">(FAO, 2018, Organisation for </w:t>
            </w:r>
            <w:r w:rsidRPr="005403DD">
              <w:rPr>
                <w:rFonts w:ascii="Corbel" w:hAnsi="Corbel" w:cstheme="minorHAnsi"/>
                <w:noProof/>
                <w:sz w:val="16"/>
                <w:szCs w:val="16"/>
                <w:lang w:val="en-US"/>
              </w:rPr>
              <w:lastRenderedPageBreak/>
              <w:t>Economic Cooperation and Development, 2012)</w:t>
            </w:r>
            <w:r w:rsidRPr="005403DD">
              <w:rPr>
                <w:rFonts w:ascii="Corbel" w:hAnsi="Corbel" w:cstheme="minorHAnsi"/>
                <w:sz w:val="16"/>
                <w:szCs w:val="16"/>
                <w:lang w:val="en-US"/>
              </w:rPr>
              <w:fldChar w:fldCharType="end"/>
            </w:r>
          </w:p>
        </w:tc>
      </w:tr>
      <w:tr w:rsidR="005403DD" w:rsidRPr="005403DD" w14:paraId="2BF142AD" w14:textId="77777777" w:rsidTr="00C04DFB">
        <w:trPr>
          <w:trHeight w:val="300"/>
        </w:trPr>
        <w:tc>
          <w:tcPr>
            <w:tcW w:w="510" w:type="dxa"/>
            <w:shd w:val="clear" w:color="auto" w:fill="FFFFFF" w:themeFill="background1"/>
          </w:tcPr>
          <w:p w14:paraId="704F812C" w14:textId="77777777" w:rsidR="001D1322" w:rsidRPr="005403DD" w:rsidRDefault="001D1322" w:rsidP="00C04DFB">
            <w:pPr>
              <w:spacing w:after="0"/>
              <w:rPr>
                <w:rFonts w:ascii="Corbel" w:hAnsi="Corbel" w:cstheme="minorHAnsi"/>
                <w:sz w:val="16"/>
                <w:szCs w:val="16"/>
                <w:lang w:val="en-AU"/>
              </w:rPr>
            </w:pPr>
          </w:p>
        </w:tc>
        <w:tc>
          <w:tcPr>
            <w:tcW w:w="4195" w:type="dxa"/>
            <w:tcBorders>
              <w:right w:val="single" w:sz="4" w:space="0" w:color="auto"/>
            </w:tcBorders>
            <w:shd w:val="clear" w:color="auto" w:fill="auto"/>
          </w:tcPr>
          <w:p w14:paraId="351B6C92" w14:textId="77777777" w:rsidR="001D1322" w:rsidRPr="005403DD" w:rsidRDefault="001D1322" w:rsidP="00C04DFB">
            <w:pPr>
              <w:spacing w:after="0"/>
              <w:rPr>
                <w:rFonts w:ascii="Corbel" w:hAnsi="Corbel" w:cstheme="minorHAnsi"/>
                <w:sz w:val="16"/>
                <w:szCs w:val="16"/>
                <w:lang w:val="en-AU"/>
              </w:rPr>
            </w:pPr>
            <w:r w:rsidRPr="005403DD">
              <w:rPr>
                <w:rFonts w:ascii="Corbel" w:hAnsi="Corbel" w:cstheme="minorHAnsi"/>
                <w:sz w:val="16"/>
                <w:szCs w:val="16"/>
                <w:lang w:val="en-AU"/>
              </w:rPr>
              <w:t>6.4</w:t>
            </w:r>
          </w:p>
        </w:tc>
        <w:tc>
          <w:tcPr>
            <w:tcW w:w="397" w:type="dxa"/>
            <w:tcBorders>
              <w:left w:val="single" w:sz="4" w:space="0" w:color="auto"/>
              <w:right w:val="single" w:sz="4" w:space="0" w:color="auto"/>
            </w:tcBorders>
            <w:shd w:val="clear" w:color="auto" w:fill="FFFFFF" w:themeFill="background1"/>
          </w:tcPr>
          <w:p w14:paraId="7820F2F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23166E2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6.4.2</w:t>
            </w:r>
          </w:p>
        </w:tc>
        <w:tc>
          <w:tcPr>
            <w:tcW w:w="3862" w:type="dxa"/>
            <w:tcBorders>
              <w:right w:val="single" w:sz="4" w:space="0" w:color="auto"/>
            </w:tcBorders>
            <w:shd w:val="clear" w:color="auto" w:fill="FFFFFF" w:themeFill="background1"/>
            <w:noWrap/>
            <w:hideMark/>
          </w:tcPr>
          <w:p w14:paraId="2E8BFE5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Water resources vulnerability index (%)</w:t>
            </w:r>
          </w:p>
        </w:tc>
        <w:tc>
          <w:tcPr>
            <w:tcW w:w="1277" w:type="dxa"/>
            <w:tcBorders>
              <w:left w:val="single" w:sz="4" w:space="0" w:color="auto"/>
            </w:tcBorders>
            <w:shd w:val="clear" w:color="auto" w:fill="FFFFFF" w:themeFill="background1"/>
          </w:tcPr>
          <w:p w14:paraId="4BAA4B31"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0.003</w:t>
            </w:r>
          </w:p>
        </w:tc>
        <w:tc>
          <w:tcPr>
            <w:tcW w:w="992" w:type="dxa"/>
            <w:shd w:val="clear" w:color="auto" w:fill="D9D9D9" w:themeFill="background1" w:themeFillShade="D9"/>
            <w:noWrap/>
            <w:hideMark/>
          </w:tcPr>
          <w:p w14:paraId="5F1377FB"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0.1</w:t>
            </w:r>
          </w:p>
        </w:tc>
        <w:tc>
          <w:tcPr>
            <w:tcW w:w="567" w:type="dxa"/>
            <w:shd w:val="clear" w:color="auto" w:fill="FFFFFF" w:themeFill="background1"/>
          </w:tcPr>
          <w:p w14:paraId="08EEC89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4B919AED"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6.4 is for ‘sustainable withdrawal and supply’. Index score is low for Fiji.  </w:t>
            </w:r>
            <w:r w:rsidRPr="005403DD">
              <w:rPr>
                <w:sz w:val="16"/>
                <w:szCs w:val="16"/>
              </w:rPr>
              <w:t xml:space="preserve">A country is considered water scarce if annual withdrawals are between 20 and 40% of annual supply, and severely water scarce if withdrawals exceed 40% (Raskin et al., 1997). </w:t>
            </w:r>
            <w:r w:rsidRPr="005403DD">
              <w:rPr>
                <w:rFonts w:ascii="Corbel" w:hAnsi="Corbel" w:cstheme="minorHAnsi"/>
                <w:sz w:val="16"/>
                <w:szCs w:val="16"/>
                <w:lang w:val="en-US"/>
              </w:rPr>
              <w:t>Target set as maintain at 10% or below.</w:t>
            </w:r>
          </w:p>
        </w:tc>
      </w:tr>
      <w:tr w:rsidR="005403DD" w:rsidRPr="005403DD" w14:paraId="676A81C2" w14:textId="77777777" w:rsidTr="00C04DFB">
        <w:trPr>
          <w:trHeight w:val="54"/>
        </w:trPr>
        <w:tc>
          <w:tcPr>
            <w:tcW w:w="510" w:type="dxa"/>
            <w:shd w:val="clear" w:color="auto" w:fill="D9D9D9" w:themeFill="background1" w:themeFillShade="D9"/>
          </w:tcPr>
          <w:p w14:paraId="6197B2C0" w14:textId="77777777" w:rsidR="001D1322" w:rsidRPr="005403DD" w:rsidRDefault="001D1322" w:rsidP="00C04DFB">
            <w:pPr>
              <w:spacing w:after="0"/>
              <w:rPr>
                <w:rFonts w:ascii="Corbel" w:hAnsi="Corbel" w:cstheme="minorHAnsi"/>
                <w:sz w:val="8"/>
                <w:szCs w:val="8"/>
                <w:lang w:val="en-AU"/>
              </w:rPr>
            </w:pPr>
          </w:p>
        </w:tc>
        <w:tc>
          <w:tcPr>
            <w:tcW w:w="4195" w:type="dxa"/>
            <w:tcBorders>
              <w:right w:val="single" w:sz="4" w:space="0" w:color="auto"/>
            </w:tcBorders>
            <w:shd w:val="clear" w:color="auto" w:fill="D9D9D9" w:themeFill="background1" w:themeFillShade="D9"/>
          </w:tcPr>
          <w:p w14:paraId="13B149AB" w14:textId="77777777" w:rsidR="001D1322" w:rsidRPr="005403DD" w:rsidRDefault="001D1322" w:rsidP="00C04DFB">
            <w:pPr>
              <w:spacing w:after="0"/>
              <w:rPr>
                <w:rFonts w:ascii="Corbel" w:hAnsi="Corbel" w:cstheme="minorHAnsi"/>
                <w:sz w:val="8"/>
                <w:szCs w:val="8"/>
                <w:lang w:val="en-AU"/>
              </w:rPr>
            </w:pPr>
          </w:p>
        </w:tc>
        <w:tc>
          <w:tcPr>
            <w:tcW w:w="397" w:type="dxa"/>
            <w:tcBorders>
              <w:left w:val="single" w:sz="4" w:space="0" w:color="auto"/>
              <w:right w:val="single" w:sz="4" w:space="0" w:color="auto"/>
            </w:tcBorders>
            <w:shd w:val="clear" w:color="auto" w:fill="D9D9D9" w:themeFill="background1" w:themeFillShade="D9"/>
          </w:tcPr>
          <w:p w14:paraId="1363D767"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784B3952"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78E2F3C0"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35ADFB6C"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6E931CA6"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1CBEF1E9"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645336CF"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6906719F" w14:textId="77777777" w:rsidTr="00C04DFB">
        <w:trPr>
          <w:trHeight w:val="300"/>
        </w:trPr>
        <w:tc>
          <w:tcPr>
            <w:tcW w:w="510" w:type="dxa"/>
            <w:shd w:val="clear" w:color="auto" w:fill="auto"/>
          </w:tcPr>
          <w:p w14:paraId="7C00D22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w:t>
            </w:r>
          </w:p>
        </w:tc>
        <w:tc>
          <w:tcPr>
            <w:tcW w:w="4195" w:type="dxa"/>
            <w:tcBorders>
              <w:right w:val="single" w:sz="4" w:space="0" w:color="auto"/>
            </w:tcBorders>
            <w:shd w:val="clear" w:color="auto" w:fill="auto"/>
          </w:tcPr>
          <w:p w14:paraId="468B2AD6"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7.1 By 2030, ensure universal access to affordable, reliable and modern energy services</w:t>
            </w:r>
          </w:p>
        </w:tc>
        <w:tc>
          <w:tcPr>
            <w:tcW w:w="397" w:type="dxa"/>
            <w:tcBorders>
              <w:left w:val="single" w:sz="4" w:space="0" w:color="auto"/>
              <w:right w:val="single" w:sz="4" w:space="0" w:color="auto"/>
            </w:tcBorders>
            <w:shd w:val="clear" w:color="auto" w:fill="FFFFFF" w:themeFill="background1"/>
          </w:tcPr>
          <w:p w14:paraId="63F7399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1E686A1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7.1.1</w:t>
            </w:r>
          </w:p>
        </w:tc>
        <w:tc>
          <w:tcPr>
            <w:tcW w:w="3862" w:type="dxa"/>
            <w:tcBorders>
              <w:right w:val="single" w:sz="4" w:space="0" w:color="auto"/>
            </w:tcBorders>
            <w:shd w:val="clear" w:color="auto" w:fill="FFFFFF" w:themeFill="background1"/>
            <w:noWrap/>
            <w:hideMark/>
          </w:tcPr>
          <w:p w14:paraId="26BB865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Percentage of population with access to electricity (%)</w:t>
            </w:r>
          </w:p>
        </w:tc>
        <w:tc>
          <w:tcPr>
            <w:tcW w:w="1277" w:type="dxa"/>
            <w:tcBorders>
              <w:left w:val="single" w:sz="4" w:space="0" w:color="auto"/>
            </w:tcBorders>
            <w:shd w:val="clear" w:color="auto" w:fill="FFFFFF" w:themeFill="background1"/>
          </w:tcPr>
          <w:p w14:paraId="031EA7F5" w14:textId="5528BDEB"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9</w:t>
            </w:r>
            <w:r w:rsidR="006E124B" w:rsidRPr="00AB0BAD">
              <w:rPr>
                <w:rFonts w:ascii="Corbel" w:hAnsi="Corbel" w:cstheme="minorHAnsi"/>
                <w:sz w:val="16"/>
                <w:szCs w:val="16"/>
                <w:lang w:val="en-US"/>
              </w:rPr>
              <w:t>4.7</w:t>
            </w:r>
          </w:p>
        </w:tc>
        <w:tc>
          <w:tcPr>
            <w:tcW w:w="992" w:type="dxa"/>
            <w:shd w:val="clear" w:color="auto" w:fill="D9D9D9" w:themeFill="background1" w:themeFillShade="D9"/>
            <w:noWrap/>
            <w:hideMark/>
          </w:tcPr>
          <w:p w14:paraId="4A1E1362"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100</w:t>
            </w:r>
          </w:p>
        </w:tc>
        <w:tc>
          <w:tcPr>
            <w:tcW w:w="567" w:type="dxa"/>
            <w:shd w:val="clear" w:color="auto" w:fill="FFFFFF" w:themeFill="background1"/>
          </w:tcPr>
          <w:p w14:paraId="7EDA64F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1B60BB84"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7.1 is for universal access = 100%. Same as NDP target. </w:t>
            </w:r>
          </w:p>
        </w:tc>
      </w:tr>
      <w:tr w:rsidR="005403DD" w:rsidRPr="005403DD" w14:paraId="0DDF9C6B" w14:textId="77777777" w:rsidTr="00C04DFB">
        <w:trPr>
          <w:trHeight w:val="300"/>
        </w:trPr>
        <w:tc>
          <w:tcPr>
            <w:tcW w:w="510" w:type="dxa"/>
            <w:shd w:val="clear" w:color="auto" w:fill="auto"/>
          </w:tcPr>
          <w:p w14:paraId="3741C338"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70EB08B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7.2 By 2030, increase substantially the share of renewable energy in the global energy mix</w:t>
            </w:r>
          </w:p>
        </w:tc>
        <w:tc>
          <w:tcPr>
            <w:tcW w:w="397" w:type="dxa"/>
            <w:tcBorders>
              <w:left w:val="single" w:sz="4" w:space="0" w:color="auto"/>
              <w:right w:val="single" w:sz="4" w:space="0" w:color="auto"/>
            </w:tcBorders>
            <w:shd w:val="clear" w:color="auto" w:fill="FFFFFF" w:themeFill="background1"/>
          </w:tcPr>
          <w:p w14:paraId="03BB533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447437E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7.2.1</w:t>
            </w:r>
          </w:p>
        </w:tc>
        <w:tc>
          <w:tcPr>
            <w:tcW w:w="3862" w:type="dxa"/>
            <w:tcBorders>
              <w:right w:val="single" w:sz="4" w:space="0" w:color="auto"/>
            </w:tcBorders>
            <w:shd w:val="clear" w:color="auto" w:fill="FFFFFF" w:themeFill="background1"/>
            <w:noWrap/>
            <w:hideMark/>
          </w:tcPr>
          <w:p w14:paraId="39925BD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Renewable share in total final energy consumption (%)</w:t>
            </w:r>
          </w:p>
        </w:tc>
        <w:tc>
          <w:tcPr>
            <w:tcW w:w="1277" w:type="dxa"/>
            <w:tcBorders>
              <w:left w:val="single" w:sz="4" w:space="0" w:color="auto"/>
            </w:tcBorders>
            <w:shd w:val="clear" w:color="auto" w:fill="FFFFFF" w:themeFill="background1"/>
          </w:tcPr>
          <w:p w14:paraId="3EDADBD1" w14:textId="21C282E9"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0.35</w:t>
            </w:r>
          </w:p>
        </w:tc>
        <w:tc>
          <w:tcPr>
            <w:tcW w:w="992" w:type="dxa"/>
            <w:shd w:val="clear" w:color="auto" w:fill="D9D9D9" w:themeFill="background1" w:themeFillShade="D9"/>
            <w:noWrap/>
            <w:hideMark/>
          </w:tcPr>
          <w:p w14:paraId="6D2FB30B" w14:textId="08759439"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F22917" w:rsidRPr="00AB0BAD">
              <w:rPr>
                <w:rFonts w:ascii="Corbel" w:hAnsi="Corbel" w:cstheme="minorHAnsi"/>
                <w:sz w:val="16"/>
                <w:szCs w:val="16"/>
                <w:lang w:val="en-US"/>
              </w:rPr>
              <w:t>5</w:t>
            </w:r>
          </w:p>
        </w:tc>
        <w:tc>
          <w:tcPr>
            <w:tcW w:w="567" w:type="dxa"/>
            <w:shd w:val="clear" w:color="auto" w:fill="FFFFFF" w:themeFill="background1"/>
          </w:tcPr>
          <w:p w14:paraId="59F4B03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FFFFFF" w:themeFill="background1"/>
          </w:tcPr>
          <w:p w14:paraId="1B184A1B" w14:textId="79CDBD23"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Target.2 is for a substantial increase. Set </w:t>
            </w:r>
            <w:r w:rsidR="00985EC4">
              <w:rPr>
                <w:rFonts w:ascii="Corbel" w:hAnsi="Corbel" w:cstheme="minorHAnsi"/>
                <w:sz w:val="16"/>
                <w:szCs w:val="16"/>
                <w:lang w:val="en-US"/>
              </w:rPr>
              <w:t>at 50% above</w:t>
            </w:r>
            <w:r w:rsidRPr="005403DD">
              <w:rPr>
                <w:rFonts w:ascii="Corbel" w:hAnsi="Corbel" w:cstheme="minorHAnsi"/>
                <w:sz w:val="16"/>
                <w:szCs w:val="16"/>
                <w:lang w:val="en-US"/>
              </w:rPr>
              <w:t xml:space="preserve"> baseline or 0.</w:t>
            </w:r>
            <w:r w:rsidR="00F22917">
              <w:rPr>
                <w:rFonts w:ascii="Corbel" w:hAnsi="Corbel" w:cstheme="minorHAnsi"/>
                <w:sz w:val="16"/>
                <w:szCs w:val="16"/>
                <w:lang w:val="en-US"/>
              </w:rPr>
              <w:t>5</w:t>
            </w:r>
            <w:r w:rsidRPr="005403DD">
              <w:rPr>
                <w:rFonts w:ascii="Corbel" w:hAnsi="Corbel" w:cstheme="minorHAnsi"/>
                <w:sz w:val="16"/>
                <w:szCs w:val="16"/>
                <w:lang w:val="en-US"/>
              </w:rPr>
              <w:t xml:space="preserve">; based on global energy data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5403DD" w:rsidRPr="005403DD" w14:paraId="40098D45" w14:textId="77777777" w:rsidTr="00C04DFB">
        <w:trPr>
          <w:trHeight w:val="300"/>
        </w:trPr>
        <w:tc>
          <w:tcPr>
            <w:tcW w:w="510" w:type="dxa"/>
            <w:shd w:val="clear" w:color="auto" w:fill="auto"/>
          </w:tcPr>
          <w:p w14:paraId="56806799"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1713314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7.2</w:t>
            </w:r>
          </w:p>
        </w:tc>
        <w:tc>
          <w:tcPr>
            <w:tcW w:w="397" w:type="dxa"/>
            <w:tcBorders>
              <w:left w:val="single" w:sz="4" w:space="0" w:color="auto"/>
              <w:right w:val="single" w:sz="4" w:space="0" w:color="auto"/>
            </w:tcBorders>
            <w:shd w:val="clear" w:color="auto" w:fill="FFFFFF" w:themeFill="background1"/>
          </w:tcPr>
          <w:p w14:paraId="56570CD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tcPr>
          <w:p w14:paraId="6494AB4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7.2.1.ALT</w:t>
            </w:r>
          </w:p>
        </w:tc>
        <w:tc>
          <w:tcPr>
            <w:tcW w:w="3862" w:type="dxa"/>
            <w:tcBorders>
              <w:right w:val="single" w:sz="4" w:space="0" w:color="auto"/>
            </w:tcBorders>
            <w:shd w:val="clear" w:color="auto" w:fill="FFFFFF" w:themeFill="background1"/>
            <w:noWrap/>
          </w:tcPr>
          <w:p w14:paraId="367CE4A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Renewable share in electricity (%)</w:t>
            </w:r>
          </w:p>
        </w:tc>
        <w:tc>
          <w:tcPr>
            <w:tcW w:w="1277" w:type="dxa"/>
            <w:tcBorders>
              <w:left w:val="single" w:sz="4" w:space="0" w:color="auto"/>
            </w:tcBorders>
            <w:shd w:val="clear" w:color="auto" w:fill="FFFFFF" w:themeFill="background1"/>
          </w:tcPr>
          <w:p w14:paraId="705D4E55"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0.47</w:t>
            </w:r>
          </w:p>
        </w:tc>
        <w:tc>
          <w:tcPr>
            <w:tcW w:w="992" w:type="dxa"/>
            <w:shd w:val="clear" w:color="auto" w:fill="D9D9D9" w:themeFill="background1" w:themeFillShade="D9"/>
            <w:noWrap/>
          </w:tcPr>
          <w:p w14:paraId="46930764" w14:textId="4E5A66FA"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4728F6" w:rsidRPr="00AB0BAD">
              <w:rPr>
                <w:rFonts w:ascii="Corbel" w:hAnsi="Corbel" w:cstheme="minorHAnsi"/>
                <w:sz w:val="16"/>
                <w:szCs w:val="16"/>
                <w:lang w:val="en-US"/>
              </w:rPr>
              <w:t>8</w:t>
            </w:r>
          </w:p>
        </w:tc>
        <w:tc>
          <w:tcPr>
            <w:tcW w:w="567" w:type="dxa"/>
            <w:shd w:val="clear" w:color="auto" w:fill="FFFFFF" w:themeFill="background1"/>
          </w:tcPr>
          <w:p w14:paraId="118F728E" w14:textId="40EF4731" w:rsidR="001D1322" w:rsidRPr="005403DD" w:rsidRDefault="00C8478A" w:rsidP="00C04DFB">
            <w:pPr>
              <w:spacing w:after="0"/>
              <w:rPr>
                <w:rFonts w:ascii="Corbel" w:hAnsi="Corbel" w:cstheme="minorHAnsi"/>
                <w:sz w:val="16"/>
                <w:szCs w:val="16"/>
                <w:lang w:val="en-US"/>
              </w:rPr>
            </w:pPr>
            <w:r>
              <w:rPr>
                <w:rFonts w:ascii="Corbel" w:hAnsi="Corbel" w:cstheme="minorHAnsi"/>
                <w:sz w:val="16"/>
                <w:szCs w:val="16"/>
                <w:lang w:val="en-US"/>
              </w:rPr>
              <w:t>R</w:t>
            </w:r>
          </w:p>
        </w:tc>
        <w:tc>
          <w:tcPr>
            <w:tcW w:w="2693" w:type="dxa"/>
            <w:shd w:val="clear" w:color="auto" w:fill="FFFFFF" w:themeFill="background1"/>
          </w:tcPr>
          <w:p w14:paraId="472A624A" w14:textId="038ADD46"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Target set based Fiji NDP target value for 2031</w:t>
            </w:r>
            <w:r w:rsidR="0033028B">
              <w:rPr>
                <w:rFonts w:ascii="Corbel" w:hAnsi="Corbel" w:cstheme="minorHAnsi"/>
                <w:sz w:val="16"/>
                <w:szCs w:val="16"/>
                <w:lang w:val="en-US"/>
              </w:rPr>
              <w:t xml:space="preserve">; </w:t>
            </w:r>
            <w:r w:rsidR="00BF2AED">
              <w:rPr>
                <w:rFonts w:ascii="Corbel" w:hAnsi="Corbel" w:cstheme="minorHAnsi"/>
                <w:sz w:val="16"/>
                <w:szCs w:val="16"/>
                <w:lang w:val="en-US"/>
              </w:rPr>
              <w:t>7</w:t>
            </w:r>
            <w:r w:rsidR="0033028B">
              <w:rPr>
                <w:rFonts w:ascii="Corbel" w:hAnsi="Corbel" w:cstheme="minorHAnsi"/>
                <w:sz w:val="16"/>
                <w:szCs w:val="16"/>
                <w:lang w:val="en-US"/>
              </w:rPr>
              <w:t>0% improvement on baseline by 2030</w:t>
            </w:r>
          </w:p>
        </w:tc>
      </w:tr>
      <w:tr w:rsidR="005403DD" w:rsidRPr="005403DD" w14:paraId="3F746124" w14:textId="77777777" w:rsidTr="00C04DFB">
        <w:trPr>
          <w:trHeight w:val="300"/>
        </w:trPr>
        <w:tc>
          <w:tcPr>
            <w:tcW w:w="510" w:type="dxa"/>
            <w:shd w:val="clear" w:color="auto" w:fill="auto"/>
          </w:tcPr>
          <w:p w14:paraId="497D687B"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B1E1D6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7.3 By 2030, double the global rate of improvement in energy efficiency</w:t>
            </w:r>
          </w:p>
        </w:tc>
        <w:tc>
          <w:tcPr>
            <w:tcW w:w="397" w:type="dxa"/>
            <w:tcBorders>
              <w:left w:val="single" w:sz="4" w:space="0" w:color="auto"/>
              <w:right w:val="single" w:sz="4" w:space="0" w:color="auto"/>
            </w:tcBorders>
            <w:shd w:val="clear" w:color="auto" w:fill="FFFFFF" w:themeFill="background1"/>
          </w:tcPr>
          <w:p w14:paraId="7D5B201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2BEB996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7.3.1</w:t>
            </w:r>
          </w:p>
        </w:tc>
        <w:tc>
          <w:tcPr>
            <w:tcW w:w="3862" w:type="dxa"/>
            <w:tcBorders>
              <w:right w:val="single" w:sz="4" w:space="0" w:color="auto"/>
            </w:tcBorders>
            <w:shd w:val="clear" w:color="auto" w:fill="FFFFFF" w:themeFill="background1"/>
            <w:noWrap/>
            <w:hideMark/>
          </w:tcPr>
          <w:p w14:paraId="0869E0E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Energy intensity level of primary energy (MJ/USD11)</w:t>
            </w:r>
          </w:p>
        </w:tc>
        <w:tc>
          <w:tcPr>
            <w:tcW w:w="1277" w:type="dxa"/>
            <w:tcBorders>
              <w:left w:val="single" w:sz="4" w:space="0" w:color="auto"/>
            </w:tcBorders>
            <w:shd w:val="clear" w:color="auto" w:fill="FFFFFF" w:themeFill="background1"/>
          </w:tcPr>
          <w:p w14:paraId="60E61D37" w14:textId="4E21C09D"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4.</w:t>
            </w:r>
            <w:r w:rsidR="000972B5" w:rsidRPr="00AB0BAD">
              <w:rPr>
                <w:rFonts w:ascii="Corbel" w:hAnsi="Corbel" w:cstheme="minorHAnsi"/>
                <w:sz w:val="16"/>
                <w:szCs w:val="16"/>
                <w:lang w:val="en-US"/>
              </w:rPr>
              <w:t>1</w:t>
            </w:r>
          </w:p>
        </w:tc>
        <w:tc>
          <w:tcPr>
            <w:tcW w:w="992" w:type="dxa"/>
            <w:shd w:val="clear" w:color="auto" w:fill="D9D9D9" w:themeFill="background1" w:themeFillShade="D9"/>
            <w:noWrap/>
            <w:hideMark/>
          </w:tcPr>
          <w:p w14:paraId="76FBA743" w14:textId="6B75617D" w:rsidR="001D1322" w:rsidRPr="00AB0BAD" w:rsidRDefault="002D7281" w:rsidP="00C04DFB">
            <w:pPr>
              <w:spacing w:after="0"/>
              <w:rPr>
                <w:rFonts w:ascii="Corbel" w:hAnsi="Corbel" w:cstheme="minorHAnsi"/>
                <w:sz w:val="16"/>
                <w:szCs w:val="16"/>
                <w:lang w:val="en-US"/>
              </w:rPr>
            </w:pPr>
            <w:r w:rsidRPr="00AB0BAD">
              <w:rPr>
                <w:rFonts w:ascii="Corbel" w:hAnsi="Corbel" w:cstheme="minorHAnsi"/>
                <w:sz w:val="16"/>
                <w:szCs w:val="16"/>
                <w:lang w:val="en-US"/>
              </w:rPr>
              <w:t>2.8</w:t>
            </w:r>
          </w:p>
        </w:tc>
        <w:tc>
          <w:tcPr>
            <w:tcW w:w="567" w:type="dxa"/>
            <w:shd w:val="clear" w:color="auto" w:fill="FFFFFF" w:themeFill="background1"/>
          </w:tcPr>
          <w:p w14:paraId="2F4C9ED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29766E5B" w14:textId="28B7CF25"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7.3 is to double the rate of improvement. Target set at </w:t>
            </w:r>
            <w:r w:rsidR="00A21F78">
              <w:rPr>
                <w:rFonts w:ascii="Corbel" w:hAnsi="Corbel" w:cstheme="minorHAnsi"/>
                <w:sz w:val="16"/>
                <w:szCs w:val="16"/>
                <w:lang w:val="en-US"/>
              </w:rPr>
              <w:t xml:space="preserve">2.8 </w:t>
            </w:r>
            <w:r w:rsidRPr="005403DD">
              <w:rPr>
                <w:rFonts w:ascii="Corbel" w:hAnsi="Corbel" w:cstheme="minorHAnsi"/>
                <w:sz w:val="16"/>
                <w:szCs w:val="16"/>
                <w:lang w:val="en-US"/>
              </w:rPr>
              <w:t xml:space="preserve">calibrated from historic timeseries data and BAU. </w:t>
            </w:r>
          </w:p>
        </w:tc>
      </w:tr>
      <w:tr w:rsidR="005403DD" w:rsidRPr="005403DD" w14:paraId="58BC54D3" w14:textId="77777777" w:rsidTr="00C04DFB">
        <w:trPr>
          <w:trHeight w:val="54"/>
        </w:trPr>
        <w:tc>
          <w:tcPr>
            <w:tcW w:w="510" w:type="dxa"/>
            <w:shd w:val="clear" w:color="auto" w:fill="D9D9D9" w:themeFill="background1" w:themeFillShade="D9"/>
          </w:tcPr>
          <w:p w14:paraId="6EBF71E0"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4180895F"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7B22EA09"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05794406"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18334B43"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02DAFBD8"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25FC5148"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5BC6F965"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7B5A780C"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188A9D36" w14:textId="77777777" w:rsidTr="00C04DFB">
        <w:trPr>
          <w:trHeight w:val="300"/>
        </w:trPr>
        <w:tc>
          <w:tcPr>
            <w:tcW w:w="510" w:type="dxa"/>
            <w:shd w:val="clear" w:color="auto" w:fill="auto"/>
          </w:tcPr>
          <w:p w14:paraId="4C0F153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w:t>
            </w:r>
          </w:p>
        </w:tc>
        <w:tc>
          <w:tcPr>
            <w:tcW w:w="4195" w:type="dxa"/>
            <w:tcBorders>
              <w:right w:val="single" w:sz="4" w:space="0" w:color="auto"/>
            </w:tcBorders>
            <w:shd w:val="clear" w:color="auto" w:fill="auto"/>
          </w:tcPr>
          <w:p w14:paraId="79ADD4C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8.1 Sustain per capita economic growth in accordance with national circumstances…</w:t>
            </w:r>
          </w:p>
        </w:tc>
        <w:tc>
          <w:tcPr>
            <w:tcW w:w="397" w:type="dxa"/>
            <w:tcBorders>
              <w:left w:val="single" w:sz="4" w:space="0" w:color="auto"/>
              <w:right w:val="single" w:sz="4" w:space="0" w:color="auto"/>
            </w:tcBorders>
            <w:shd w:val="clear" w:color="auto" w:fill="FFFFFF" w:themeFill="background1"/>
          </w:tcPr>
          <w:p w14:paraId="1CC851B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4BF3FD0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8.1.1</w:t>
            </w:r>
          </w:p>
        </w:tc>
        <w:tc>
          <w:tcPr>
            <w:tcW w:w="3862" w:type="dxa"/>
            <w:tcBorders>
              <w:right w:val="single" w:sz="4" w:space="0" w:color="auto"/>
            </w:tcBorders>
            <w:shd w:val="clear" w:color="auto" w:fill="FFFFFF" w:themeFill="background1"/>
            <w:noWrap/>
            <w:hideMark/>
          </w:tcPr>
          <w:p w14:paraId="6A3FA33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 xml:space="preserve">Real pc GDP growth rate 5-year average (% pa) </w:t>
            </w:r>
          </w:p>
          <w:p w14:paraId="2664E6AC" w14:textId="77777777" w:rsidR="001D1322" w:rsidRPr="005403DD" w:rsidRDefault="001D1322" w:rsidP="00C04DFB">
            <w:pPr>
              <w:spacing w:after="0"/>
              <w:rPr>
                <w:rFonts w:ascii="Corbel" w:hAnsi="Corbel" w:cstheme="minorHAnsi"/>
                <w:sz w:val="16"/>
                <w:szCs w:val="16"/>
                <w:lang w:val="en-US"/>
              </w:rPr>
            </w:pPr>
          </w:p>
        </w:tc>
        <w:tc>
          <w:tcPr>
            <w:tcW w:w="1277" w:type="dxa"/>
            <w:tcBorders>
              <w:left w:val="single" w:sz="4" w:space="0" w:color="auto"/>
            </w:tcBorders>
            <w:shd w:val="clear" w:color="auto" w:fill="FFFFFF" w:themeFill="background1"/>
          </w:tcPr>
          <w:p w14:paraId="07F213BA" w14:textId="3405EACA"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w:t>
            </w:r>
            <w:r w:rsidR="004774B5" w:rsidRPr="00AB0BAD">
              <w:rPr>
                <w:rFonts w:ascii="Corbel" w:hAnsi="Corbel" w:cstheme="minorHAnsi"/>
                <w:sz w:val="16"/>
                <w:szCs w:val="16"/>
                <w:lang w:val="en-US"/>
              </w:rPr>
              <w:t>2</w:t>
            </w:r>
          </w:p>
        </w:tc>
        <w:tc>
          <w:tcPr>
            <w:tcW w:w="992" w:type="dxa"/>
            <w:shd w:val="clear" w:color="auto" w:fill="D9D9D9" w:themeFill="background1" w:themeFillShade="D9"/>
            <w:noWrap/>
            <w:hideMark/>
          </w:tcPr>
          <w:p w14:paraId="6CEB85BC"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0.025</w:t>
            </w:r>
          </w:p>
        </w:tc>
        <w:tc>
          <w:tcPr>
            <w:tcW w:w="567" w:type="dxa"/>
            <w:shd w:val="clear" w:color="auto" w:fill="FFFFFF" w:themeFill="background1"/>
          </w:tcPr>
          <w:p w14:paraId="22765BD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31AEC364"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8.1 is to ‘sustain’ growth. Fiji’s NDP and LEDS have a target of 4-5% average GDP growth rate. Based on timeseries data historic max was ~2%. Target set at 2.5%</w:t>
            </w:r>
          </w:p>
        </w:tc>
      </w:tr>
      <w:tr w:rsidR="005403DD" w:rsidRPr="005403DD" w14:paraId="711989FD" w14:textId="77777777" w:rsidTr="00C04DFB">
        <w:trPr>
          <w:trHeight w:val="300"/>
        </w:trPr>
        <w:tc>
          <w:tcPr>
            <w:tcW w:w="510" w:type="dxa"/>
            <w:shd w:val="clear" w:color="auto" w:fill="auto"/>
          </w:tcPr>
          <w:p w14:paraId="18BDD7D8"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60E27E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8.1</w:t>
            </w:r>
          </w:p>
        </w:tc>
        <w:tc>
          <w:tcPr>
            <w:tcW w:w="397" w:type="dxa"/>
            <w:tcBorders>
              <w:left w:val="single" w:sz="4" w:space="0" w:color="auto"/>
              <w:right w:val="single" w:sz="4" w:space="0" w:color="auto"/>
            </w:tcBorders>
            <w:shd w:val="clear" w:color="auto" w:fill="FFFFFF" w:themeFill="background1"/>
          </w:tcPr>
          <w:p w14:paraId="281E7A4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tcPr>
          <w:p w14:paraId="3444CA3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8.1.1.ALT</w:t>
            </w:r>
          </w:p>
        </w:tc>
        <w:tc>
          <w:tcPr>
            <w:tcW w:w="3862" w:type="dxa"/>
            <w:tcBorders>
              <w:right w:val="single" w:sz="4" w:space="0" w:color="auto"/>
            </w:tcBorders>
            <w:shd w:val="clear" w:color="auto" w:fill="FFFFFF" w:themeFill="background1"/>
            <w:noWrap/>
          </w:tcPr>
          <w:p w14:paraId="4E0E2EB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 xml:space="preserve">Per capita real disposable income </w:t>
            </w:r>
            <w:r w:rsidRPr="005403DD">
              <w:rPr>
                <w:rFonts w:ascii="Corbel" w:hAnsi="Corbel" w:cstheme="minorHAnsi"/>
                <w:sz w:val="16"/>
                <w:szCs w:val="16"/>
                <w:lang w:val="en-AU"/>
              </w:rPr>
              <w:t>(real $/person/year)</w:t>
            </w:r>
          </w:p>
        </w:tc>
        <w:tc>
          <w:tcPr>
            <w:tcW w:w="1277" w:type="dxa"/>
            <w:tcBorders>
              <w:left w:val="single" w:sz="4" w:space="0" w:color="auto"/>
            </w:tcBorders>
            <w:shd w:val="clear" w:color="auto" w:fill="FFFFFF" w:themeFill="background1"/>
          </w:tcPr>
          <w:p w14:paraId="1124008C" w14:textId="5E32DD4E"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6</w:t>
            </w:r>
            <w:r w:rsidR="00DE12B2" w:rsidRPr="00AB0BAD">
              <w:rPr>
                <w:rFonts w:ascii="Corbel" w:hAnsi="Corbel" w:cstheme="minorHAnsi"/>
                <w:sz w:val="16"/>
                <w:szCs w:val="16"/>
                <w:lang w:val="en-US"/>
              </w:rPr>
              <w:t>,</w:t>
            </w:r>
            <w:r w:rsidRPr="00AB0BAD">
              <w:rPr>
                <w:rFonts w:ascii="Corbel" w:hAnsi="Corbel" w:cstheme="minorHAnsi"/>
                <w:sz w:val="16"/>
                <w:szCs w:val="16"/>
                <w:lang w:val="en-US"/>
              </w:rPr>
              <w:t>7</w:t>
            </w:r>
            <w:r w:rsidR="000C4500" w:rsidRPr="00AB0BAD">
              <w:rPr>
                <w:rFonts w:ascii="Corbel" w:hAnsi="Corbel" w:cstheme="minorHAnsi"/>
                <w:sz w:val="16"/>
                <w:szCs w:val="16"/>
                <w:lang w:val="en-US"/>
              </w:rPr>
              <w:t>98</w:t>
            </w:r>
          </w:p>
        </w:tc>
        <w:tc>
          <w:tcPr>
            <w:tcW w:w="992" w:type="dxa"/>
            <w:shd w:val="clear" w:color="auto" w:fill="D9D9D9" w:themeFill="background1" w:themeFillShade="D9"/>
            <w:noWrap/>
          </w:tcPr>
          <w:p w14:paraId="2D35C650" w14:textId="7D779963"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1</w:t>
            </w:r>
            <w:r w:rsidR="003C1260" w:rsidRPr="00AB0BAD">
              <w:rPr>
                <w:rFonts w:ascii="Corbel" w:hAnsi="Corbel" w:cstheme="minorHAnsi"/>
                <w:sz w:val="16"/>
                <w:szCs w:val="16"/>
                <w:lang w:val="en-US"/>
              </w:rPr>
              <w:t>1,567</w:t>
            </w:r>
          </w:p>
        </w:tc>
        <w:tc>
          <w:tcPr>
            <w:tcW w:w="567" w:type="dxa"/>
            <w:shd w:val="clear" w:color="auto" w:fill="FFFFFF" w:themeFill="background1"/>
          </w:tcPr>
          <w:p w14:paraId="0305C18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FFFFFF" w:themeFill="background1"/>
          </w:tcPr>
          <w:p w14:paraId="0EDE496A" w14:textId="77C34C62"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Fiji’s NDP includes a target to double income per capita.  Target set as </w:t>
            </w:r>
            <w:r w:rsidR="001015BB">
              <w:rPr>
                <w:rFonts w:ascii="Corbel" w:hAnsi="Corbel" w:cstheme="minorHAnsi"/>
                <w:sz w:val="16"/>
                <w:szCs w:val="16"/>
                <w:lang w:val="en-US"/>
              </w:rPr>
              <w:t>70% increase on</w:t>
            </w:r>
            <w:r w:rsidRPr="005403DD">
              <w:rPr>
                <w:rFonts w:ascii="Corbel" w:hAnsi="Corbel" w:cstheme="minorHAnsi"/>
                <w:sz w:val="16"/>
                <w:szCs w:val="16"/>
                <w:lang w:val="en-US"/>
              </w:rPr>
              <w:t xml:space="preserve"> baseline value by 2030; </w:t>
            </w:r>
          </w:p>
          <w:p w14:paraId="00B3142C"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calibrated from timeseries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5403DD" w:rsidRPr="005403DD" w14:paraId="574CFC43" w14:textId="77777777" w:rsidTr="00C04DFB">
        <w:trPr>
          <w:trHeight w:val="300"/>
        </w:trPr>
        <w:tc>
          <w:tcPr>
            <w:tcW w:w="510" w:type="dxa"/>
            <w:shd w:val="clear" w:color="auto" w:fill="auto"/>
          </w:tcPr>
          <w:p w14:paraId="7BCF9CFA"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6C6281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8.2 Achieve higher levels of economic productivity through diversification, technological upgrading and innovation, including through a focus on high-value added and labour-intensive sectors</w:t>
            </w:r>
          </w:p>
        </w:tc>
        <w:tc>
          <w:tcPr>
            <w:tcW w:w="397" w:type="dxa"/>
            <w:tcBorders>
              <w:left w:val="single" w:sz="4" w:space="0" w:color="auto"/>
              <w:right w:val="single" w:sz="4" w:space="0" w:color="auto"/>
            </w:tcBorders>
            <w:shd w:val="clear" w:color="auto" w:fill="FFFFFF" w:themeFill="background1"/>
          </w:tcPr>
          <w:p w14:paraId="5AFDE62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59727B0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8.2.1</w:t>
            </w:r>
          </w:p>
        </w:tc>
        <w:tc>
          <w:tcPr>
            <w:tcW w:w="3862" w:type="dxa"/>
            <w:tcBorders>
              <w:right w:val="single" w:sz="4" w:space="0" w:color="auto"/>
            </w:tcBorders>
            <w:shd w:val="clear" w:color="auto" w:fill="FFFFFF" w:themeFill="background1"/>
            <w:noWrap/>
            <w:hideMark/>
          </w:tcPr>
          <w:p w14:paraId="17E65266"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GDP per employed person growth rate (%)</w:t>
            </w:r>
          </w:p>
        </w:tc>
        <w:tc>
          <w:tcPr>
            <w:tcW w:w="1277" w:type="dxa"/>
            <w:tcBorders>
              <w:left w:val="single" w:sz="4" w:space="0" w:color="auto"/>
            </w:tcBorders>
            <w:shd w:val="clear" w:color="auto" w:fill="FFFFFF" w:themeFill="background1"/>
          </w:tcPr>
          <w:p w14:paraId="79F3D5E3" w14:textId="7BD86A1D"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w:t>
            </w:r>
            <w:r w:rsidR="00B04569" w:rsidRPr="00AB0BAD">
              <w:rPr>
                <w:rFonts w:ascii="Corbel" w:hAnsi="Corbel" w:cstheme="minorHAnsi"/>
                <w:sz w:val="16"/>
                <w:szCs w:val="16"/>
                <w:lang w:val="en-US"/>
              </w:rPr>
              <w:t>3</w:t>
            </w:r>
          </w:p>
        </w:tc>
        <w:tc>
          <w:tcPr>
            <w:tcW w:w="992" w:type="dxa"/>
            <w:shd w:val="clear" w:color="auto" w:fill="D9D9D9" w:themeFill="background1" w:themeFillShade="D9"/>
            <w:noWrap/>
            <w:hideMark/>
          </w:tcPr>
          <w:p w14:paraId="1A616692" w14:textId="221B12E2"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w:t>
            </w:r>
            <w:r w:rsidR="004E142F" w:rsidRPr="00AB0BAD">
              <w:rPr>
                <w:rFonts w:ascii="Corbel" w:hAnsi="Corbel" w:cstheme="minorHAnsi"/>
                <w:sz w:val="16"/>
                <w:szCs w:val="16"/>
                <w:lang w:val="en-US"/>
              </w:rPr>
              <w:t>3</w:t>
            </w:r>
          </w:p>
        </w:tc>
        <w:tc>
          <w:tcPr>
            <w:tcW w:w="567" w:type="dxa"/>
            <w:shd w:val="clear" w:color="auto" w:fill="FFFFFF" w:themeFill="background1"/>
          </w:tcPr>
          <w:p w14:paraId="25A8A15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514175B2" w14:textId="291834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8.2 is higher productivity. Target set as </w:t>
            </w:r>
            <w:r w:rsidR="00D718C0">
              <w:rPr>
                <w:rFonts w:ascii="Corbel" w:hAnsi="Corbel" w:cstheme="minorHAnsi"/>
                <w:sz w:val="16"/>
                <w:szCs w:val="16"/>
                <w:lang w:val="en-US"/>
              </w:rPr>
              <w:t>3</w:t>
            </w:r>
            <w:r w:rsidRPr="005403DD">
              <w:rPr>
                <w:rFonts w:ascii="Corbel" w:hAnsi="Corbel" w:cstheme="minorHAnsi"/>
                <w:sz w:val="16"/>
                <w:szCs w:val="16"/>
                <w:lang w:val="en-US"/>
              </w:rPr>
              <w:t xml:space="preserve">% pa; calibrated from timeseries data and BAU projections (historic max </w:t>
            </w:r>
            <w:r w:rsidR="0036045F">
              <w:rPr>
                <w:rFonts w:ascii="Corbel" w:hAnsi="Corbel" w:cstheme="minorHAnsi"/>
                <w:sz w:val="16"/>
                <w:szCs w:val="16"/>
                <w:lang w:val="en-US"/>
              </w:rPr>
              <w:t>4</w:t>
            </w:r>
            <w:r w:rsidRPr="005403DD">
              <w:rPr>
                <w:rFonts w:ascii="Corbel" w:hAnsi="Corbel" w:cstheme="minorHAnsi"/>
                <w:sz w:val="16"/>
                <w:szCs w:val="16"/>
                <w:lang w:val="en-US"/>
              </w:rPr>
              <w:t>%)</w:t>
            </w:r>
          </w:p>
        </w:tc>
      </w:tr>
      <w:tr w:rsidR="005403DD" w:rsidRPr="005403DD" w14:paraId="7CDCAAD2" w14:textId="77777777" w:rsidTr="00C04DFB">
        <w:trPr>
          <w:trHeight w:val="300"/>
        </w:trPr>
        <w:tc>
          <w:tcPr>
            <w:tcW w:w="510" w:type="dxa"/>
            <w:shd w:val="clear" w:color="auto" w:fill="auto"/>
          </w:tcPr>
          <w:p w14:paraId="3F7684EF"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0D6A28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8.4 Improve progressively, through 2030, global resource efficiency in consumption and production and endeavor to decouple economic growth from environmental degradation</w:t>
            </w:r>
          </w:p>
        </w:tc>
        <w:tc>
          <w:tcPr>
            <w:tcW w:w="397" w:type="dxa"/>
            <w:tcBorders>
              <w:left w:val="single" w:sz="4" w:space="0" w:color="auto"/>
              <w:right w:val="single" w:sz="4" w:space="0" w:color="auto"/>
            </w:tcBorders>
            <w:shd w:val="clear" w:color="auto" w:fill="FFFFFF" w:themeFill="background1"/>
          </w:tcPr>
          <w:p w14:paraId="05272AB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4A9E24AA" w14:textId="30172A8B"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8.4.1</w:t>
            </w:r>
            <w:r w:rsidR="00054CAE">
              <w:rPr>
                <w:rFonts w:ascii="Corbel" w:hAnsi="Corbel" w:cstheme="minorHAnsi"/>
                <w:sz w:val="16"/>
                <w:szCs w:val="16"/>
                <w:lang w:val="en-US"/>
              </w:rPr>
              <w:t>a</w:t>
            </w:r>
          </w:p>
        </w:tc>
        <w:tc>
          <w:tcPr>
            <w:tcW w:w="3862" w:type="dxa"/>
            <w:tcBorders>
              <w:right w:val="single" w:sz="4" w:space="0" w:color="auto"/>
            </w:tcBorders>
            <w:shd w:val="clear" w:color="auto" w:fill="FFFFFF" w:themeFill="background1"/>
            <w:noWrap/>
            <w:hideMark/>
          </w:tcPr>
          <w:p w14:paraId="2FF16F7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PC material footprint (t/person/year)</w:t>
            </w:r>
          </w:p>
        </w:tc>
        <w:tc>
          <w:tcPr>
            <w:tcW w:w="1277" w:type="dxa"/>
            <w:tcBorders>
              <w:left w:val="single" w:sz="4" w:space="0" w:color="auto"/>
            </w:tcBorders>
            <w:shd w:val="clear" w:color="auto" w:fill="FFFFFF" w:themeFill="background1"/>
          </w:tcPr>
          <w:p w14:paraId="5C4DFCAC" w14:textId="1167B4D7" w:rsidR="001D1322" w:rsidRPr="00AB0BAD" w:rsidRDefault="00F31966" w:rsidP="00C04DFB">
            <w:pPr>
              <w:spacing w:after="0"/>
              <w:rPr>
                <w:rFonts w:ascii="Corbel" w:hAnsi="Corbel" w:cstheme="minorHAnsi"/>
                <w:sz w:val="16"/>
                <w:szCs w:val="16"/>
                <w:lang w:val="en-US"/>
              </w:rPr>
            </w:pPr>
            <w:r w:rsidRPr="00AB0BAD">
              <w:rPr>
                <w:rFonts w:ascii="Corbel" w:hAnsi="Corbel" w:cstheme="minorHAnsi"/>
                <w:sz w:val="16"/>
                <w:szCs w:val="16"/>
                <w:lang w:val="en-US"/>
              </w:rPr>
              <w:t>7.4</w:t>
            </w:r>
          </w:p>
        </w:tc>
        <w:tc>
          <w:tcPr>
            <w:tcW w:w="992" w:type="dxa"/>
            <w:shd w:val="clear" w:color="auto" w:fill="D9D9D9" w:themeFill="background1" w:themeFillShade="D9"/>
            <w:noWrap/>
            <w:hideMark/>
          </w:tcPr>
          <w:p w14:paraId="36E34786" w14:textId="187BCC4B"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7.</w:t>
            </w:r>
            <w:r w:rsidR="00A16DB8" w:rsidRPr="00AB0BAD">
              <w:rPr>
                <w:rFonts w:ascii="Corbel" w:hAnsi="Corbel" w:cstheme="minorHAnsi"/>
                <w:sz w:val="16"/>
                <w:szCs w:val="16"/>
                <w:lang w:val="en-US"/>
              </w:rPr>
              <w:t>2</w:t>
            </w:r>
          </w:p>
        </w:tc>
        <w:tc>
          <w:tcPr>
            <w:tcW w:w="567" w:type="dxa"/>
            <w:shd w:val="clear" w:color="auto" w:fill="FFFFFF" w:themeFill="background1"/>
          </w:tcPr>
          <w:p w14:paraId="483BAEE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34B0C75B" w14:textId="6CFF7320"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w:t>
            </w:r>
            <w:r w:rsidR="003F7175">
              <w:rPr>
                <w:rFonts w:ascii="Corbel" w:hAnsi="Corbel" w:cstheme="minorHAnsi"/>
                <w:sz w:val="16"/>
                <w:szCs w:val="16"/>
                <w:lang w:val="en-US"/>
              </w:rPr>
              <w:t xml:space="preserve">globally sustainable level as per </w:t>
            </w:r>
            <w:r w:rsidR="003F7175">
              <w:rPr>
                <w:rFonts w:ascii="Corbel" w:hAnsi="Corbel" w:cstheme="minorHAnsi"/>
                <w:sz w:val="16"/>
                <w:szCs w:val="16"/>
                <w:lang w:val="en-US"/>
              </w:rPr>
              <w:fldChar w:fldCharType="begin"/>
            </w:r>
            <w:r w:rsidR="003F7175">
              <w:rPr>
                <w:rFonts w:ascii="Corbel" w:hAnsi="Corbel" w:cstheme="minorHAnsi"/>
                <w:sz w:val="16"/>
                <w:szCs w:val="16"/>
                <w:lang w:val="en-US"/>
              </w:rPr>
              <w:instrText xml:space="preserve"> ADDIN EN.CITE &lt;EndNote&gt;&lt;Cite&gt;&lt;Author&gt;O’Neill&lt;/Author&gt;&lt;Year&gt;2018&lt;/Year&gt;&lt;RecNum&gt;1213&lt;/RecNum&gt;&lt;DisplayText&gt;(O’Neill et al., 2018)&lt;/DisplayText&gt;&lt;record&gt;&lt;rec-number&gt;1213&lt;/rec-number&gt;&lt;foreign-keys&gt;&lt;key app="EN" db-id="9vsrvaat7fadwtesfsrpw5w5t0x5v500ef25" timestamp="1578984484"&gt;1213&lt;/key&gt;&lt;/foreign-keys&gt;&lt;ref-type name="Journal Article"&gt;17&lt;/ref-type&gt;&lt;contributors&gt;&lt;authors&gt;&lt;author&gt;O’Neill, Daniel W&lt;/author&gt;&lt;author&gt;Fanning, Andrew L&lt;/author&gt;&lt;author&gt;Lamb, William F&lt;/author&gt;&lt;author&gt;Steinberger, Julia K&lt;/author&gt;&lt;/authors&gt;&lt;/contributors&gt;&lt;titles&gt;&lt;title&gt;A good life for all within planetary boundaries&lt;/title&gt;&lt;secondary-title&gt;Nature Sustainability&lt;/secondary-title&gt;&lt;/titles&gt;&lt;periodical&gt;&lt;full-title&gt;Nature Sustainability&lt;/full-title&gt;&lt;/periodical&gt;&lt;pages&gt;88&lt;/pages&gt;&lt;volume&gt;1&lt;/volume&gt;&lt;number&gt;2&lt;/number&gt;&lt;dates&gt;&lt;year&gt;2018&lt;/year&gt;&lt;/dates&gt;&lt;isbn&gt;2398-9629&lt;/isbn&gt;&lt;urls&gt;&lt;/urls&gt;&lt;electronic-resource-num&gt;https://doi.org/10.1038/s41893-018-0021-4&lt;/electronic-resource-num&gt;&lt;/record&gt;&lt;/Cite&gt;&lt;/EndNote&gt;</w:instrText>
            </w:r>
            <w:r w:rsidR="003F7175">
              <w:rPr>
                <w:rFonts w:ascii="Corbel" w:hAnsi="Corbel" w:cstheme="minorHAnsi"/>
                <w:sz w:val="16"/>
                <w:szCs w:val="16"/>
                <w:lang w:val="en-US"/>
              </w:rPr>
              <w:fldChar w:fldCharType="separate"/>
            </w:r>
            <w:r w:rsidR="003F7175">
              <w:rPr>
                <w:rFonts w:ascii="Corbel" w:hAnsi="Corbel" w:cstheme="minorHAnsi"/>
                <w:noProof/>
                <w:sz w:val="16"/>
                <w:szCs w:val="16"/>
                <w:lang w:val="en-US"/>
              </w:rPr>
              <w:t>(O’Neill et al., 2018)</w:t>
            </w:r>
            <w:r w:rsidR="003F7175">
              <w:rPr>
                <w:rFonts w:ascii="Corbel" w:hAnsi="Corbel" w:cstheme="minorHAnsi"/>
                <w:sz w:val="16"/>
                <w:szCs w:val="16"/>
                <w:lang w:val="en-US"/>
              </w:rPr>
              <w:fldChar w:fldCharType="end"/>
            </w:r>
            <w:r w:rsidRPr="005403DD">
              <w:rPr>
                <w:rFonts w:ascii="Corbel" w:hAnsi="Corbel" w:cstheme="minorHAnsi"/>
                <w:sz w:val="16"/>
                <w:szCs w:val="16"/>
                <w:lang w:val="en-US"/>
              </w:rPr>
              <w:t xml:space="preserve">; calibrated from global data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(West and Lieber,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World average = 11.4. Baseline is comparatively low for Fiji.</w:t>
            </w:r>
          </w:p>
        </w:tc>
      </w:tr>
      <w:tr w:rsidR="005403DD" w:rsidRPr="005403DD" w14:paraId="06677F64" w14:textId="77777777" w:rsidTr="00C04DFB">
        <w:trPr>
          <w:trHeight w:val="300"/>
        </w:trPr>
        <w:tc>
          <w:tcPr>
            <w:tcW w:w="510" w:type="dxa"/>
            <w:shd w:val="clear" w:color="auto" w:fill="auto"/>
          </w:tcPr>
          <w:p w14:paraId="38924668"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5EA3D10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8.4</w:t>
            </w:r>
          </w:p>
        </w:tc>
        <w:tc>
          <w:tcPr>
            <w:tcW w:w="397" w:type="dxa"/>
            <w:tcBorders>
              <w:left w:val="single" w:sz="4" w:space="0" w:color="auto"/>
              <w:right w:val="single" w:sz="4" w:space="0" w:color="auto"/>
            </w:tcBorders>
            <w:shd w:val="clear" w:color="auto" w:fill="FFFFFF" w:themeFill="background1"/>
          </w:tcPr>
          <w:p w14:paraId="4D97042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35877415" w14:textId="26FA54D3"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8.4.1</w:t>
            </w:r>
            <w:r w:rsidR="00054CAE">
              <w:rPr>
                <w:rFonts w:ascii="Corbel" w:hAnsi="Corbel" w:cstheme="minorHAnsi"/>
                <w:sz w:val="16"/>
                <w:szCs w:val="16"/>
                <w:lang w:val="en-US"/>
              </w:rPr>
              <w:t>b</w:t>
            </w:r>
          </w:p>
        </w:tc>
        <w:tc>
          <w:tcPr>
            <w:tcW w:w="3862" w:type="dxa"/>
            <w:tcBorders>
              <w:right w:val="single" w:sz="4" w:space="0" w:color="auto"/>
            </w:tcBorders>
            <w:shd w:val="clear" w:color="auto" w:fill="FFFFFF" w:themeFill="background1"/>
            <w:noWrap/>
            <w:hideMark/>
          </w:tcPr>
          <w:p w14:paraId="287D25A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Material footprint per unit of output (kg/USD11)</w:t>
            </w:r>
          </w:p>
        </w:tc>
        <w:tc>
          <w:tcPr>
            <w:tcW w:w="1277" w:type="dxa"/>
            <w:tcBorders>
              <w:left w:val="single" w:sz="4" w:space="0" w:color="auto"/>
            </w:tcBorders>
            <w:shd w:val="clear" w:color="auto" w:fill="FFFFFF" w:themeFill="background1"/>
          </w:tcPr>
          <w:p w14:paraId="6419E083"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1.2</w:t>
            </w:r>
          </w:p>
        </w:tc>
        <w:tc>
          <w:tcPr>
            <w:tcW w:w="992" w:type="dxa"/>
            <w:shd w:val="clear" w:color="auto" w:fill="D9D9D9" w:themeFill="background1" w:themeFillShade="D9"/>
            <w:noWrap/>
            <w:hideMark/>
          </w:tcPr>
          <w:p w14:paraId="4FC6FCEC" w14:textId="6BCE1323" w:rsidR="001D1322" w:rsidRPr="00AB0BAD" w:rsidRDefault="002550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CB1303" w:rsidRPr="00AB0BAD">
              <w:rPr>
                <w:rFonts w:ascii="Corbel" w:hAnsi="Corbel" w:cstheme="minorHAnsi"/>
                <w:sz w:val="16"/>
                <w:szCs w:val="16"/>
                <w:lang w:val="en-US"/>
              </w:rPr>
              <w:t>7</w:t>
            </w:r>
          </w:p>
        </w:tc>
        <w:tc>
          <w:tcPr>
            <w:tcW w:w="567" w:type="dxa"/>
            <w:shd w:val="clear" w:color="auto" w:fill="FFFFFF" w:themeFill="background1"/>
          </w:tcPr>
          <w:p w14:paraId="1FE1C2D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32FBF15E" w14:textId="184C22FD"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w:t>
            </w:r>
            <w:r w:rsidR="00CB1303">
              <w:rPr>
                <w:rFonts w:ascii="Corbel" w:hAnsi="Corbel" w:cstheme="minorHAnsi"/>
                <w:sz w:val="16"/>
                <w:szCs w:val="16"/>
                <w:lang w:val="en-US"/>
              </w:rPr>
              <w:t>3</w:t>
            </w:r>
            <w:r w:rsidRPr="005403DD">
              <w:rPr>
                <w:rFonts w:ascii="Corbel" w:hAnsi="Corbel" w:cstheme="minorHAnsi"/>
                <w:sz w:val="16"/>
                <w:szCs w:val="16"/>
                <w:lang w:val="en-US"/>
              </w:rPr>
              <w:t xml:space="preserve">0% total improvement on baseline by 2030; calibrated from global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(West and Lieber,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5403DD" w:rsidRPr="005403DD" w14:paraId="305CD5CE" w14:textId="77777777" w:rsidTr="00C04DFB">
        <w:trPr>
          <w:trHeight w:val="300"/>
        </w:trPr>
        <w:tc>
          <w:tcPr>
            <w:tcW w:w="510" w:type="dxa"/>
            <w:shd w:val="clear" w:color="auto" w:fill="auto"/>
          </w:tcPr>
          <w:p w14:paraId="4B8EC371"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3EECB50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8.4</w:t>
            </w:r>
          </w:p>
        </w:tc>
        <w:tc>
          <w:tcPr>
            <w:tcW w:w="397" w:type="dxa"/>
            <w:tcBorders>
              <w:left w:val="single" w:sz="4" w:space="0" w:color="auto"/>
              <w:right w:val="single" w:sz="4" w:space="0" w:color="auto"/>
            </w:tcBorders>
            <w:shd w:val="clear" w:color="auto" w:fill="FFFFFF" w:themeFill="background1"/>
          </w:tcPr>
          <w:p w14:paraId="19E95B0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2856100F" w14:textId="260F945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8.4.2</w:t>
            </w:r>
            <w:r w:rsidR="00054CAE">
              <w:rPr>
                <w:rFonts w:ascii="Corbel" w:hAnsi="Corbel" w:cstheme="minorHAnsi"/>
                <w:sz w:val="16"/>
                <w:szCs w:val="16"/>
                <w:lang w:val="en-US"/>
              </w:rPr>
              <w:t>a</w:t>
            </w:r>
          </w:p>
        </w:tc>
        <w:tc>
          <w:tcPr>
            <w:tcW w:w="3862" w:type="dxa"/>
            <w:tcBorders>
              <w:right w:val="single" w:sz="4" w:space="0" w:color="auto"/>
            </w:tcBorders>
            <w:shd w:val="clear" w:color="auto" w:fill="FFFFFF" w:themeFill="background1"/>
            <w:noWrap/>
            <w:hideMark/>
          </w:tcPr>
          <w:p w14:paraId="08B2D43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PC domestic material consumption (t/person/year)</w:t>
            </w:r>
          </w:p>
        </w:tc>
        <w:tc>
          <w:tcPr>
            <w:tcW w:w="1277" w:type="dxa"/>
            <w:tcBorders>
              <w:left w:val="single" w:sz="4" w:space="0" w:color="auto"/>
            </w:tcBorders>
            <w:shd w:val="clear" w:color="auto" w:fill="FFFFFF" w:themeFill="background1"/>
          </w:tcPr>
          <w:p w14:paraId="4F84D1E5" w14:textId="16DBD7D6" w:rsidR="001D1322" w:rsidRPr="00AB0BAD" w:rsidRDefault="00E74024" w:rsidP="00C04DFB">
            <w:pPr>
              <w:spacing w:after="0"/>
              <w:rPr>
                <w:rFonts w:ascii="Corbel" w:hAnsi="Corbel" w:cstheme="minorHAnsi"/>
                <w:sz w:val="16"/>
                <w:szCs w:val="16"/>
                <w:lang w:val="en-US"/>
              </w:rPr>
            </w:pPr>
            <w:r w:rsidRPr="00AB0BAD">
              <w:rPr>
                <w:rFonts w:ascii="Corbel" w:hAnsi="Corbel" w:cstheme="minorHAnsi"/>
                <w:sz w:val="16"/>
                <w:szCs w:val="16"/>
                <w:lang w:val="en-US"/>
              </w:rPr>
              <w:t>8.67</w:t>
            </w:r>
          </w:p>
        </w:tc>
        <w:tc>
          <w:tcPr>
            <w:tcW w:w="992" w:type="dxa"/>
            <w:shd w:val="clear" w:color="auto" w:fill="D9D9D9" w:themeFill="background1" w:themeFillShade="D9"/>
            <w:noWrap/>
            <w:hideMark/>
          </w:tcPr>
          <w:p w14:paraId="35751EB3" w14:textId="1821F3CF" w:rsidR="001D1322" w:rsidRPr="00AB0BAD" w:rsidRDefault="00762E06" w:rsidP="00C04DFB">
            <w:pPr>
              <w:spacing w:after="0"/>
              <w:rPr>
                <w:rFonts w:ascii="Corbel" w:hAnsi="Corbel" w:cstheme="minorHAnsi"/>
                <w:sz w:val="16"/>
                <w:szCs w:val="16"/>
                <w:lang w:val="en-US"/>
              </w:rPr>
            </w:pPr>
            <w:r w:rsidRPr="00AB0BAD">
              <w:rPr>
                <w:rFonts w:ascii="Corbel" w:hAnsi="Corbel" w:cstheme="minorHAnsi"/>
                <w:sz w:val="16"/>
                <w:szCs w:val="16"/>
                <w:lang w:val="en-US"/>
              </w:rPr>
              <w:t>7.8</w:t>
            </w:r>
          </w:p>
        </w:tc>
        <w:tc>
          <w:tcPr>
            <w:tcW w:w="567" w:type="dxa"/>
            <w:shd w:val="clear" w:color="auto" w:fill="FFFFFF" w:themeFill="background1"/>
          </w:tcPr>
          <w:p w14:paraId="6927911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2DF5236D" w14:textId="4BEDCD6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w:t>
            </w:r>
            <w:r w:rsidR="00762E06">
              <w:rPr>
                <w:rFonts w:ascii="Corbel" w:hAnsi="Corbel" w:cstheme="minorHAnsi"/>
                <w:sz w:val="16"/>
                <w:szCs w:val="16"/>
                <w:lang w:val="en-US"/>
              </w:rPr>
              <w:t>1</w:t>
            </w:r>
            <w:r w:rsidRPr="005403DD">
              <w:rPr>
                <w:rFonts w:ascii="Corbel" w:hAnsi="Corbel" w:cstheme="minorHAnsi"/>
                <w:sz w:val="16"/>
                <w:szCs w:val="16"/>
                <w:lang w:val="en-US"/>
              </w:rPr>
              <w:t xml:space="preserve">0% total improvement on baseline by 2030; calibrated from global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(West and Lieber,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World average = 10.06. Baseline is comparatively low for Fiji.</w:t>
            </w:r>
          </w:p>
        </w:tc>
      </w:tr>
      <w:tr w:rsidR="005403DD" w:rsidRPr="005403DD" w14:paraId="10829C56" w14:textId="77777777" w:rsidTr="00C04DFB">
        <w:trPr>
          <w:trHeight w:val="300"/>
        </w:trPr>
        <w:tc>
          <w:tcPr>
            <w:tcW w:w="510" w:type="dxa"/>
            <w:shd w:val="clear" w:color="auto" w:fill="auto"/>
          </w:tcPr>
          <w:p w14:paraId="74830511"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166571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8.4</w:t>
            </w:r>
          </w:p>
        </w:tc>
        <w:tc>
          <w:tcPr>
            <w:tcW w:w="397" w:type="dxa"/>
            <w:tcBorders>
              <w:left w:val="single" w:sz="4" w:space="0" w:color="auto"/>
              <w:right w:val="single" w:sz="4" w:space="0" w:color="auto"/>
            </w:tcBorders>
            <w:shd w:val="clear" w:color="auto" w:fill="FFFFFF" w:themeFill="background1"/>
          </w:tcPr>
          <w:p w14:paraId="2E27AED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436B9C17" w14:textId="19495701"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8.4.2</w:t>
            </w:r>
            <w:r w:rsidR="00054CAE">
              <w:rPr>
                <w:rFonts w:ascii="Corbel" w:hAnsi="Corbel" w:cstheme="minorHAnsi"/>
                <w:sz w:val="16"/>
                <w:szCs w:val="16"/>
                <w:lang w:val="en-US"/>
              </w:rPr>
              <w:t>b</w:t>
            </w:r>
          </w:p>
        </w:tc>
        <w:tc>
          <w:tcPr>
            <w:tcW w:w="3862" w:type="dxa"/>
            <w:tcBorders>
              <w:right w:val="single" w:sz="4" w:space="0" w:color="auto"/>
            </w:tcBorders>
            <w:shd w:val="clear" w:color="auto" w:fill="FFFFFF" w:themeFill="background1"/>
            <w:noWrap/>
            <w:hideMark/>
          </w:tcPr>
          <w:p w14:paraId="124FEF5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Domestic material consumption per unit of output (kg/USD11)</w:t>
            </w:r>
          </w:p>
        </w:tc>
        <w:tc>
          <w:tcPr>
            <w:tcW w:w="1277" w:type="dxa"/>
            <w:tcBorders>
              <w:left w:val="single" w:sz="4" w:space="0" w:color="auto"/>
            </w:tcBorders>
            <w:shd w:val="clear" w:color="auto" w:fill="FFFFFF" w:themeFill="background1"/>
          </w:tcPr>
          <w:p w14:paraId="1F9E3719" w14:textId="198C294A" w:rsidR="001D1322" w:rsidRPr="00AB0BAD" w:rsidRDefault="00832A6A" w:rsidP="00C04DFB">
            <w:pPr>
              <w:spacing w:after="0"/>
              <w:rPr>
                <w:rFonts w:ascii="Corbel" w:hAnsi="Corbel" w:cstheme="minorHAnsi"/>
                <w:sz w:val="16"/>
                <w:szCs w:val="16"/>
                <w:lang w:val="en-US"/>
              </w:rPr>
            </w:pPr>
            <w:r w:rsidRPr="00AB0BAD">
              <w:rPr>
                <w:rFonts w:ascii="Corbel" w:hAnsi="Corbel" w:cstheme="minorHAnsi"/>
                <w:sz w:val="16"/>
                <w:szCs w:val="16"/>
                <w:lang w:val="en-US"/>
              </w:rPr>
              <w:t>1.01</w:t>
            </w:r>
          </w:p>
        </w:tc>
        <w:tc>
          <w:tcPr>
            <w:tcW w:w="992" w:type="dxa"/>
            <w:shd w:val="clear" w:color="auto" w:fill="D9D9D9" w:themeFill="background1" w:themeFillShade="D9"/>
            <w:noWrap/>
            <w:hideMark/>
          </w:tcPr>
          <w:p w14:paraId="13B48709" w14:textId="372092C4"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127B58" w:rsidRPr="00AB0BAD">
              <w:rPr>
                <w:rFonts w:ascii="Corbel" w:hAnsi="Corbel" w:cstheme="minorHAnsi"/>
                <w:sz w:val="16"/>
                <w:szCs w:val="16"/>
                <w:lang w:val="en-US"/>
              </w:rPr>
              <w:t>7</w:t>
            </w:r>
          </w:p>
        </w:tc>
        <w:tc>
          <w:tcPr>
            <w:tcW w:w="567" w:type="dxa"/>
            <w:shd w:val="clear" w:color="auto" w:fill="FFFFFF" w:themeFill="background1"/>
          </w:tcPr>
          <w:p w14:paraId="0FAD2CA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0196C7FB"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30% improvement on baseline by 2030; calibrated from global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(West and Lieber,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xml:space="preserve">, and IRP target 36-54% by 2050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&lt;EndNote&gt;&lt;Cite&gt;&lt;Author&gt;International Resource Panel&lt;/Author&gt;&lt;Year&gt;2017&lt;/Year&gt;&lt;RecNum&gt;884&lt;/RecNum&gt;&lt;DisplayText&gt;(International Resource Panel, 2017)&lt;/DisplayText&gt;&lt;record&gt;&lt;rec-number&gt;884&lt;/rec-number&gt;&lt;foreign-keys&gt;&lt;key app="EN" db-id="9vsrvaat7fadwtesfsrpw5w5t0x5v500ef25" timestamp="1542427681"&gt;884&lt;/key&gt;&lt;/foreign-keys&gt;&lt;ref-type name="Generic"&gt;13&lt;/ref-type&gt;&lt;contributors&gt;&lt;authors&gt;&lt;author&gt;International Resource Panel,&lt;/author&gt;&lt;/authors&gt;&lt;/contributors&gt;&lt;titles&gt;&lt;title&gt;Resource Efficiency: Potential and Economic Implications. &lt;/title&gt;&lt;/titles&gt;&lt;dates&gt;&lt;year&gt;2017&lt;/year&gt;&lt;/dates&gt;&lt;pub-location&gt;Paris&lt;/pub-location&gt;&lt;publisher&gt;UN Environment&lt;/publisher&gt;&lt;urls&gt;&lt;/urls&gt;&lt;/record&gt;&lt;/Cite&gt;&lt;/EndNote&gt;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(International Resource Panel, 2017)</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5403DD" w:rsidRPr="005403DD" w14:paraId="3B12FBB9" w14:textId="77777777" w:rsidTr="00C04DFB">
        <w:trPr>
          <w:trHeight w:val="300"/>
        </w:trPr>
        <w:tc>
          <w:tcPr>
            <w:tcW w:w="510" w:type="dxa"/>
            <w:shd w:val="clear" w:color="auto" w:fill="auto"/>
          </w:tcPr>
          <w:p w14:paraId="7DB452E6"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09DD4E16"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8.5 By 2030, achieve full and productive employment and decent work for all women and men, including for young people and persons with disabilities, and equal pay for work of equal value</w:t>
            </w:r>
          </w:p>
        </w:tc>
        <w:tc>
          <w:tcPr>
            <w:tcW w:w="397" w:type="dxa"/>
            <w:tcBorders>
              <w:left w:val="single" w:sz="4" w:space="0" w:color="auto"/>
              <w:right w:val="single" w:sz="4" w:space="0" w:color="auto"/>
            </w:tcBorders>
            <w:shd w:val="clear" w:color="auto" w:fill="FFFFFF" w:themeFill="background1"/>
          </w:tcPr>
          <w:p w14:paraId="0A095BE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2417E32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8.5.2</w:t>
            </w:r>
          </w:p>
        </w:tc>
        <w:tc>
          <w:tcPr>
            <w:tcW w:w="3862" w:type="dxa"/>
            <w:tcBorders>
              <w:right w:val="single" w:sz="4" w:space="0" w:color="auto"/>
            </w:tcBorders>
            <w:shd w:val="clear" w:color="auto" w:fill="FFFFFF" w:themeFill="background1"/>
            <w:noWrap/>
            <w:hideMark/>
          </w:tcPr>
          <w:p w14:paraId="4371D2B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Unemployment rate (%)</w:t>
            </w:r>
          </w:p>
        </w:tc>
        <w:tc>
          <w:tcPr>
            <w:tcW w:w="1277" w:type="dxa"/>
            <w:tcBorders>
              <w:left w:val="single" w:sz="4" w:space="0" w:color="auto"/>
            </w:tcBorders>
            <w:shd w:val="clear" w:color="auto" w:fill="FFFFFF" w:themeFill="background1"/>
          </w:tcPr>
          <w:p w14:paraId="00AC9863" w14:textId="7CB2E1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2D000C" w:rsidRPr="00AB0BAD">
              <w:rPr>
                <w:rFonts w:ascii="Corbel" w:hAnsi="Corbel" w:cstheme="minorHAnsi"/>
                <w:sz w:val="16"/>
                <w:szCs w:val="16"/>
                <w:lang w:val="en-US"/>
              </w:rPr>
              <w:t>056</w:t>
            </w:r>
          </w:p>
        </w:tc>
        <w:tc>
          <w:tcPr>
            <w:tcW w:w="992" w:type="dxa"/>
            <w:shd w:val="clear" w:color="auto" w:fill="D9D9D9" w:themeFill="background1" w:themeFillShade="D9"/>
            <w:noWrap/>
            <w:hideMark/>
          </w:tcPr>
          <w:p w14:paraId="785EB766"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0.05</w:t>
            </w:r>
          </w:p>
        </w:tc>
        <w:tc>
          <w:tcPr>
            <w:tcW w:w="567" w:type="dxa"/>
            <w:shd w:val="clear" w:color="auto" w:fill="FFFFFF" w:themeFill="background1"/>
          </w:tcPr>
          <w:p w14:paraId="64AEAF0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1C7E79CA"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8.5 is ‘full employment’. Target set at </w:t>
            </w:r>
            <w:r w:rsidRPr="005403DD">
              <w:rPr>
                <w:rFonts w:ascii="Corbel" w:hAnsi="Corbel" w:cstheme="minorHAnsi"/>
                <w:sz w:val="16"/>
                <w:szCs w:val="16"/>
                <w:u w:val="single"/>
                <w:lang w:val="en-US"/>
              </w:rPr>
              <w:t>&gt;</w:t>
            </w:r>
            <w:r w:rsidRPr="005403DD">
              <w:rPr>
                <w:rFonts w:ascii="Corbel" w:hAnsi="Corbel" w:cstheme="minorHAnsi"/>
                <w:sz w:val="16"/>
                <w:szCs w:val="16"/>
                <w:lang w:val="en-US"/>
              </w:rPr>
              <w:t>95% employment (i.e. approximately ‘natural rate’ of unemployment)</w:t>
            </w:r>
          </w:p>
        </w:tc>
      </w:tr>
      <w:tr w:rsidR="005403DD" w:rsidRPr="005403DD" w14:paraId="18DD51FE" w14:textId="77777777" w:rsidTr="00C04DFB">
        <w:trPr>
          <w:trHeight w:val="300"/>
        </w:trPr>
        <w:tc>
          <w:tcPr>
            <w:tcW w:w="510" w:type="dxa"/>
            <w:shd w:val="clear" w:color="auto" w:fill="FFFFFF" w:themeFill="background1"/>
          </w:tcPr>
          <w:p w14:paraId="624FAAAB"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FFFFFF" w:themeFill="background1"/>
          </w:tcPr>
          <w:p w14:paraId="2553406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8.6 By 2020, substantially reduce the proportion of youth</w:t>
            </w:r>
          </w:p>
          <w:p w14:paraId="05D9B66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not in employment, education or training</w:t>
            </w:r>
          </w:p>
        </w:tc>
        <w:tc>
          <w:tcPr>
            <w:tcW w:w="397" w:type="dxa"/>
            <w:tcBorders>
              <w:left w:val="single" w:sz="4" w:space="0" w:color="auto"/>
              <w:right w:val="single" w:sz="4" w:space="0" w:color="auto"/>
            </w:tcBorders>
            <w:shd w:val="clear" w:color="auto" w:fill="FFFFFF" w:themeFill="background1"/>
          </w:tcPr>
          <w:p w14:paraId="0C37A69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tcPr>
          <w:p w14:paraId="4DFE135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8.6.1</w:t>
            </w:r>
          </w:p>
        </w:tc>
        <w:tc>
          <w:tcPr>
            <w:tcW w:w="3862" w:type="dxa"/>
            <w:tcBorders>
              <w:right w:val="single" w:sz="4" w:space="0" w:color="auto"/>
            </w:tcBorders>
            <w:shd w:val="clear" w:color="auto" w:fill="FFFFFF" w:themeFill="background1"/>
            <w:noWrap/>
          </w:tcPr>
          <w:p w14:paraId="2739DF4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AU"/>
              </w:rPr>
              <w:t>8.6.1 Proportion of youth (aged 15–24 years) not in education, employment or training</w:t>
            </w:r>
          </w:p>
        </w:tc>
        <w:tc>
          <w:tcPr>
            <w:tcW w:w="1277" w:type="dxa"/>
            <w:tcBorders>
              <w:left w:val="single" w:sz="4" w:space="0" w:color="auto"/>
            </w:tcBorders>
            <w:shd w:val="clear" w:color="auto" w:fill="FFFFFF" w:themeFill="background1"/>
          </w:tcPr>
          <w:p w14:paraId="72388B39" w14:textId="55176BA5"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2A353D" w:rsidRPr="00AB0BAD">
              <w:rPr>
                <w:rFonts w:ascii="Corbel" w:hAnsi="Corbel" w:cstheme="minorHAnsi"/>
                <w:sz w:val="16"/>
                <w:szCs w:val="16"/>
                <w:lang w:val="en-US"/>
              </w:rPr>
              <w:t>4</w:t>
            </w:r>
          </w:p>
        </w:tc>
        <w:tc>
          <w:tcPr>
            <w:tcW w:w="992" w:type="dxa"/>
            <w:shd w:val="clear" w:color="auto" w:fill="D9D9D9" w:themeFill="background1" w:themeFillShade="D9"/>
            <w:noWrap/>
          </w:tcPr>
          <w:p w14:paraId="7E420C61" w14:textId="0089D4F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0.2</w:t>
            </w:r>
          </w:p>
        </w:tc>
        <w:tc>
          <w:tcPr>
            <w:tcW w:w="567" w:type="dxa"/>
            <w:shd w:val="clear" w:color="auto" w:fill="FFFFFF" w:themeFill="background1"/>
          </w:tcPr>
          <w:p w14:paraId="46E1DD0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61EA0048" w14:textId="4D5B659F"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8.6 is for a ‘substantial reduction’.  Target set as </w:t>
            </w:r>
            <w:r w:rsidR="0044294B">
              <w:rPr>
                <w:rFonts w:ascii="Corbel" w:hAnsi="Corbel" w:cstheme="minorHAnsi"/>
                <w:sz w:val="16"/>
                <w:szCs w:val="16"/>
                <w:lang w:val="en-US"/>
              </w:rPr>
              <w:t>halve baseline value by 2030;</w:t>
            </w:r>
            <w:r w:rsidRPr="005403DD">
              <w:rPr>
                <w:rFonts w:ascii="Corbel" w:hAnsi="Corbel" w:cstheme="minorHAnsi"/>
                <w:sz w:val="16"/>
                <w:szCs w:val="16"/>
                <w:lang w:val="en-US"/>
              </w:rPr>
              <w:t xml:space="preserve"> calibrate</w:t>
            </w:r>
            <w:r w:rsidR="00463740">
              <w:rPr>
                <w:rFonts w:ascii="Corbel" w:hAnsi="Corbel" w:cstheme="minorHAnsi"/>
                <w:sz w:val="16"/>
                <w:szCs w:val="16"/>
                <w:lang w:val="en-US"/>
              </w:rPr>
              <w:t>d</w:t>
            </w:r>
            <w:r w:rsidRPr="005403DD">
              <w:rPr>
                <w:rFonts w:ascii="Corbel" w:hAnsi="Corbel" w:cstheme="minorHAnsi"/>
                <w:sz w:val="16"/>
                <w:szCs w:val="16"/>
                <w:lang w:val="en-US"/>
              </w:rPr>
              <w:t xml:space="preserve"> from historic timeseries data and BAU</w:t>
            </w:r>
          </w:p>
          <w:p w14:paraId="6919ABB6"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 (max 0.5, min 0.18) </w:t>
            </w:r>
          </w:p>
        </w:tc>
      </w:tr>
      <w:tr w:rsidR="005403DD" w:rsidRPr="005403DD" w14:paraId="34E512B3" w14:textId="77777777" w:rsidTr="00C04DFB">
        <w:trPr>
          <w:trHeight w:val="54"/>
        </w:trPr>
        <w:tc>
          <w:tcPr>
            <w:tcW w:w="510" w:type="dxa"/>
            <w:shd w:val="clear" w:color="auto" w:fill="D9D9D9" w:themeFill="background1" w:themeFillShade="D9"/>
          </w:tcPr>
          <w:p w14:paraId="7D9F2DD3"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5EADEC77"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515571F6"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5601D750"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1FADF5F3"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6FC1359B"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62325C57"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410D5823"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37FB0B16"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1CF58760" w14:textId="77777777" w:rsidTr="00C04DFB">
        <w:trPr>
          <w:trHeight w:val="300"/>
        </w:trPr>
        <w:tc>
          <w:tcPr>
            <w:tcW w:w="510" w:type="dxa"/>
            <w:shd w:val="clear" w:color="auto" w:fill="auto"/>
          </w:tcPr>
          <w:p w14:paraId="530B305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w:t>
            </w:r>
          </w:p>
        </w:tc>
        <w:tc>
          <w:tcPr>
            <w:tcW w:w="4195" w:type="dxa"/>
            <w:tcBorders>
              <w:right w:val="single" w:sz="4" w:space="0" w:color="auto"/>
            </w:tcBorders>
            <w:shd w:val="clear" w:color="auto" w:fill="auto"/>
          </w:tcPr>
          <w:p w14:paraId="6F4A9F9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9.1 Develop quality, reliable, sustainable and resilient infrastructure, including regional and transborder infrastructure, to support economic development and human well-being, with a focus on affordable and equitable access for all</w:t>
            </w:r>
          </w:p>
        </w:tc>
        <w:tc>
          <w:tcPr>
            <w:tcW w:w="397" w:type="dxa"/>
            <w:tcBorders>
              <w:left w:val="single" w:sz="4" w:space="0" w:color="auto"/>
              <w:right w:val="single" w:sz="4" w:space="0" w:color="auto"/>
            </w:tcBorders>
            <w:shd w:val="clear" w:color="auto" w:fill="FFFFFF" w:themeFill="background1"/>
          </w:tcPr>
          <w:p w14:paraId="1CD88AB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tcPr>
          <w:p w14:paraId="3A4D7C7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 xml:space="preserve">9.1.1 </w:t>
            </w:r>
          </w:p>
          <w:p w14:paraId="49ABFA94" w14:textId="77777777" w:rsidR="001D1322" w:rsidRPr="005403DD" w:rsidRDefault="001D1322" w:rsidP="00C04DFB">
            <w:pPr>
              <w:spacing w:after="0"/>
              <w:rPr>
                <w:rFonts w:ascii="Corbel" w:hAnsi="Corbel" w:cstheme="minorHAnsi"/>
                <w:sz w:val="16"/>
                <w:szCs w:val="16"/>
                <w:lang w:val="en-US"/>
              </w:rPr>
            </w:pPr>
          </w:p>
        </w:tc>
        <w:tc>
          <w:tcPr>
            <w:tcW w:w="3862" w:type="dxa"/>
            <w:tcBorders>
              <w:right w:val="single" w:sz="4" w:space="0" w:color="auto"/>
            </w:tcBorders>
            <w:shd w:val="clear" w:color="auto" w:fill="FFFFFF" w:themeFill="background1"/>
            <w:noWrap/>
          </w:tcPr>
          <w:p w14:paraId="65B8DF7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Proportion of the rural population who live within 2 km of an all-season road (Rural Access Index)</w:t>
            </w:r>
          </w:p>
        </w:tc>
        <w:tc>
          <w:tcPr>
            <w:tcW w:w="1277" w:type="dxa"/>
            <w:tcBorders>
              <w:left w:val="single" w:sz="4" w:space="0" w:color="auto"/>
            </w:tcBorders>
            <w:shd w:val="clear" w:color="auto" w:fill="FFFFFF" w:themeFill="background1"/>
          </w:tcPr>
          <w:p w14:paraId="006116E6" w14:textId="10B03D4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0.7</w:t>
            </w:r>
            <w:r w:rsidR="00A0285D" w:rsidRPr="00AB0BAD">
              <w:rPr>
                <w:rFonts w:ascii="Corbel" w:hAnsi="Corbel" w:cstheme="minorHAnsi"/>
                <w:sz w:val="16"/>
                <w:szCs w:val="16"/>
                <w:lang w:val="en-US"/>
              </w:rPr>
              <w:t>1</w:t>
            </w:r>
          </w:p>
        </w:tc>
        <w:tc>
          <w:tcPr>
            <w:tcW w:w="992" w:type="dxa"/>
            <w:shd w:val="clear" w:color="auto" w:fill="D9D9D9" w:themeFill="background1" w:themeFillShade="D9"/>
            <w:noWrap/>
          </w:tcPr>
          <w:p w14:paraId="27B81A0C"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0.9</w:t>
            </w:r>
          </w:p>
        </w:tc>
        <w:tc>
          <w:tcPr>
            <w:tcW w:w="567" w:type="dxa"/>
            <w:shd w:val="clear" w:color="auto" w:fill="FFFFFF" w:themeFill="background1"/>
          </w:tcPr>
          <w:p w14:paraId="5CCC037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19AD0069" w14:textId="4843168C"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9.1 is for affordable and equitable access for all. Target set at 9</w:t>
            </w:r>
            <w:r w:rsidR="00A54EFA">
              <w:rPr>
                <w:rFonts w:ascii="Corbel" w:hAnsi="Corbel" w:cstheme="minorHAnsi"/>
                <w:sz w:val="16"/>
                <w:szCs w:val="16"/>
                <w:lang w:val="en-US"/>
              </w:rPr>
              <w:t>0</w:t>
            </w:r>
            <w:r w:rsidRPr="005403DD">
              <w:rPr>
                <w:rFonts w:ascii="Corbel" w:hAnsi="Corbel" w:cstheme="minorHAnsi"/>
                <w:sz w:val="16"/>
                <w:szCs w:val="16"/>
                <w:lang w:val="en-US"/>
              </w:rPr>
              <w:t>% coverage calibrated from BAU projection and local conditions.</w:t>
            </w:r>
          </w:p>
        </w:tc>
      </w:tr>
      <w:tr w:rsidR="005403DD" w:rsidRPr="005403DD" w14:paraId="0430A3C8" w14:textId="77777777" w:rsidTr="00C04DFB">
        <w:trPr>
          <w:trHeight w:val="300"/>
        </w:trPr>
        <w:tc>
          <w:tcPr>
            <w:tcW w:w="510" w:type="dxa"/>
            <w:shd w:val="clear" w:color="auto" w:fill="auto"/>
          </w:tcPr>
          <w:p w14:paraId="12572F71"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35C3B30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 xml:space="preserve">9.2 Promote inclusive and sustainable industrialization and, by 2030, significantly raise industry’s share of employment and gross domestic product, in line with national </w:t>
            </w:r>
            <w:r w:rsidRPr="005403DD">
              <w:rPr>
                <w:rFonts w:ascii="Corbel" w:hAnsi="Corbel" w:cstheme="minorHAnsi"/>
                <w:sz w:val="16"/>
                <w:szCs w:val="16"/>
                <w:lang w:val="en-US"/>
              </w:rPr>
              <w:lastRenderedPageBreak/>
              <w:t>circumstances, and double its share in least developed countries</w:t>
            </w:r>
          </w:p>
        </w:tc>
        <w:tc>
          <w:tcPr>
            <w:tcW w:w="397" w:type="dxa"/>
            <w:tcBorders>
              <w:left w:val="single" w:sz="4" w:space="0" w:color="auto"/>
              <w:right w:val="single" w:sz="4" w:space="0" w:color="auto"/>
            </w:tcBorders>
            <w:shd w:val="clear" w:color="auto" w:fill="FFFFFF" w:themeFill="background1"/>
          </w:tcPr>
          <w:p w14:paraId="2FB8F1F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lastRenderedPageBreak/>
              <w:t>Ec</w:t>
            </w:r>
          </w:p>
        </w:tc>
        <w:tc>
          <w:tcPr>
            <w:tcW w:w="1100" w:type="dxa"/>
            <w:tcBorders>
              <w:left w:val="single" w:sz="4" w:space="0" w:color="auto"/>
            </w:tcBorders>
            <w:shd w:val="clear" w:color="auto" w:fill="FFFFFF" w:themeFill="background1"/>
            <w:noWrap/>
            <w:hideMark/>
          </w:tcPr>
          <w:p w14:paraId="6528187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9.2.1a</w:t>
            </w:r>
          </w:p>
        </w:tc>
        <w:tc>
          <w:tcPr>
            <w:tcW w:w="3862" w:type="dxa"/>
            <w:tcBorders>
              <w:right w:val="single" w:sz="4" w:space="0" w:color="auto"/>
            </w:tcBorders>
            <w:shd w:val="clear" w:color="auto" w:fill="FFFFFF" w:themeFill="background1"/>
            <w:noWrap/>
            <w:hideMark/>
          </w:tcPr>
          <w:p w14:paraId="4E3FE88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Industry production as share of GDP at factor cost (%)</w:t>
            </w:r>
          </w:p>
          <w:p w14:paraId="04C90FBD" w14:textId="77777777" w:rsidR="001D1322" w:rsidRPr="005403DD" w:rsidRDefault="001D1322" w:rsidP="00C04DFB">
            <w:pPr>
              <w:spacing w:after="0"/>
              <w:rPr>
                <w:rFonts w:ascii="Corbel" w:hAnsi="Corbel" w:cstheme="minorHAnsi"/>
                <w:sz w:val="16"/>
                <w:szCs w:val="16"/>
                <w:lang w:val="en-US"/>
              </w:rPr>
            </w:pPr>
          </w:p>
        </w:tc>
        <w:tc>
          <w:tcPr>
            <w:tcW w:w="1277" w:type="dxa"/>
            <w:tcBorders>
              <w:left w:val="single" w:sz="4" w:space="0" w:color="auto"/>
            </w:tcBorders>
            <w:shd w:val="clear" w:color="auto" w:fill="FFFFFF" w:themeFill="background1"/>
          </w:tcPr>
          <w:p w14:paraId="306D8713" w14:textId="378B931E"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CD2B20" w:rsidRPr="00AB0BAD">
              <w:rPr>
                <w:rFonts w:ascii="Corbel" w:hAnsi="Corbel" w:cstheme="minorHAnsi"/>
                <w:sz w:val="16"/>
                <w:szCs w:val="16"/>
                <w:lang w:val="en-US"/>
              </w:rPr>
              <w:t>2</w:t>
            </w:r>
          </w:p>
        </w:tc>
        <w:tc>
          <w:tcPr>
            <w:tcW w:w="992" w:type="dxa"/>
            <w:shd w:val="clear" w:color="auto" w:fill="D9D9D9" w:themeFill="background1" w:themeFillShade="D9"/>
            <w:noWrap/>
            <w:hideMark/>
          </w:tcPr>
          <w:p w14:paraId="74E3AD54" w14:textId="20717954"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0.2</w:t>
            </w:r>
            <w:r w:rsidR="005E7A6E" w:rsidRPr="00AB0BAD">
              <w:rPr>
                <w:rFonts w:ascii="Corbel" w:hAnsi="Corbel" w:cstheme="minorHAnsi"/>
                <w:sz w:val="16"/>
                <w:szCs w:val="16"/>
                <w:lang w:val="en-US"/>
              </w:rPr>
              <w:t>4</w:t>
            </w:r>
          </w:p>
        </w:tc>
        <w:tc>
          <w:tcPr>
            <w:tcW w:w="567" w:type="dxa"/>
            <w:shd w:val="clear" w:color="auto" w:fill="FFFFFF" w:themeFill="background1"/>
          </w:tcPr>
          <w:p w14:paraId="5D7D700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303F3713"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9.2 is to increase share. Target set at 20% increase on baseline value; calibrated from timeseries data (max 0.194) and BAU. </w:t>
            </w:r>
          </w:p>
        </w:tc>
      </w:tr>
      <w:tr w:rsidR="005403DD" w:rsidRPr="005403DD" w14:paraId="66A8A9F3" w14:textId="77777777" w:rsidTr="00C04DFB">
        <w:trPr>
          <w:trHeight w:val="300"/>
        </w:trPr>
        <w:tc>
          <w:tcPr>
            <w:tcW w:w="510" w:type="dxa"/>
            <w:shd w:val="clear" w:color="auto" w:fill="auto"/>
          </w:tcPr>
          <w:p w14:paraId="5907D4E5"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1C7F399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9.2</w:t>
            </w:r>
          </w:p>
        </w:tc>
        <w:tc>
          <w:tcPr>
            <w:tcW w:w="397" w:type="dxa"/>
            <w:tcBorders>
              <w:left w:val="single" w:sz="4" w:space="0" w:color="auto"/>
              <w:right w:val="single" w:sz="4" w:space="0" w:color="auto"/>
            </w:tcBorders>
            <w:shd w:val="clear" w:color="auto" w:fill="FFFFFF" w:themeFill="background1"/>
          </w:tcPr>
          <w:p w14:paraId="57D1655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1729B4B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9.2.1b</w:t>
            </w:r>
          </w:p>
        </w:tc>
        <w:tc>
          <w:tcPr>
            <w:tcW w:w="3862" w:type="dxa"/>
            <w:tcBorders>
              <w:right w:val="single" w:sz="4" w:space="0" w:color="auto"/>
            </w:tcBorders>
            <w:shd w:val="clear" w:color="auto" w:fill="FFFFFF" w:themeFill="background1"/>
            <w:noWrap/>
            <w:hideMark/>
          </w:tcPr>
          <w:p w14:paraId="3607935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PC industry production (real $/person/year)</w:t>
            </w:r>
          </w:p>
        </w:tc>
        <w:tc>
          <w:tcPr>
            <w:tcW w:w="1277" w:type="dxa"/>
            <w:tcBorders>
              <w:left w:val="single" w:sz="4" w:space="0" w:color="auto"/>
            </w:tcBorders>
            <w:shd w:val="clear" w:color="auto" w:fill="FFFFFF" w:themeFill="background1"/>
          </w:tcPr>
          <w:p w14:paraId="5BAC8B42" w14:textId="568DFFB4" w:rsidR="001D1322" w:rsidRPr="00AB0BAD" w:rsidRDefault="005E7A6E" w:rsidP="00C04DFB">
            <w:pPr>
              <w:spacing w:after="0"/>
              <w:rPr>
                <w:rFonts w:ascii="Corbel" w:hAnsi="Corbel" w:cstheme="minorHAnsi"/>
                <w:sz w:val="16"/>
                <w:szCs w:val="16"/>
                <w:lang w:val="en-US"/>
              </w:rPr>
            </w:pPr>
            <w:r w:rsidRPr="00AB0BAD">
              <w:rPr>
                <w:rFonts w:ascii="Corbel" w:hAnsi="Corbel" w:cstheme="minorHAnsi"/>
                <w:sz w:val="16"/>
                <w:szCs w:val="16"/>
                <w:lang w:val="en-US"/>
              </w:rPr>
              <w:t>1708.5</w:t>
            </w:r>
          </w:p>
        </w:tc>
        <w:tc>
          <w:tcPr>
            <w:tcW w:w="992" w:type="dxa"/>
            <w:shd w:val="clear" w:color="auto" w:fill="D9D9D9" w:themeFill="background1" w:themeFillShade="D9"/>
            <w:noWrap/>
            <w:hideMark/>
          </w:tcPr>
          <w:p w14:paraId="05673939" w14:textId="10F4A8A3" w:rsidR="001D1322" w:rsidRPr="00AB0BAD" w:rsidRDefault="00B44AE4" w:rsidP="00C04DFB">
            <w:pPr>
              <w:spacing w:after="0"/>
              <w:rPr>
                <w:rFonts w:ascii="Corbel" w:hAnsi="Corbel" w:cstheme="minorHAnsi"/>
                <w:sz w:val="16"/>
                <w:szCs w:val="16"/>
                <w:lang w:val="en-US"/>
              </w:rPr>
            </w:pPr>
            <w:r w:rsidRPr="00AB0BAD">
              <w:rPr>
                <w:rFonts w:ascii="Corbel" w:hAnsi="Corbel" w:cstheme="minorHAnsi"/>
                <w:sz w:val="16"/>
                <w:szCs w:val="16"/>
                <w:lang w:val="en-US"/>
              </w:rPr>
              <w:t>2050.2</w:t>
            </w:r>
          </w:p>
        </w:tc>
        <w:tc>
          <w:tcPr>
            <w:tcW w:w="567" w:type="dxa"/>
            <w:shd w:val="clear" w:color="auto" w:fill="FFFFFF" w:themeFill="background1"/>
          </w:tcPr>
          <w:p w14:paraId="640AF5C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1384BF39"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9.2 is to increase share. Target set at 20% improvement on baseline; calibrated off timeseries data and BAU (1487.8)</w:t>
            </w:r>
          </w:p>
        </w:tc>
      </w:tr>
      <w:tr w:rsidR="005403DD" w:rsidRPr="005403DD" w14:paraId="28EE47F5" w14:textId="77777777" w:rsidTr="00C04DFB">
        <w:trPr>
          <w:trHeight w:val="300"/>
        </w:trPr>
        <w:tc>
          <w:tcPr>
            <w:tcW w:w="510" w:type="dxa"/>
            <w:shd w:val="clear" w:color="auto" w:fill="auto"/>
          </w:tcPr>
          <w:p w14:paraId="6F8CAA9D"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027A32F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9.2</w:t>
            </w:r>
          </w:p>
        </w:tc>
        <w:tc>
          <w:tcPr>
            <w:tcW w:w="397" w:type="dxa"/>
            <w:tcBorders>
              <w:left w:val="single" w:sz="4" w:space="0" w:color="auto"/>
              <w:right w:val="single" w:sz="4" w:space="0" w:color="auto"/>
            </w:tcBorders>
            <w:shd w:val="clear" w:color="auto" w:fill="FFFFFF" w:themeFill="background1"/>
          </w:tcPr>
          <w:p w14:paraId="2502C16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75C1FCFB" w14:textId="45E1EDBB"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9.2.2</w:t>
            </w:r>
          </w:p>
        </w:tc>
        <w:tc>
          <w:tcPr>
            <w:tcW w:w="3862" w:type="dxa"/>
            <w:tcBorders>
              <w:right w:val="single" w:sz="4" w:space="0" w:color="auto"/>
            </w:tcBorders>
            <w:shd w:val="clear" w:color="auto" w:fill="FFFFFF" w:themeFill="background1"/>
            <w:noWrap/>
            <w:hideMark/>
          </w:tcPr>
          <w:p w14:paraId="2E13305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Industry employment as share of total employment</w:t>
            </w:r>
          </w:p>
        </w:tc>
        <w:tc>
          <w:tcPr>
            <w:tcW w:w="1277" w:type="dxa"/>
            <w:tcBorders>
              <w:left w:val="single" w:sz="4" w:space="0" w:color="auto"/>
            </w:tcBorders>
            <w:shd w:val="clear" w:color="auto" w:fill="FFFFFF" w:themeFill="background1"/>
          </w:tcPr>
          <w:p w14:paraId="3132E09C" w14:textId="18DD8D71"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0.14</w:t>
            </w:r>
          </w:p>
        </w:tc>
        <w:tc>
          <w:tcPr>
            <w:tcW w:w="992" w:type="dxa"/>
            <w:shd w:val="clear" w:color="auto" w:fill="D9D9D9" w:themeFill="background1" w:themeFillShade="D9"/>
            <w:noWrap/>
            <w:hideMark/>
          </w:tcPr>
          <w:p w14:paraId="07DF9A71" w14:textId="78B87E94"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0.1</w:t>
            </w:r>
            <w:r w:rsidR="00C042FF" w:rsidRPr="00AB0BAD">
              <w:rPr>
                <w:rFonts w:ascii="Corbel" w:hAnsi="Corbel" w:cstheme="minorHAnsi"/>
                <w:sz w:val="16"/>
                <w:szCs w:val="16"/>
                <w:lang w:val="en-US"/>
              </w:rPr>
              <w:t>5</w:t>
            </w:r>
          </w:p>
        </w:tc>
        <w:tc>
          <w:tcPr>
            <w:tcW w:w="567" w:type="dxa"/>
            <w:shd w:val="clear" w:color="auto" w:fill="FFFFFF" w:themeFill="background1"/>
          </w:tcPr>
          <w:p w14:paraId="2834856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01EE2AD8" w14:textId="07A47C74"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9.2 is to increase share. Target set as </w:t>
            </w:r>
            <w:r w:rsidR="006A7EE5">
              <w:rPr>
                <w:rFonts w:ascii="Corbel" w:hAnsi="Corbel" w:cstheme="minorHAnsi"/>
                <w:sz w:val="16"/>
                <w:szCs w:val="16"/>
                <w:lang w:val="en-US"/>
              </w:rPr>
              <w:t>1</w:t>
            </w:r>
            <w:r w:rsidRPr="005403DD">
              <w:rPr>
                <w:rFonts w:ascii="Corbel" w:hAnsi="Corbel" w:cstheme="minorHAnsi"/>
                <w:sz w:val="16"/>
                <w:szCs w:val="16"/>
                <w:lang w:val="en-US"/>
              </w:rPr>
              <w:t>0% improvement on baseline; calibrated from timeseries data (max 0.15) and BAU (0.1</w:t>
            </w:r>
            <w:r w:rsidR="00804FE2">
              <w:rPr>
                <w:rFonts w:ascii="Corbel" w:hAnsi="Corbel" w:cstheme="minorHAnsi"/>
                <w:sz w:val="16"/>
                <w:szCs w:val="16"/>
                <w:lang w:val="en-US"/>
              </w:rPr>
              <w:t>4</w:t>
            </w:r>
            <w:r w:rsidRPr="005403DD">
              <w:rPr>
                <w:rFonts w:ascii="Corbel" w:hAnsi="Corbel" w:cstheme="minorHAnsi"/>
                <w:sz w:val="16"/>
                <w:szCs w:val="16"/>
                <w:lang w:val="en-US"/>
              </w:rPr>
              <w:t>).</w:t>
            </w:r>
          </w:p>
        </w:tc>
      </w:tr>
      <w:tr w:rsidR="005403DD" w:rsidRPr="005403DD" w14:paraId="6D12620B" w14:textId="77777777" w:rsidTr="00C04DFB">
        <w:trPr>
          <w:trHeight w:val="300"/>
        </w:trPr>
        <w:tc>
          <w:tcPr>
            <w:tcW w:w="510" w:type="dxa"/>
            <w:shd w:val="clear" w:color="auto" w:fill="auto"/>
          </w:tcPr>
          <w:p w14:paraId="584B5147"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5C7A0861"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9.4 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c>
          <w:tcPr>
            <w:tcW w:w="397" w:type="dxa"/>
            <w:tcBorders>
              <w:left w:val="single" w:sz="4" w:space="0" w:color="auto"/>
              <w:right w:val="single" w:sz="4" w:space="0" w:color="auto"/>
            </w:tcBorders>
            <w:shd w:val="clear" w:color="auto" w:fill="FFFFFF" w:themeFill="background1"/>
          </w:tcPr>
          <w:p w14:paraId="50A0472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2FD796A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9.4.1</w:t>
            </w:r>
          </w:p>
        </w:tc>
        <w:tc>
          <w:tcPr>
            <w:tcW w:w="3862" w:type="dxa"/>
            <w:tcBorders>
              <w:right w:val="single" w:sz="4" w:space="0" w:color="auto"/>
            </w:tcBorders>
            <w:shd w:val="clear" w:color="auto" w:fill="FFFFFF" w:themeFill="background1"/>
            <w:noWrap/>
            <w:hideMark/>
          </w:tcPr>
          <w:p w14:paraId="7CBBC142"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CO2 emissions per unit of value added (kg CO2-e/USD 2011)</w:t>
            </w:r>
          </w:p>
        </w:tc>
        <w:tc>
          <w:tcPr>
            <w:tcW w:w="1277" w:type="dxa"/>
            <w:tcBorders>
              <w:left w:val="single" w:sz="4" w:space="0" w:color="auto"/>
            </w:tcBorders>
            <w:shd w:val="clear" w:color="auto" w:fill="FFFFFF" w:themeFill="background1"/>
          </w:tcPr>
          <w:p w14:paraId="49F20872" w14:textId="4077B786"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0.3</w:t>
            </w:r>
            <w:r w:rsidR="009306B2" w:rsidRPr="00AB0BAD">
              <w:rPr>
                <w:rFonts w:ascii="Corbel" w:hAnsi="Corbel" w:cstheme="minorHAnsi"/>
                <w:sz w:val="16"/>
                <w:szCs w:val="16"/>
                <w:lang w:val="en-US"/>
              </w:rPr>
              <w:t>1</w:t>
            </w:r>
          </w:p>
        </w:tc>
        <w:tc>
          <w:tcPr>
            <w:tcW w:w="992" w:type="dxa"/>
            <w:shd w:val="clear" w:color="auto" w:fill="D9D9D9" w:themeFill="background1" w:themeFillShade="D9"/>
            <w:noWrap/>
            <w:hideMark/>
          </w:tcPr>
          <w:p w14:paraId="653AE6D6" w14:textId="3F637F2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w:t>
            </w:r>
            <w:r w:rsidR="00961561" w:rsidRPr="00AB0BAD">
              <w:rPr>
                <w:rFonts w:ascii="Corbel" w:hAnsi="Corbel" w:cstheme="minorHAnsi"/>
                <w:sz w:val="16"/>
                <w:szCs w:val="16"/>
                <w:lang w:val="en-US"/>
              </w:rPr>
              <w:t>17</w:t>
            </w:r>
          </w:p>
        </w:tc>
        <w:tc>
          <w:tcPr>
            <w:tcW w:w="567" w:type="dxa"/>
            <w:shd w:val="clear" w:color="auto" w:fill="FFFFFF" w:themeFill="background1"/>
          </w:tcPr>
          <w:p w14:paraId="1FB68F6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39A7952B" w14:textId="070A3816"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9.4 is to increase efficiency. Target set as 0.</w:t>
            </w:r>
            <w:r w:rsidR="00F8010E">
              <w:rPr>
                <w:rFonts w:ascii="Corbel" w:hAnsi="Corbel" w:cstheme="minorHAnsi"/>
                <w:sz w:val="16"/>
                <w:szCs w:val="16"/>
                <w:lang w:val="en-US"/>
              </w:rPr>
              <w:t>17</w:t>
            </w:r>
            <w:r w:rsidRPr="005403DD">
              <w:rPr>
                <w:rFonts w:ascii="Corbel" w:hAnsi="Corbel" w:cstheme="minorHAnsi"/>
                <w:sz w:val="16"/>
                <w:szCs w:val="16"/>
                <w:lang w:val="en-US"/>
              </w:rPr>
              <w:t xml:space="preserve"> calibrated from timeseries data (max = 0.348, min = 0.19) and global data (OECD average = 0.21)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&lt;EndNote&gt;&lt;Cite&gt;&lt;Author&gt;OECD&lt;/Author&gt;&lt;Year&gt;2017&lt;/Year&gt;&lt;RecNum&gt;1080&lt;/RecNum&gt;&lt;DisplayText&gt;(OECD, 2017)&lt;/DisplayText&gt;&lt;record&gt;&lt;rec-number&gt;1080&lt;/rec-number&gt;&lt;foreign-keys&gt;&lt;key app="EN" db-id="9vsrvaat7fadwtesfsrpw5w5t0x5v500ef25" timestamp="1565226333"&gt;1080&lt;/key&gt;&lt;/foreign-keys&gt;&lt;ref-type name="Dataset"&gt;59&lt;/ref-type&gt;&lt;contributors&gt;&lt;authors&gt;&lt;author&gt;OECD,&lt;/author&gt;&lt;/authors&gt;&lt;/contributors&gt;&lt;titles&gt;&lt;title&gt;OECD.stat Green Growth Indicators&lt;/title&gt;&lt;/titles&gt;&lt;dates&gt;&lt;year&gt;2017&lt;/year&gt;&lt;/dates&gt;&lt;publisher&gt;Organisation for Economic Cooperation and Development&lt;/publisher&gt;&lt;urls&gt;&lt;related-urls&gt;&lt;url&gt;https://stats.oecd.org/Index.aspx?DataSetCode=GREEN_GROWTH&lt;/url&gt;&lt;/related-urls&gt;&lt;/urls&gt;&lt;access-date&gt;03/03/18&lt;/access-date&gt;&lt;/record&gt;&lt;/Cite&gt;&lt;/EndNote&gt;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(OECD, 2017)</w:t>
            </w:r>
            <w:r w:rsidRPr="005403DD">
              <w:rPr>
                <w:rFonts w:ascii="Corbel" w:hAnsi="Corbel" w:cstheme="minorHAnsi"/>
                <w:sz w:val="16"/>
                <w:szCs w:val="16"/>
                <w:lang w:val="en-US"/>
              </w:rPr>
              <w:fldChar w:fldCharType="end"/>
            </w:r>
          </w:p>
        </w:tc>
      </w:tr>
      <w:tr w:rsidR="005403DD" w:rsidRPr="005403DD" w14:paraId="343C0B2A" w14:textId="77777777" w:rsidTr="00C04DFB">
        <w:trPr>
          <w:trHeight w:val="54"/>
        </w:trPr>
        <w:tc>
          <w:tcPr>
            <w:tcW w:w="510" w:type="dxa"/>
            <w:shd w:val="clear" w:color="auto" w:fill="D9D9D9" w:themeFill="background1" w:themeFillShade="D9"/>
          </w:tcPr>
          <w:p w14:paraId="75482E83"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6D2D54CB"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7F1ADDAA"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44B6AE94"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2F544C4B"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4FFF9BA2"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1C026D25"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2421EF5F"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44E8DB90" w14:textId="77777777" w:rsidR="001D1322" w:rsidRPr="005403DD" w:rsidRDefault="001D1322" w:rsidP="00C04DFB">
            <w:pPr>
              <w:spacing w:after="0"/>
              <w:jc w:val="center"/>
              <w:rPr>
                <w:rFonts w:ascii="Corbel" w:hAnsi="Corbel" w:cstheme="minorHAnsi"/>
                <w:sz w:val="8"/>
                <w:szCs w:val="8"/>
                <w:lang w:val="en-US"/>
              </w:rPr>
            </w:pPr>
          </w:p>
        </w:tc>
      </w:tr>
      <w:tr w:rsidR="005403DD" w:rsidRPr="005403DD" w14:paraId="0D34290F" w14:textId="77777777" w:rsidTr="00C04DFB">
        <w:trPr>
          <w:trHeight w:val="300"/>
        </w:trPr>
        <w:tc>
          <w:tcPr>
            <w:tcW w:w="510" w:type="dxa"/>
            <w:shd w:val="clear" w:color="auto" w:fill="FFFFFF" w:themeFill="background1"/>
          </w:tcPr>
          <w:p w14:paraId="7E851AA7"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w:t>
            </w:r>
          </w:p>
        </w:tc>
        <w:tc>
          <w:tcPr>
            <w:tcW w:w="4195" w:type="dxa"/>
            <w:tcBorders>
              <w:right w:val="single" w:sz="4" w:space="0" w:color="auto"/>
            </w:tcBorders>
            <w:shd w:val="clear" w:color="auto" w:fill="auto"/>
          </w:tcPr>
          <w:p w14:paraId="535C750C"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10.1 By 2030, progressively achieve and sustain income growth of the bottom 40 per cent of the population at a rate higher than the national average</w:t>
            </w:r>
          </w:p>
        </w:tc>
        <w:tc>
          <w:tcPr>
            <w:tcW w:w="397" w:type="dxa"/>
            <w:tcBorders>
              <w:left w:val="single" w:sz="4" w:space="0" w:color="auto"/>
              <w:right w:val="single" w:sz="4" w:space="0" w:color="auto"/>
            </w:tcBorders>
            <w:shd w:val="clear" w:color="auto" w:fill="FFFFFF" w:themeFill="background1"/>
          </w:tcPr>
          <w:p w14:paraId="1D033B48"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2005FE8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10.1.1</w:t>
            </w:r>
          </w:p>
        </w:tc>
        <w:tc>
          <w:tcPr>
            <w:tcW w:w="3862" w:type="dxa"/>
            <w:tcBorders>
              <w:right w:val="single" w:sz="4" w:space="0" w:color="auto"/>
            </w:tcBorders>
            <w:shd w:val="clear" w:color="auto" w:fill="FFFFFF" w:themeFill="background1"/>
            <w:noWrap/>
            <w:hideMark/>
          </w:tcPr>
          <w:p w14:paraId="2102D59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Bottom 40 percent income growth to average income growth gap (i.e. real average income growth rate – real average income of bottom 40% growth rate)</w:t>
            </w:r>
          </w:p>
        </w:tc>
        <w:tc>
          <w:tcPr>
            <w:tcW w:w="1277" w:type="dxa"/>
            <w:tcBorders>
              <w:left w:val="single" w:sz="4" w:space="0" w:color="auto"/>
            </w:tcBorders>
            <w:shd w:val="clear" w:color="auto" w:fill="FFFFFF" w:themeFill="background1"/>
          </w:tcPr>
          <w:p w14:paraId="04C9CDF1" w14:textId="30B2234B"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w:t>
            </w:r>
            <w:r w:rsidR="0018646A" w:rsidRPr="00AB0BAD">
              <w:rPr>
                <w:rFonts w:ascii="Corbel" w:hAnsi="Corbel" w:cstheme="minorHAnsi"/>
                <w:sz w:val="16"/>
                <w:szCs w:val="16"/>
                <w:lang w:val="en-US"/>
              </w:rPr>
              <w:t>6</w:t>
            </w:r>
          </w:p>
        </w:tc>
        <w:tc>
          <w:tcPr>
            <w:tcW w:w="992" w:type="dxa"/>
            <w:shd w:val="clear" w:color="auto" w:fill="D9D9D9" w:themeFill="background1" w:themeFillShade="D9"/>
            <w:noWrap/>
            <w:hideMark/>
          </w:tcPr>
          <w:p w14:paraId="4CEE4B3A" w14:textId="03D4493B"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-0.00</w:t>
            </w:r>
            <w:r w:rsidR="00FA2AD0" w:rsidRPr="00AB0BAD">
              <w:rPr>
                <w:rFonts w:ascii="Corbel" w:hAnsi="Corbel" w:cstheme="minorHAnsi"/>
                <w:sz w:val="16"/>
                <w:szCs w:val="16"/>
                <w:lang w:val="en-US"/>
              </w:rPr>
              <w:t>7</w:t>
            </w:r>
          </w:p>
        </w:tc>
        <w:tc>
          <w:tcPr>
            <w:tcW w:w="567" w:type="dxa"/>
            <w:shd w:val="clear" w:color="auto" w:fill="FFFFFF" w:themeFill="background1"/>
          </w:tcPr>
          <w:p w14:paraId="6CC8BE2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6C33759E" w14:textId="6CA74C16"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10.1 is to achieve and sustain growth. Target set as sustaining higher growth for bottom 40% at rate of =&gt;0.</w:t>
            </w:r>
            <w:r w:rsidR="00D03615">
              <w:rPr>
                <w:rFonts w:ascii="Corbel" w:hAnsi="Corbel" w:cstheme="minorHAnsi"/>
                <w:sz w:val="16"/>
                <w:szCs w:val="16"/>
                <w:lang w:val="en-US"/>
              </w:rPr>
              <w:t>7</w:t>
            </w:r>
            <w:r w:rsidRPr="005403DD">
              <w:rPr>
                <w:rFonts w:ascii="Corbel" w:hAnsi="Corbel" w:cstheme="minorHAnsi"/>
                <w:sz w:val="16"/>
                <w:szCs w:val="16"/>
                <w:lang w:val="en-US"/>
              </w:rPr>
              <w:t xml:space="preserve">%. </w:t>
            </w:r>
          </w:p>
        </w:tc>
      </w:tr>
      <w:tr w:rsidR="005403DD" w:rsidRPr="005403DD" w14:paraId="104285A7" w14:textId="77777777" w:rsidTr="00C04DFB">
        <w:trPr>
          <w:trHeight w:val="300"/>
        </w:trPr>
        <w:tc>
          <w:tcPr>
            <w:tcW w:w="510" w:type="dxa"/>
            <w:shd w:val="clear" w:color="auto" w:fill="FFFFFF" w:themeFill="background1"/>
          </w:tcPr>
          <w:p w14:paraId="2517E544"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20C319C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10.1</w:t>
            </w:r>
          </w:p>
        </w:tc>
        <w:tc>
          <w:tcPr>
            <w:tcW w:w="397" w:type="dxa"/>
            <w:tcBorders>
              <w:left w:val="single" w:sz="4" w:space="0" w:color="auto"/>
              <w:right w:val="single" w:sz="4" w:space="0" w:color="auto"/>
            </w:tcBorders>
            <w:shd w:val="clear" w:color="auto" w:fill="FFFFFF" w:themeFill="background1"/>
          </w:tcPr>
          <w:p w14:paraId="77BFAF7E"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tcPr>
          <w:p w14:paraId="0FBC5F53"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10.1.1.ALT</w:t>
            </w:r>
          </w:p>
        </w:tc>
        <w:tc>
          <w:tcPr>
            <w:tcW w:w="3862" w:type="dxa"/>
            <w:tcBorders>
              <w:right w:val="single" w:sz="4" w:space="0" w:color="auto"/>
            </w:tcBorders>
            <w:shd w:val="clear" w:color="auto" w:fill="FFFFFF" w:themeFill="background1"/>
            <w:noWrap/>
          </w:tcPr>
          <w:p w14:paraId="48A1B20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Gini coefficient income</w:t>
            </w:r>
          </w:p>
        </w:tc>
        <w:tc>
          <w:tcPr>
            <w:tcW w:w="1277" w:type="dxa"/>
            <w:tcBorders>
              <w:left w:val="single" w:sz="4" w:space="0" w:color="auto"/>
            </w:tcBorders>
            <w:shd w:val="clear" w:color="auto" w:fill="FFFFFF" w:themeFill="background1"/>
          </w:tcPr>
          <w:p w14:paraId="7E372C80" w14:textId="6568180C"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0.3</w:t>
            </w:r>
            <w:r w:rsidR="00EE0406" w:rsidRPr="00AB0BAD">
              <w:rPr>
                <w:rFonts w:ascii="Corbel" w:hAnsi="Corbel" w:cstheme="minorHAnsi"/>
                <w:sz w:val="16"/>
                <w:szCs w:val="16"/>
                <w:lang w:val="en-US"/>
              </w:rPr>
              <w:t>7</w:t>
            </w:r>
          </w:p>
        </w:tc>
        <w:tc>
          <w:tcPr>
            <w:tcW w:w="992" w:type="dxa"/>
            <w:shd w:val="clear" w:color="auto" w:fill="D9D9D9" w:themeFill="background1" w:themeFillShade="D9"/>
            <w:noWrap/>
          </w:tcPr>
          <w:p w14:paraId="25B31DAB" w14:textId="5ABE7034"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0.2</w:t>
            </w:r>
            <w:r w:rsidR="00B6784F" w:rsidRPr="00AB0BAD">
              <w:rPr>
                <w:rFonts w:ascii="Corbel" w:hAnsi="Corbel" w:cstheme="minorHAnsi"/>
                <w:sz w:val="16"/>
                <w:szCs w:val="16"/>
                <w:lang w:val="en-US"/>
              </w:rPr>
              <w:t>4</w:t>
            </w:r>
          </w:p>
        </w:tc>
        <w:tc>
          <w:tcPr>
            <w:tcW w:w="567" w:type="dxa"/>
            <w:shd w:val="clear" w:color="auto" w:fill="FFFFFF" w:themeFill="background1"/>
          </w:tcPr>
          <w:p w14:paraId="6385E3A3" w14:textId="77777777" w:rsidR="001D1322" w:rsidRPr="005403DD" w:rsidRDefault="001D1322" w:rsidP="00C04DFB">
            <w:pPr>
              <w:spacing w:after="0"/>
              <w:rPr>
                <w:rFonts w:ascii="Corbel" w:hAnsi="Corbel" w:cstheme="minorHAnsi"/>
                <w:sz w:val="16"/>
                <w:szCs w:val="16"/>
                <w:lang w:val="en-US"/>
              </w:rPr>
            </w:pPr>
          </w:p>
        </w:tc>
        <w:tc>
          <w:tcPr>
            <w:tcW w:w="2693" w:type="dxa"/>
            <w:shd w:val="clear" w:color="auto" w:fill="FFFFFF" w:themeFill="background1"/>
          </w:tcPr>
          <w:p w14:paraId="227ADF19" w14:textId="4EDEE103"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Fiji NDP target is for halving of Gini Coefficient by 2031</w:t>
            </w:r>
            <w:r w:rsidR="00EE0406">
              <w:rPr>
                <w:rFonts w:ascii="Corbel" w:hAnsi="Corbel" w:cstheme="minorHAnsi"/>
                <w:sz w:val="16"/>
                <w:szCs w:val="16"/>
                <w:lang w:val="en-US"/>
              </w:rPr>
              <w:t>.</w:t>
            </w:r>
            <w:r w:rsidRPr="005403DD">
              <w:rPr>
                <w:rFonts w:ascii="Corbel" w:hAnsi="Corbel" w:cstheme="minorHAnsi"/>
                <w:sz w:val="16"/>
                <w:szCs w:val="16"/>
                <w:lang w:val="en-US"/>
              </w:rPr>
              <w:t xml:space="preserve"> </w:t>
            </w:r>
          </w:p>
          <w:p w14:paraId="5ECD97B9" w14:textId="26FE3B82"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SDG Index green threshold</w:t>
            </w:r>
            <w:r w:rsidR="006075DE">
              <w:rPr>
                <w:rFonts w:ascii="Corbel" w:hAnsi="Corbel" w:cstheme="minorHAnsi"/>
                <w:sz w:val="16"/>
                <w:szCs w:val="16"/>
                <w:lang w:val="en-US"/>
              </w:rPr>
              <w:t xml:space="preserve"> sets value at 0.29</w:t>
            </w:r>
            <w:r w:rsidRPr="005403DD">
              <w:rPr>
                <w:rFonts w:ascii="Corbel" w:hAnsi="Corbel" w:cstheme="minorHAnsi"/>
                <w:sz w:val="16"/>
                <w:szCs w:val="16"/>
                <w:lang w:val="en-US"/>
              </w:rPr>
              <w:t xml:space="preserv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&lt;EndNote&gt;&lt;Cite&gt;&lt;Author&gt;Schmidt-Traub&lt;/Author&gt;&lt;Year&gt;2017&lt;/Year&gt;&lt;RecNum&gt;709&lt;/RecNum&gt;&lt;DisplayText&gt;(Schmidt-Traub et al., 2017, Sachs et al., 2017)&lt;/DisplayText&gt;&lt;record&gt;&lt;rec-number&gt;709&lt;/rec-number&gt;&lt;foreign-keys&gt;&lt;key app="EN" db-id="9vsrvaat7fadwtesfsrpw5w5t0x5v500ef25" timestamp="1501629767"&gt;709&lt;/key&gt;&lt;/foreign-keys&gt;&lt;ref-type name="Journal Article"&gt;17&lt;/ref-type&gt;&lt;contributors&gt;&lt;authors&gt;&lt;author&gt;Schmidt-Traub, Guido&lt;/author&gt;&lt;author&gt;Kroll, Christian&lt;/author&gt;&lt;author&gt;Teksoz, Katerina&lt;/author&gt;&lt;author&gt;Durand-Delacre, David&lt;/author&gt;&lt;author&gt;Sachs, Jeffrey D&lt;/author&gt;&lt;/authors&gt;&lt;/contributors&gt;&lt;titles&gt;&lt;title&gt;National baselines for the Sustainable Development Goals assessed in the SDG Index and Dashboards&lt;/title&gt;&lt;secondary-title&gt;Nature Geoscience&lt;/secondary-title&gt;&lt;/titles&gt;&lt;periodical&gt;&lt;full-title&gt;Nature Geoscience&lt;/full-title&gt;&lt;/periodical&gt;&lt;volume&gt;10&lt;/volume&gt;&lt;number&gt;8&lt;/number&gt;&lt;section&gt;547&lt;/section&gt;&lt;dates&gt;&lt;year&gt;2017&lt;/year&gt;&lt;/dates&gt;&lt;isbn&gt;1752-0894&lt;/isbn&gt;&lt;urls&gt;&lt;/urls&gt;&lt;/record&gt;&lt;/Cite&gt;&lt;Cite&gt;&lt;Author&gt;Sachs&lt;/Author&gt;&lt;Year&gt;2017&lt;/Year&gt;&lt;RecNum&gt;761&lt;/RecNum&gt;&lt;record&gt;&lt;rec-number&gt;761&lt;/rec-number&gt;&lt;foreign-keys&gt;&lt;key app="EN" db-id="9vsrvaat7fadwtesfsrpw5w5t0x5v500ef25" timestamp="1515548921"&gt;761&lt;/key&gt;&lt;/foreign-keys&gt;&lt;ref-type name="Journal Article"&gt;17&lt;/ref-type&gt;&lt;contributors&gt;&lt;authors&gt;&lt;author&gt;Sachs, J&lt;/author&gt;&lt;author&gt;Schmidt-Traub, G&lt;/author&gt;&lt;author&gt;Kroll, C&lt;/author&gt;&lt;author&gt;Durand-Delacre, D&lt;/author&gt;&lt;author&gt;Teksoz, K&lt;/author&gt;&lt;/authors&gt;&lt;/contributors&gt;&lt;titles&gt;&lt;title&gt;SDG Index and Dashboards Report 2017&lt;/title&gt;&lt;secondary-title&gt;Bertelsmann Stiftung and Sustainable Development Solutions Network (SDSN): New York, NY, USA&lt;/secondary-title&gt;&lt;/titles&gt;&lt;periodical&gt;&lt;full-title&gt;Bertelsmann Stiftung and Sustainable Development Solutions Network (SDSN): New York, NY, USA&lt;/full-title&gt;&lt;/periodical&gt;&lt;dates&gt;&lt;year&gt;2017&lt;/year&gt;&lt;/dates&gt;&lt;urls&gt;&lt;/urls&gt;&lt;/record&gt;&lt;/Cite&gt;&lt;/EndNote&gt;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(Schmidt-Traub et al., 2017, Sachs et al., 2017)</w:t>
            </w:r>
            <w:r w:rsidRPr="005403DD">
              <w:rPr>
                <w:rFonts w:ascii="Corbel" w:hAnsi="Corbel" w:cstheme="minorHAnsi"/>
                <w:sz w:val="16"/>
                <w:szCs w:val="16"/>
                <w:lang w:val="en-US"/>
              </w:rPr>
              <w:fldChar w:fldCharType="end"/>
            </w:r>
            <w:r w:rsidR="006075DE">
              <w:rPr>
                <w:rFonts w:ascii="Corbel" w:hAnsi="Corbel" w:cstheme="minorHAnsi"/>
                <w:sz w:val="16"/>
                <w:szCs w:val="16"/>
                <w:lang w:val="en-US"/>
              </w:rPr>
              <w:t>. Target set at 0.24</w:t>
            </w:r>
            <w:r w:rsidRPr="005403DD">
              <w:rPr>
                <w:rFonts w:ascii="Corbel" w:hAnsi="Corbel" w:cstheme="minorHAnsi"/>
                <w:sz w:val="16"/>
                <w:szCs w:val="16"/>
                <w:lang w:val="en-US"/>
              </w:rPr>
              <w:t xml:space="preserve"> calibrated from timeseries data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5403DD" w:rsidRPr="005403DD" w14:paraId="3DAC166F" w14:textId="77777777" w:rsidTr="00C04DFB">
        <w:trPr>
          <w:trHeight w:val="300"/>
        </w:trPr>
        <w:tc>
          <w:tcPr>
            <w:tcW w:w="510" w:type="dxa"/>
            <w:shd w:val="clear" w:color="auto" w:fill="FFFFFF" w:themeFill="background1"/>
          </w:tcPr>
          <w:p w14:paraId="630E0B4B"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2CD41BD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10.2 By 2030, empower and promote the social, economic and political inclusion of all, irrespective of age, sex, disability, race, ethnicity, origin, religion or economic or other status</w:t>
            </w:r>
          </w:p>
        </w:tc>
        <w:tc>
          <w:tcPr>
            <w:tcW w:w="397" w:type="dxa"/>
            <w:tcBorders>
              <w:left w:val="single" w:sz="4" w:space="0" w:color="auto"/>
              <w:right w:val="single" w:sz="4" w:space="0" w:color="auto"/>
            </w:tcBorders>
            <w:shd w:val="clear" w:color="auto" w:fill="FFFFFF" w:themeFill="background1"/>
          </w:tcPr>
          <w:p w14:paraId="603D71B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303FFBBB"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10.2.1</w:t>
            </w:r>
          </w:p>
        </w:tc>
        <w:tc>
          <w:tcPr>
            <w:tcW w:w="3862" w:type="dxa"/>
            <w:tcBorders>
              <w:right w:val="single" w:sz="4" w:space="0" w:color="auto"/>
            </w:tcBorders>
            <w:shd w:val="clear" w:color="auto" w:fill="FFFFFF" w:themeFill="background1"/>
            <w:noWrap/>
            <w:hideMark/>
          </w:tcPr>
          <w:p w14:paraId="21A8F9A5"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Proportion of population below half median income</w:t>
            </w:r>
          </w:p>
        </w:tc>
        <w:tc>
          <w:tcPr>
            <w:tcW w:w="1277" w:type="dxa"/>
            <w:tcBorders>
              <w:left w:val="single" w:sz="4" w:space="0" w:color="auto"/>
            </w:tcBorders>
            <w:shd w:val="clear" w:color="auto" w:fill="FFFFFF" w:themeFill="background1"/>
          </w:tcPr>
          <w:p w14:paraId="6A7DF812" w14:textId="7FC5AE16"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0.1</w:t>
            </w:r>
            <w:r w:rsidR="00907CE5" w:rsidRPr="00AB0BAD">
              <w:rPr>
                <w:rFonts w:ascii="Corbel" w:hAnsi="Corbel" w:cstheme="minorHAnsi"/>
                <w:sz w:val="16"/>
                <w:szCs w:val="16"/>
                <w:lang w:val="en-US"/>
              </w:rPr>
              <w:t>7</w:t>
            </w:r>
          </w:p>
        </w:tc>
        <w:tc>
          <w:tcPr>
            <w:tcW w:w="992" w:type="dxa"/>
            <w:shd w:val="clear" w:color="auto" w:fill="D9D9D9" w:themeFill="background1" w:themeFillShade="D9"/>
            <w:noWrap/>
            <w:hideMark/>
          </w:tcPr>
          <w:p w14:paraId="7DA2AF2A" w14:textId="7E5D7929" w:rsidR="001D1322" w:rsidRPr="00AB0BAD" w:rsidRDefault="004C762B" w:rsidP="00C04DFB">
            <w:pPr>
              <w:spacing w:after="0"/>
              <w:rPr>
                <w:rFonts w:ascii="Corbel" w:hAnsi="Corbel" w:cstheme="minorHAnsi"/>
                <w:sz w:val="16"/>
                <w:szCs w:val="16"/>
                <w:lang w:val="en-US"/>
              </w:rPr>
            </w:pPr>
            <w:r w:rsidRPr="00AB0BAD">
              <w:rPr>
                <w:rFonts w:ascii="Corbel" w:hAnsi="Corbel" w:cstheme="minorHAnsi"/>
                <w:sz w:val="16"/>
                <w:szCs w:val="16"/>
                <w:lang w:val="en-US"/>
              </w:rPr>
              <w:t>0.14</w:t>
            </w:r>
          </w:p>
        </w:tc>
        <w:tc>
          <w:tcPr>
            <w:tcW w:w="567" w:type="dxa"/>
            <w:shd w:val="clear" w:color="auto" w:fill="FFFFFF" w:themeFill="background1"/>
          </w:tcPr>
          <w:p w14:paraId="6526DC49"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1EDDCA71" w14:textId="48BB743E"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1.2 is to halve the baseline value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r w:rsidR="00F10390">
              <w:rPr>
                <w:rFonts w:ascii="Corbel" w:hAnsi="Corbel" w:cstheme="minorHAnsi"/>
                <w:sz w:val="16"/>
                <w:szCs w:val="16"/>
                <w:lang w:val="en-US"/>
              </w:rPr>
              <w:t xml:space="preserve"> Target set as </w:t>
            </w:r>
            <w:r w:rsidR="004C762B">
              <w:rPr>
                <w:rFonts w:ascii="Corbel" w:hAnsi="Corbel" w:cstheme="minorHAnsi"/>
                <w:sz w:val="16"/>
                <w:szCs w:val="16"/>
                <w:lang w:val="en-US"/>
              </w:rPr>
              <w:t>2</w:t>
            </w:r>
            <w:r w:rsidR="00FF0A18">
              <w:rPr>
                <w:rFonts w:ascii="Corbel" w:hAnsi="Corbel" w:cstheme="minorHAnsi"/>
                <w:sz w:val="16"/>
                <w:szCs w:val="16"/>
                <w:lang w:val="en-US"/>
              </w:rPr>
              <w:t>0% reduction on baseline.</w:t>
            </w:r>
          </w:p>
        </w:tc>
      </w:tr>
      <w:tr w:rsidR="005403DD" w:rsidRPr="005403DD" w14:paraId="6CAA8E78" w14:textId="77777777" w:rsidTr="00C04DFB">
        <w:trPr>
          <w:trHeight w:val="300"/>
        </w:trPr>
        <w:tc>
          <w:tcPr>
            <w:tcW w:w="510" w:type="dxa"/>
            <w:shd w:val="clear" w:color="auto" w:fill="FFFFFF" w:themeFill="background1"/>
          </w:tcPr>
          <w:p w14:paraId="0DE581CF" w14:textId="77777777" w:rsidR="001D1322" w:rsidRPr="005403DD" w:rsidRDefault="001D1322" w:rsidP="00C04DFB">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38B1A1BD"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10.4 Adopt policies, especially fiscal, wage and social protection policies, and progressively achieve greater equality</w:t>
            </w:r>
          </w:p>
        </w:tc>
        <w:tc>
          <w:tcPr>
            <w:tcW w:w="397" w:type="dxa"/>
            <w:tcBorders>
              <w:left w:val="single" w:sz="4" w:space="0" w:color="auto"/>
              <w:right w:val="single" w:sz="4" w:space="0" w:color="auto"/>
            </w:tcBorders>
            <w:shd w:val="clear" w:color="auto" w:fill="FFFFFF" w:themeFill="background1"/>
          </w:tcPr>
          <w:p w14:paraId="1196AAB4"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5C1F631A"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10.4.1</w:t>
            </w:r>
          </w:p>
        </w:tc>
        <w:tc>
          <w:tcPr>
            <w:tcW w:w="3862" w:type="dxa"/>
            <w:tcBorders>
              <w:right w:val="single" w:sz="4" w:space="0" w:color="auto"/>
            </w:tcBorders>
            <w:shd w:val="clear" w:color="auto" w:fill="FFFFFF" w:themeFill="background1"/>
            <w:noWrap/>
            <w:hideMark/>
          </w:tcPr>
          <w:p w14:paraId="3B29C0A0"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Average labor share of GDP, comprising wages and social protection transfers</w:t>
            </w:r>
          </w:p>
          <w:p w14:paraId="4BCF8E58" w14:textId="77777777" w:rsidR="001D1322" w:rsidRPr="005403DD" w:rsidRDefault="001D1322" w:rsidP="00C04DFB">
            <w:pPr>
              <w:spacing w:after="0"/>
              <w:rPr>
                <w:rFonts w:ascii="Corbel" w:hAnsi="Corbel" w:cstheme="minorHAnsi"/>
                <w:sz w:val="16"/>
                <w:szCs w:val="16"/>
                <w:lang w:val="en-US"/>
              </w:rPr>
            </w:pPr>
          </w:p>
        </w:tc>
        <w:tc>
          <w:tcPr>
            <w:tcW w:w="1277" w:type="dxa"/>
            <w:tcBorders>
              <w:left w:val="single" w:sz="4" w:space="0" w:color="auto"/>
            </w:tcBorders>
            <w:shd w:val="clear" w:color="auto" w:fill="FFFFFF" w:themeFill="background1"/>
          </w:tcPr>
          <w:p w14:paraId="7494A619"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0.66</w:t>
            </w:r>
          </w:p>
        </w:tc>
        <w:tc>
          <w:tcPr>
            <w:tcW w:w="992" w:type="dxa"/>
            <w:shd w:val="clear" w:color="auto" w:fill="D9D9D9" w:themeFill="background1" w:themeFillShade="D9"/>
            <w:noWrap/>
            <w:hideMark/>
          </w:tcPr>
          <w:p w14:paraId="05B50F03" w14:textId="77777777" w:rsidR="001D1322" w:rsidRPr="00AB0BAD" w:rsidRDefault="001D1322" w:rsidP="00C04DFB">
            <w:pPr>
              <w:spacing w:after="0"/>
              <w:rPr>
                <w:rFonts w:ascii="Corbel" w:hAnsi="Corbel" w:cstheme="minorHAnsi"/>
                <w:sz w:val="16"/>
                <w:szCs w:val="16"/>
                <w:lang w:val="en-US"/>
              </w:rPr>
            </w:pPr>
            <w:r w:rsidRPr="00AB0BAD">
              <w:rPr>
                <w:rFonts w:ascii="Corbel" w:hAnsi="Corbel" w:cstheme="minorHAnsi"/>
                <w:sz w:val="16"/>
                <w:szCs w:val="16"/>
                <w:lang w:val="en-US"/>
              </w:rPr>
              <w:t>0.66</w:t>
            </w:r>
          </w:p>
        </w:tc>
        <w:tc>
          <w:tcPr>
            <w:tcW w:w="567" w:type="dxa"/>
            <w:shd w:val="clear" w:color="auto" w:fill="FFFFFF" w:themeFill="background1"/>
          </w:tcPr>
          <w:p w14:paraId="0E0D985F" w14:textId="77777777" w:rsidR="001D1322" w:rsidRPr="005403DD" w:rsidRDefault="001D1322" w:rsidP="00C04DFB">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3A9B236B" w14:textId="77777777" w:rsidR="001D1322" w:rsidRPr="005403DD" w:rsidRDefault="001D1322" w:rsidP="00C04DFB">
            <w:pPr>
              <w:spacing w:after="0"/>
              <w:jc w:val="center"/>
              <w:rPr>
                <w:rFonts w:ascii="Corbel" w:hAnsi="Corbel" w:cstheme="minorHAnsi"/>
                <w:sz w:val="16"/>
                <w:szCs w:val="16"/>
                <w:lang w:val="en-US"/>
              </w:rPr>
            </w:pPr>
            <w:r w:rsidRPr="005403DD">
              <w:rPr>
                <w:rFonts w:ascii="Corbel" w:hAnsi="Corbel" w:cstheme="minorHAnsi"/>
                <w:sz w:val="16"/>
                <w:szCs w:val="16"/>
                <w:lang w:val="en-US"/>
              </w:rPr>
              <w:t>Share is already quite high for Fiji. Target set as maintain baseline level of 0.67; calibrated from timeseries data and BAU projection.</w:t>
            </w:r>
          </w:p>
        </w:tc>
      </w:tr>
      <w:tr w:rsidR="005403DD" w:rsidRPr="005403DD" w14:paraId="4480D182" w14:textId="77777777" w:rsidTr="00C04DFB">
        <w:trPr>
          <w:trHeight w:val="54"/>
        </w:trPr>
        <w:tc>
          <w:tcPr>
            <w:tcW w:w="510" w:type="dxa"/>
            <w:shd w:val="clear" w:color="auto" w:fill="D9D9D9" w:themeFill="background1" w:themeFillShade="D9"/>
          </w:tcPr>
          <w:p w14:paraId="66288030" w14:textId="77777777" w:rsidR="001D1322" w:rsidRPr="005403DD" w:rsidRDefault="001D1322" w:rsidP="00C04DFB">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3ACA8F2C" w14:textId="77777777" w:rsidR="001D1322" w:rsidRPr="005403DD" w:rsidRDefault="001D1322" w:rsidP="00C04DFB">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07E36DBE" w14:textId="77777777" w:rsidR="001D1322" w:rsidRPr="005403DD" w:rsidRDefault="001D1322" w:rsidP="00C04DFB">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3AF5D4EF" w14:textId="77777777" w:rsidR="001D1322" w:rsidRPr="005403DD" w:rsidRDefault="001D1322" w:rsidP="00C04DFB">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03F6B689" w14:textId="77777777" w:rsidR="001D1322" w:rsidRPr="005403DD" w:rsidRDefault="001D1322" w:rsidP="00C04DFB">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2AC553DA" w14:textId="77777777" w:rsidR="001D1322" w:rsidRPr="00AB0BAD" w:rsidRDefault="001D1322" w:rsidP="00C04DFB">
            <w:pPr>
              <w:spacing w:after="0"/>
              <w:rPr>
                <w:rFonts w:ascii="Corbel" w:hAnsi="Corbel" w:cstheme="minorHAnsi"/>
                <w:sz w:val="8"/>
                <w:szCs w:val="8"/>
                <w:lang w:val="en-US"/>
              </w:rPr>
            </w:pPr>
          </w:p>
        </w:tc>
        <w:tc>
          <w:tcPr>
            <w:tcW w:w="992" w:type="dxa"/>
            <w:shd w:val="clear" w:color="auto" w:fill="D9D9D9" w:themeFill="background1" w:themeFillShade="D9"/>
            <w:noWrap/>
          </w:tcPr>
          <w:p w14:paraId="6F2EA0DE" w14:textId="77777777" w:rsidR="001D1322" w:rsidRPr="00AB0BAD" w:rsidRDefault="001D1322" w:rsidP="00C04DFB">
            <w:pPr>
              <w:spacing w:after="0"/>
              <w:rPr>
                <w:rFonts w:ascii="Corbel" w:hAnsi="Corbel" w:cstheme="minorHAnsi"/>
                <w:sz w:val="8"/>
                <w:szCs w:val="8"/>
                <w:lang w:val="en-US"/>
              </w:rPr>
            </w:pPr>
          </w:p>
        </w:tc>
        <w:tc>
          <w:tcPr>
            <w:tcW w:w="567" w:type="dxa"/>
            <w:shd w:val="clear" w:color="auto" w:fill="D9D9D9" w:themeFill="background1" w:themeFillShade="D9"/>
          </w:tcPr>
          <w:p w14:paraId="6ADE5A35" w14:textId="77777777" w:rsidR="001D1322" w:rsidRPr="005403DD" w:rsidRDefault="001D1322" w:rsidP="00C04DFB">
            <w:pPr>
              <w:spacing w:after="0"/>
              <w:rPr>
                <w:rFonts w:ascii="Corbel" w:hAnsi="Corbel" w:cstheme="minorHAnsi"/>
                <w:sz w:val="8"/>
                <w:szCs w:val="8"/>
                <w:lang w:val="en-US"/>
              </w:rPr>
            </w:pPr>
          </w:p>
        </w:tc>
        <w:tc>
          <w:tcPr>
            <w:tcW w:w="2693" w:type="dxa"/>
            <w:shd w:val="clear" w:color="auto" w:fill="D9D9D9" w:themeFill="background1" w:themeFillShade="D9"/>
          </w:tcPr>
          <w:p w14:paraId="6F37A34E" w14:textId="77777777" w:rsidR="001D1322" w:rsidRPr="005403DD" w:rsidRDefault="001D1322" w:rsidP="00C04DFB">
            <w:pPr>
              <w:spacing w:after="0"/>
              <w:jc w:val="center"/>
              <w:rPr>
                <w:rFonts w:ascii="Corbel" w:hAnsi="Corbel" w:cstheme="minorHAnsi"/>
                <w:sz w:val="8"/>
                <w:szCs w:val="8"/>
                <w:lang w:val="en-US"/>
              </w:rPr>
            </w:pPr>
          </w:p>
        </w:tc>
      </w:tr>
      <w:tr w:rsidR="004C30C2" w:rsidRPr="005403DD" w14:paraId="16BEAC7B" w14:textId="77777777" w:rsidTr="00C04DFB">
        <w:trPr>
          <w:trHeight w:val="300"/>
        </w:trPr>
        <w:tc>
          <w:tcPr>
            <w:tcW w:w="510" w:type="dxa"/>
            <w:shd w:val="clear" w:color="auto" w:fill="FFFFFF" w:themeFill="background1"/>
          </w:tcPr>
          <w:p w14:paraId="1CF250E7"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w:t>
            </w:r>
          </w:p>
        </w:tc>
        <w:tc>
          <w:tcPr>
            <w:tcW w:w="4195" w:type="dxa"/>
            <w:tcBorders>
              <w:right w:val="single" w:sz="4" w:space="0" w:color="auto"/>
            </w:tcBorders>
            <w:shd w:val="clear" w:color="auto" w:fill="auto"/>
          </w:tcPr>
          <w:p w14:paraId="17167E3E"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 xml:space="preserve">11.5 By 2030, significantly reduce the number of deaths and the number of people affected and substantially decrease the direct economic losses relative to global gross domestic product caused by disasters, including water-related </w:t>
            </w:r>
            <w:r w:rsidRPr="005403DD">
              <w:rPr>
                <w:rFonts w:ascii="Corbel" w:hAnsi="Corbel" w:cstheme="minorHAnsi"/>
                <w:sz w:val="16"/>
                <w:szCs w:val="16"/>
                <w:lang w:val="en-US"/>
              </w:rPr>
              <w:lastRenderedPageBreak/>
              <w:t>disasters, with a focus on protecting the poor and people in vulnerable situations</w:t>
            </w:r>
          </w:p>
        </w:tc>
        <w:tc>
          <w:tcPr>
            <w:tcW w:w="397" w:type="dxa"/>
            <w:tcBorders>
              <w:left w:val="single" w:sz="4" w:space="0" w:color="auto"/>
              <w:right w:val="single" w:sz="4" w:space="0" w:color="auto"/>
            </w:tcBorders>
            <w:shd w:val="clear" w:color="auto" w:fill="FFFFFF" w:themeFill="background1"/>
          </w:tcPr>
          <w:p w14:paraId="54F5DF92"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lastRenderedPageBreak/>
              <w:t>S</w:t>
            </w:r>
          </w:p>
        </w:tc>
        <w:tc>
          <w:tcPr>
            <w:tcW w:w="1100" w:type="dxa"/>
            <w:tcBorders>
              <w:left w:val="single" w:sz="4" w:space="0" w:color="auto"/>
            </w:tcBorders>
            <w:shd w:val="clear" w:color="auto" w:fill="FFFFFF" w:themeFill="background1"/>
            <w:noWrap/>
            <w:hideMark/>
          </w:tcPr>
          <w:p w14:paraId="778ED614"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11.5.1a</w:t>
            </w:r>
          </w:p>
        </w:tc>
        <w:tc>
          <w:tcPr>
            <w:tcW w:w="3862" w:type="dxa"/>
            <w:tcBorders>
              <w:right w:val="single" w:sz="4" w:space="0" w:color="auto"/>
            </w:tcBorders>
            <w:shd w:val="clear" w:color="auto" w:fill="FFFFFF" w:themeFill="background1"/>
            <w:noWrap/>
            <w:hideMark/>
          </w:tcPr>
          <w:p w14:paraId="3DB7A8A3"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Mortality due to disasters five-year average (% population)</w:t>
            </w:r>
          </w:p>
        </w:tc>
        <w:tc>
          <w:tcPr>
            <w:tcW w:w="1277" w:type="dxa"/>
            <w:tcBorders>
              <w:left w:val="single" w:sz="4" w:space="0" w:color="auto"/>
            </w:tcBorders>
            <w:shd w:val="clear" w:color="auto" w:fill="FFFFFF" w:themeFill="background1"/>
          </w:tcPr>
          <w:p w14:paraId="49CD5A4B" w14:textId="0BF5D4E8"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0.0000094</w:t>
            </w:r>
          </w:p>
        </w:tc>
        <w:tc>
          <w:tcPr>
            <w:tcW w:w="992" w:type="dxa"/>
            <w:shd w:val="clear" w:color="auto" w:fill="D9D9D9" w:themeFill="background1" w:themeFillShade="D9"/>
            <w:noWrap/>
            <w:hideMark/>
          </w:tcPr>
          <w:p w14:paraId="660DCA5B" w14:textId="14CA70F4"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0.0000047</w:t>
            </w:r>
          </w:p>
        </w:tc>
        <w:tc>
          <w:tcPr>
            <w:tcW w:w="567" w:type="dxa"/>
            <w:shd w:val="clear" w:color="auto" w:fill="FFFFFF" w:themeFill="background1"/>
          </w:tcPr>
          <w:p w14:paraId="3A190077" w14:textId="24A269B5"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6C33B549" w14:textId="77777777" w:rsidR="004C30C2" w:rsidRPr="005403DD" w:rsidRDefault="004C30C2" w:rsidP="004C30C2">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Sendai Framework DRR targets for 2030 are to ‘substantially reduce’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Nations&lt;/Author&gt;&lt;Year&gt;2015&lt;/Year&gt;&lt;RecNum&gt;1060&lt;/RecNum&gt;&lt;DisplayText&gt;(United Nations, 2015)&lt;/DisplayText&gt;&lt;record&gt;&lt;rec-number&gt;1060&lt;/rec-number&gt;&lt;foreign-keys&gt;&lt;key app="EN" db-id="9vsrvaat7fadwtesfsrpw5w5t0x5v500ef25" timestamp="1565158494"&gt;1060&lt;/key&gt;&lt;/foreign-keys&gt;&lt;ref-type name="Generic"&gt;13&lt;/ref-type&gt;&lt;contributors&gt;&lt;authors&gt;&lt;author&gt;United Nations,&lt;/author&gt;&lt;/authors&gt;&lt;/contributors&gt;&lt;titles&gt;&lt;title&gt;Sendai Framework for Disaster Risk Reduction 2015-2030&lt;/title&gt;&lt;/titles&gt;&lt;dates&gt;&lt;year&gt;2015&lt;/year&gt;&lt;/dates&gt;&lt;pub-location&gt;New York&lt;/pub-location&gt;&lt;publisher&gt;United Nations Office for Disaster Risk Reduction&lt;/publisher&gt;&lt;urls&gt;&lt;related-urls&gt;&lt;url&gt;https://www.unisdr.org/we/inform/publications/43291&lt;/url&gt;&lt;/related-urls&gt;&lt;/urls&gt;&lt;/record&gt;&lt;/Cite&gt;&lt;/EndNote&gt;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50% improvement on baseline value.</w:t>
            </w:r>
          </w:p>
        </w:tc>
      </w:tr>
      <w:tr w:rsidR="004C30C2" w:rsidRPr="005403DD" w14:paraId="7B9B670D" w14:textId="77777777" w:rsidTr="00C04DFB">
        <w:trPr>
          <w:trHeight w:val="300"/>
        </w:trPr>
        <w:tc>
          <w:tcPr>
            <w:tcW w:w="510" w:type="dxa"/>
            <w:shd w:val="clear" w:color="auto" w:fill="FFFFFF" w:themeFill="background1"/>
          </w:tcPr>
          <w:p w14:paraId="2BEBA102" w14:textId="77777777" w:rsidR="004C30C2" w:rsidRPr="005403DD" w:rsidRDefault="004C30C2" w:rsidP="004C30C2">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098C97A8"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11.5</w:t>
            </w:r>
          </w:p>
        </w:tc>
        <w:tc>
          <w:tcPr>
            <w:tcW w:w="397" w:type="dxa"/>
            <w:tcBorders>
              <w:left w:val="single" w:sz="4" w:space="0" w:color="auto"/>
              <w:right w:val="single" w:sz="4" w:space="0" w:color="auto"/>
            </w:tcBorders>
            <w:shd w:val="clear" w:color="auto" w:fill="FFFFFF" w:themeFill="background1"/>
          </w:tcPr>
          <w:p w14:paraId="71A2B7E8"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FFFFFF" w:themeFill="background1"/>
            <w:noWrap/>
            <w:hideMark/>
          </w:tcPr>
          <w:p w14:paraId="0A76421C"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11.5.1b</w:t>
            </w:r>
          </w:p>
        </w:tc>
        <w:tc>
          <w:tcPr>
            <w:tcW w:w="3862" w:type="dxa"/>
            <w:tcBorders>
              <w:right w:val="single" w:sz="4" w:space="0" w:color="auto"/>
            </w:tcBorders>
            <w:shd w:val="clear" w:color="auto" w:fill="FFFFFF" w:themeFill="background1"/>
            <w:noWrap/>
            <w:hideMark/>
          </w:tcPr>
          <w:p w14:paraId="75D2E557"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Proportion of population affected by natural disasters five-year average (%)</w:t>
            </w:r>
          </w:p>
        </w:tc>
        <w:tc>
          <w:tcPr>
            <w:tcW w:w="1277" w:type="dxa"/>
            <w:tcBorders>
              <w:left w:val="single" w:sz="4" w:space="0" w:color="auto"/>
            </w:tcBorders>
            <w:shd w:val="clear" w:color="auto" w:fill="FFFFFF" w:themeFill="background1"/>
          </w:tcPr>
          <w:p w14:paraId="36B52B26" w14:textId="6974C137"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0.039</w:t>
            </w:r>
          </w:p>
        </w:tc>
        <w:tc>
          <w:tcPr>
            <w:tcW w:w="992" w:type="dxa"/>
            <w:shd w:val="clear" w:color="auto" w:fill="D9D9D9" w:themeFill="background1" w:themeFillShade="D9"/>
            <w:noWrap/>
            <w:hideMark/>
          </w:tcPr>
          <w:p w14:paraId="5F45240C" w14:textId="16B4F0EC"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0.02</w:t>
            </w:r>
          </w:p>
        </w:tc>
        <w:tc>
          <w:tcPr>
            <w:tcW w:w="567" w:type="dxa"/>
            <w:shd w:val="clear" w:color="auto" w:fill="FFFFFF" w:themeFill="background1"/>
          </w:tcPr>
          <w:p w14:paraId="7A84D8FE" w14:textId="18F53369"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5585730C" w14:textId="77777777" w:rsidR="004C30C2" w:rsidRPr="005403DD" w:rsidRDefault="004C30C2" w:rsidP="004C30C2">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Sendai Framework DRR targets for 2030 are to ‘substantially reduce’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Nations&lt;/Author&gt;&lt;Year&gt;2015&lt;/Year&gt;&lt;RecNum&gt;1060&lt;/RecNum&gt;&lt;DisplayText&gt;(United Nations, 2015)&lt;/DisplayText&gt;&lt;record&gt;&lt;rec-number&gt;1060&lt;/rec-number&gt;&lt;foreign-keys&gt;&lt;key app="EN" db-id="9vsrvaat7fadwtesfsrpw5w5t0x5v500ef25" timestamp="1565158494"&gt;1060&lt;/key&gt;&lt;/foreign-keys&gt;&lt;ref-type name="Generic"&gt;13&lt;/ref-type&gt;&lt;contributors&gt;&lt;authors&gt;&lt;author&gt;United Nations,&lt;/author&gt;&lt;/authors&gt;&lt;/contributors&gt;&lt;titles&gt;&lt;title&gt;Sendai Framework for Disaster Risk Reduction 2015-2030&lt;/title&gt;&lt;/titles&gt;&lt;dates&gt;&lt;year&gt;2015&lt;/year&gt;&lt;/dates&gt;&lt;pub-location&gt;New York&lt;/pub-location&gt;&lt;publisher&gt;United Nations Office for Disaster Risk Reduction&lt;/publisher&gt;&lt;urls&gt;&lt;related-urls&gt;&lt;url&gt;https://www.unisdr.org/we/inform/publications/43291&lt;/url&gt;&lt;/related-urls&gt;&lt;/urls&gt;&lt;/record&gt;&lt;/Cite&gt;&lt;/EndNote&gt;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50% improvement on baseline value.</w:t>
            </w:r>
          </w:p>
        </w:tc>
      </w:tr>
      <w:tr w:rsidR="004C30C2" w:rsidRPr="005403DD" w14:paraId="4672B558" w14:textId="77777777" w:rsidTr="00C04DFB">
        <w:trPr>
          <w:trHeight w:val="300"/>
        </w:trPr>
        <w:tc>
          <w:tcPr>
            <w:tcW w:w="510" w:type="dxa"/>
            <w:shd w:val="clear" w:color="auto" w:fill="FFFFFF" w:themeFill="background1"/>
          </w:tcPr>
          <w:p w14:paraId="13CD59CF" w14:textId="77777777" w:rsidR="004C30C2" w:rsidRPr="005403DD" w:rsidRDefault="004C30C2" w:rsidP="004C30C2">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7FB05E2"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11.5</w:t>
            </w:r>
          </w:p>
        </w:tc>
        <w:tc>
          <w:tcPr>
            <w:tcW w:w="397" w:type="dxa"/>
            <w:tcBorders>
              <w:left w:val="single" w:sz="4" w:space="0" w:color="auto"/>
              <w:right w:val="single" w:sz="4" w:space="0" w:color="auto"/>
            </w:tcBorders>
            <w:shd w:val="clear" w:color="auto" w:fill="FFFFFF" w:themeFill="background1"/>
          </w:tcPr>
          <w:p w14:paraId="041D84F9"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FFFFFF" w:themeFill="background1"/>
            <w:noWrap/>
            <w:hideMark/>
          </w:tcPr>
          <w:p w14:paraId="7B82FE13"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11.5.2</w:t>
            </w:r>
          </w:p>
        </w:tc>
        <w:tc>
          <w:tcPr>
            <w:tcW w:w="3862" w:type="dxa"/>
            <w:tcBorders>
              <w:right w:val="single" w:sz="4" w:space="0" w:color="auto"/>
            </w:tcBorders>
            <w:shd w:val="clear" w:color="auto" w:fill="FFFFFF" w:themeFill="background1"/>
            <w:noWrap/>
            <w:hideMark/>
          </w:tcPr>
          <w:p w14:paraId="6B5A12E4"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Economic damage due to natural disasters as share of GDP five-year average (% GDP)</w:t>
            </w:r>
          </w:p>
        </w:tc>
        <w:tc>
          <w:tcPr>
            <w:tcW w:w="1277" w:type="dxa"/>
            <w:tcBorders>
              <w:left w:val="single" w:sz="4" w:space="0" w:color="auto"/>
            </w:tcBorders>
            <w:shd w:val="clear" w:color="auto" w:fill="FFFFFF" w:themeFill="background1"/>
          </w:tcPr>
          <w:p w14:paraId="7993958F" w14:textId="5ADF6F42"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0.0087</w:t>
            </w:r>
          </w:p>
        </w:tc>
        <w:tc>
          <w:tcPr>
            <w:tcW w:w="992" w:type="dxa"/>
            <w:shd w:val="clear" w:color="auto" w:fill="D9D9D9" w:themeFill="background1" w:themeFillShade="D9"/>
            <w:noWrap/>
            <w:hideMark/>
          </w:tcPr>
          <w:p w14:paraId="2DDD7BF9" w14:textId="73312456"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0.0044</w:t>
            </w:r>
          </w:p>
        </w:tc>
        <w:tc>
          <w:tcPr>
            <w:tcW w:w="567" w:type="dxa"/>
            <w:shd w:val="clear" w:color="auto" w:fill="FFFFFF" w:themeFill="background1"/>
          </w:tcPr>
          <w:p w14:paraId="24E9BE06" w14:textId="5C6CCFAF"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FFFFFF" w:themeFill="background1"/>
          </w:tcPr>
          <w:p w14:paraId="362BB95B" w14:textId="77777777" w:rsidR="004C30C2" w:rsidRPr="005403DD" w:rsidRDefault="004C30C2" w:rsidP="004C30C2">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Sendai Framework DRR targets are to ‘substantially reduce’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Nations&lt;/Author&gt;&lt;Year&gt;2015&lt;/Year&gt;&lt;RecNum&gt;1060&lt;/RecNum&gt;&lt;DisplayText&gt;(United Nations, 2015)&lt;/DisplayText&gt;&lt;record&gt;&lt;rec-number&gt;1060&lt;/rec-number&gt;&lt;foreign-keys&gt;&lt;key app="EN" db-id="9vsrvaat7fadwtesfsrpw5w5t0x5v500ef25" timestamp="1565158494"&gt;1060&lt;/key&gt;&lt;/foreign-keys&gt;&lt;ref-type name="Generic"&gt;13&lt;/ref-type&gt;&lt;contributors&gt;&lt;authors&gt;&lt;author&gt;United Nations,&lt;/author&gt;&lt;/authors&gt;&lt;/contributors&gt;&lt;titles&gt;&lt;title&gt;Sendai Framework for Disaster Risk Reduction 2015-2030&lt;/title&gt;&lt;/titles&gt;&lt;dates&gt;&lt;year&gt;2015&lt;/year&gt;&lt;/dates&gt;&lt;pub-location&gt;New York&lt;/pub-location&gt;&lt;publisher&gt;United Nations Office for Disaster Risk Reduction&lt;/publisher&gt;&lt;urls&gt;&lt;related-urls&gt;&lt;url&gt;https://www.unisdr.org/we/inform/publications/43291&lt;/url&gt;&lt;/related-urls&gt;&lt;/urls&gt;&lt;/record&gt;&lt;/Cite&gt;&lt;/EndNote&gt;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50% improvement on baseline value.</w:t>
            </w:r>
          </w:p>
        </w:tc>
      </w:tr>
      <w:tr w:rsidR="004C30C2" w:rsidRPr="005403DD" w14:paraId="36559275" w14:textId="77777777" w:rsidTr="00C04DFB">
        <w:trPr>
          <w:trHeight w:val="300"/>
        </w:trPr>
        <w:tc>
          <w:tcPr>
            <w:tcW w:w="510" w:type="dxa"/>
            <w:shd w:val="clear" w:color="auto" w:fill="FFFFFF" w:themeFill="background1"/>
          </w:tcPr>
          <w:p w14:paraId="39A3D047" w14:textId="77777777" w:rsidR="004C30C2" w:rsidRPr="005403DD" w:rsidRDefault="004C30C2" w:rsidP="004C30C2">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5C7A0F6E"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11.6 By 2030, reduce the adverse per capita environmental impact of cities, including by paying special attention to air quality and municipal and other waste management</w:t>
            </w:r>
          </w:p>
        </w:tc>
        <w:tc>
          <w:tcPr>
            <w:tcW w:w="397" w:type="dxa"/>
            <w:tcBorders>
              <w:left w:val="single" w:sz="4" w:space="0" w:color="auto"/>
              <w:right w:val="single" w:sz="4" w:space="0" w:color="auto"/>
            </w:tcBorders>
            <w:shd w:val="clear" w:color="auto" w:fill="FFFFFF" w:themeFill="background1"/>
          </w:tcPr>
          <w:p w14:paraId="51AECE6B"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3A31C872"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11.6.1</w:t>
            </w:r>
          </w:p>
        </w:tc>
        <w:tc>
          <w:tcPr>
            <w:tcW w:w="3862" w:type="dxa"/>
            <w:tcBorders>
              <w:right w:val="single" w:sz="4" w:space="0" w:color="auto"/>
            </w:tcBorders>
            <w:shd w:val="clear" w:color="auto" w:fill="FFFFFF" w:themeFill="background1"/>
            <w:noWrap/>
            <w:hideMark/>
          </w:tcPr>
          <w:p w14:paraId="22E394A2"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Proportion of urban waste collected and disposed (%)</w:t>
            </w:r>
          </w:p>
        </w:tc>
        <w:tc>
          <w:tcPr>
            <w:tcW w:w="1277" w:type="dxa"/>
            <w:tcBorders>
              <w:left w:val="single" w:sz="4" w:space="0" w:color="auto"/>
            </w:tcBorders>
            <w:shd w:val="clear" w:color="auto" w:fill="FFFFFF" w:themeFill="background1"/>
          </w:tcPr>
          <w:p w14:paraId="0FC9CED1" w14:textId="77777777"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0.89</w:t>
            </w:r>
          </w:p>
        </w:tc>
        <w:tc>
          <w:tcPr>
            <w:tcW w:w="992" w:type="dxa"/>
            <w:shd w:val="clear" w:color="auto" w:fill="D9D9D9" w:themeFill="background1" w:themeFillShade="D9"/>
            <w:noWrap/>
            <w:hideMark/>
          </w:tcPr>
          <w:p w14:paraId="4C0FD1BC" w14:textId="77777777"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1</w:t>
            </w:r>
          </w:p>
        </w:tc>
        <w:tc>
          <w:tcPr>
            <w:tcW w:w="567" w:type="dxa"/>
            <w:shd w:val="clear" w:color="auto" w:fill="FFFFFF" w:themeFill="background1"/>
          </w:tcPr>
          <w:p w14:paraId="15EE00C7"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66A07FD9" w14:textId="77777777" w:rsidR="004C30C2" w:rsidRPr="005403DD" w:rsidRDefault="004C30C2" w:rsidP="004C30C2">
            <w:pPr>
              <w:spacing w:after="0"/>
              <w:jc w:val="center"/>
              <w:rPr>
                <w:rFonts w:ascii="Corbel" w:hAnsi="Corbel" w:cstheme="minorHAnsi"/>
                <w:sz w:val="16"/>
                <w:szCs w:val="16"/>
                <w:lang w:val="en-US"/>
              </w:rPr>
            </w:pPr>
            <w:r w:rsidRPr="005403DD">
              <w:rPr>
                <w:rFonts w:ascii="Corbel" w:hAnsi="Corbel" w:cstheme="minorHAnsi"/>
                <w:sz w:val="16"/>
                <w:szCs w:val="16"/>
                <w:lang w:val="en-US"/>
              </w:rPr>
              <w:t>SDG Target 11.6 is not specific. Target set at 100% of waste collected and disposed.</w:t>
            </w:r>
          </w:p>
        </w:tc>
      </w:tr>
      <w:tr w:rsidR="004C30C2" w:rsidRPr="005403DD" w14:paraId="0ED99FEA" w14:textId="77777777" w:rsidTr="00C04DFB">
        <w:trPr>
          <w:trHeight w:val="300"/>
        </w:trPr>
        <w:tc>
          <w:tcPr>
            <w:tcW w:w="510" w:type="dxa"/>
            <w:shd w:val="clear" w:color="auto" w:fill="FFFFFF" w:themeFill="background1"/>
          </w:tcPr>
          <w:p w14:paraId="0BE05831" w14:textId="77777777" w:rsidR="004C30C2" w:rsidRPr="005403DD" w:rsidRDefault="004C30C2" w:rsidP="004C30C2">
            <w:pPr>
              <w:spacing w:after="0"/>
              <w:rPr>
                <w:rFonts w:ascii="Corbel" w:hAnsi="Corbel" w:cstheme="minorHAnsi"/>
                <w:sz w:val="16"/>
                <w:szCs w:val="16"/>
                <w:lang w:val="en-US"/>
              </w:rPr>
            </w:pPr>
          </w:p>
        </w:tc>
        <w:tc>
          <w:tcPr>
            <w:tcW w:w="4195" w:type="dxa"/>
            <w:tcBorders>
              <w:right w:val="single" w:sz="4" w:space="0" w:color="auto"/>
            </w:tcBorders>
            <w:shd w:val="clear" w:color="auto" w:fill="FFFFFF" w:themeFill="background1"/>
          </w:tcPr>
          <w:p w14:paraId="38A4006E"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11.6</w:t>
            </w:r>
          </w:p>
        </w:tc>
        <w:tc>
          <w:tcPr>
            <w:tcW w:w="397" w:type="dxa"/>
            <w:tcBorders>
              <w:left w:val="single" w:sz="4" w:space="0" w:color="auto"/>
              <w:right w:val="single" w:sz="4" w:space="0" w:color="auto"/>
            </w:tcBorders>
            <w:shd w:val="clear" w:color="auto" w:fill="FFFFFF" w:themeFill="background1"/>
          </w:tcPr>
          <w:p w14:paraId="06B15162"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FFFFFF" w:themeFill="background1"/>
            <w:noWrap/>
            <w:hideMark/>
          </w:tcPr>
          <w:p w14:paraId="5B8BD2C6"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11.6.2</w:t>
            </w:r>
          </w:p>
        </w:tc>
        <w:tc>
          <w:tcPr>
            <w:tcW w:w="3862" w:type="dxa"/>
            <w:tcBorders>
              <w:right w:val="single" w:sz="4" w:space="0" w:color="auto"/>
            </w:tcBorders>
            <w:shd w:val="clear" w:color="auto" w:fill="FFFFFF" w:themeFill="background1"/>
            <w:noWrap/>
            <w:hideMark/>
          </w:tcPr>
          <w:p w14:paraId="1E21DC49"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PM 25 mean annual exposure (μg/m</w:t>
            </w:r>
            <w:r w:rsidRPr="005403DD">
              <w:rPr>
                <w:rFonts w:ascii="Corbel" w:hAnsi="Corbel" w:cstheme="minorHAnsi"/>
                <w:sz w:val="16"/>
                <w:szCs w:val="16"/>
                <w:vertAlign w:val="superscript"/>
                <w:lang w:val="en-US"/>
              </w:rPr>
              <w:t>3</w:t>
            </w:r>
            <w:r w:rsidRPr="005403DD">
              <w:rPr>
                <w:rFonts w:ascii="Corbel" w:hAnsi="Corbel" w:cstheme="minorHAnsi"/>
                <w:sz w:val="16"/>
                <w:szCs w:val="16"/>
                <w:lang w:val="en-US"/>
              </w:rPr>
              <w:t>)</w:t>
            </w:r>
          </w:p>
        </w:tc>
        <w:tc>
          <w:tcPr>
            <w:tcW w:w="1277" w:type="dxa"/>
            <w:tcBorders>
              <w:left w:val="single" w:sz="4" w:space="0" w:color="auto"/>
            </w:tcBorders>
            <w:shd w:val="clear" w:color="auto" w:fill="FFFFFF" w:themeFill="background1"/>
          </w:tcPr>
          <w:p w14:paraId="140C94A5" w14:textId="2C32975B"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8.6</w:t>
            </w:r>
            <w:r w:rsidR="001B7F7D" w:rsidRPr="00AB0BAD">
              <w:rPr>
                <w:rFonts w:ascii="Corbel" w:hAnsi="Corbel" w:cstheme="minorHAnsi"/>
                <w:sz w:val="16"/>
                <w:szCs w:val="16"/>
                <w:lang w:val="en-US"/>
              </w:rPr>
              <w:t>4</w:t>
            </w:r>
          </w:p>
        </w:tc>
        <w:tc>
          <w:tcPr>
            <w:tcW w:w="992" w:type="dxa"/>
            <w:shd w:val="clear" w:color="auto" w:fill="D9D9D9" w:themeFill="background1" w:themeFillShade="D9"/>
            <w:noWrap/>
            <w:hideMark/>
          </w:tcPr>
          <w:p w14:paraId="41AF334A" w14:textId="77777777" w:rsidR="004C30C2" w:rsidRPr="00AB0BAD" w:rsidRDefault="004C30C2" w:rsidP="004C30C2">
            <w:pPr>
              <w:spacing w:after="0"/>
              <w:rPr>
                <w:rFonts w:ascii="Corbel" w:hAnsi="Corbel" w:cstheme="minorHAnsi"/>
                <w:sz w:val="16"/>
                <w:szCs w:val="16"/>
                <w:lang w:val="en-US"/>
              </w:rPr>
            </w:pPr>
            <w:r w:rsidRPr="00AB0BAD">
              <w:rPr>
                <w:rFonts w:ascii="Corbel" w:hAnsi="Corbel" w:cstheme="minorHAnsi"/>
                <w:sz w:val="16"/>
                <w:szCs w:val="16"/>
                <w:lang w:val="en-US"/>
              </w:rPr>
              <w:t>&lt;10</w:t>
            </w:r>
          </w:p>
        </w:tc>
        <w:tc>
          <w:tcPr>
            <w:tcW w:w="567" w:type="dxa"/>
            <w:shd w:val="clear" w:color="auto" w:fill="FFFFFF" w:themeFill="background1"/>
          </w:tcPr>
          <w:p w14:paraId="794F844E" w14:textId="77777777" w:rsidR="004C30C2" w:rsidRPr="005403DD" w:rsidRDefault="004C30C2" w:rsidP="004C30C2">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FFFFFF" w:themeFill="background1"/>
          </w:tcPr>
          <w:p w14:paraId="7A93B026" w14:textId="77777777" w:rsidR="004C30C2" w:rsidRPr="005403DD" w:rsidRDefault="004C30C2" w:rsidP="004C30C2">
            <w:pPr>
              <w:spacing w:after="0"/>
              <w:jc w:val="center"/>
              <w:rPr>
                <w:rFonts w:ascii="Corbel" w:hAnsi="Corbel" w:cstheme="minorHAnsi"/>
                <w:sz w:val="16"/>
                <w:szCs w:val="16"/>
                <w:lang w:val="en-US"/>
              </w:rPr>
            </w:pPr>
            <w:r w:rsidRPr="005403DD">
              <w:rPr>
                <w:rFonts w:ascii="Corbel" w:hAnsi="Corbel" w:cstheme="minorHAnsi"/>
                <w:sz w:val="16"/>
                <w:szCs w:val="16"/>
                <w:lang w:val="en-US"/>
              </w:rPr>
              <w:t>Baseline is below the recommended guideline of 10 μg/m</w:t>
            </w:r>
            <w:r w:rsidRPr="005403DD">
              <w:rPr>
                <w:rFonts w:ascii="Corbel" w:hAnsi="Corbel" w:cstheme="minorHAnsi"/>
                <w:sz w:val="16"/>
                <w:szCs w:val="16"/>
                <w:vertAlign w:val="superscript"/>
                <w:lang w:val="en-US"/>
              </w:rPr>
              <w:t xml:space="preserve">3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&lt;EndNote&gt;&lt;Cite&gt;&lt;Author&gt;WHO&lt;/Author&gt;&lt;Year&gt;2005&lt;/Year&gt;&lt;RecNum&gt;1081&lt;/RecNum&gt;&lt;DisplayText&gt;(WHO, 2005)&lt;/DisplayText&gt;&lt;record&gt;&lt;rec-number&gt;1081&lt;/rec-number&gt;&lt;foreign-keys&gt;&lt;key app="EN" db-id="9vsrvaat7fadwtesfsrpw5w5t0x5v500ef25" timestamp="1565227634"&gt;1081&lt;/key&gt;&lt;/foreign-keys&gt;&lt;ref-type name="Generic"&gt;13&lt;/ref-type&gt;&lt;contributors&gt;&lt;authors&gt;&lt;author&gt;WHO,&lt;/author&gt;&lt;/authors&gt;&lt;/contributors&gt;&lt;titles&gt;&lt;title&gt;WHO Air quality guidelines for particulate matter, ozone, nitrogen dioxide and sulfur dioxide&lt;/title&gt;&lt;/titles&gt;&lt;dates&gt;&lt;year&gt;2005&lt;/year&gt;&lt;/dates&gt;&lt;pub-location&gt;Switzerland&lt;/pub-location&gt;&lt;publisher&gt;World Health Organisation&lt;/publisher&gt;&lt;urls&gt;&lt;related-urls&gt;&lt;url&gt;https://apps.who.int/iris/bitstream/handle/10665/69477/WHO_SDE_PHE_OEH_06.02_eng.pdf;sequence=1&lt;/url&gt;&lt;/related-urls&gt;&lt;/urls&gt;&lt;/record&gt;&lt;/Cite&gt;&lt;/EndNote&gt;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(WHO, 2005)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SDG Target 3.2 already achieved for Fiji.  Maintain performance.</w:t>
            </w:r>
          </w:p>
        </w:tc>
      </w:tr>
      <w:tr w:rsidR="004C30C2" w:rsidRPr="005403DD" w14:paraId="021CB3F7" w14:textId="77777777" w:rsidTr="00C04DFB">
        <w:trPr>
          <w:trHeight w:val="54"/>
        </w:trPr>
        <w:tc>
          <w:tcPr>
            <w:tcW w:w="510" w:type="dxa"/>
            <w:shd w:val="clear" w:color="auto" w:fill="D9D9D9" w:themeFill="background1" w:themeFillShade="D9"/>
          </w:tcPr>
          <w:p w14:paraId="4DD87C18" w14:textId="77777777" w:rsidR="004C30C2" w:rsidRPr="005403DD" w:rsidRDefault="004C30C2" w:rsidP="004C30C2">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051D8561" w14:textId="77777777" w:rsidR="004C30C2" w:rsidRPr="005403DD" w:rsidRDefault="004C30C2" w:rsidP="004C30C2">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589299DA" w14:textId="77777777" w:rsidR="004C30C2" w:rsidRPr="005403DD" w:rsidRDefault="004C30C2" w:rsidP="004C30C2">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0B252234" w14:textId="77777777" w:rsidR="004C30C2" w:rsidRPr="005403DD" w:rsidRDefault="004C30C2" w:rsidP="004C30C2">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2A9DEED9" w14:textId="77777777" w:rsidR="004C30C2" w:rsidRPr="005403DD" w:rsidRDefault="004C30C2" w:rsidP="004C30C2">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07E0B907" w14:textId="77777777" w:rsidR="004C30C2" w:rsidRPr="00AB0BAD" w:rsidRDefault="004C30C2" w:rsidP="004C30C2">
            <w:pPr>
              <w:spacing w:after="0"/>
              <w:rPr>
                <w:rFonts w:ascii="Corbel" w:hAnsi="Corbel" w:cstheme="minorHAnsi"/>
                <w:sz w:val="8"/>
                <w:szCs w:val="8"/>
                <w:lang w:val="en-US"/>
              </w:rPr>
            </w:pPr>
          </w:p>
        </w:tc>
        <w:tc>
          <w:tcPr>
            <w:tcW w:w="992" w:type="dxa"/>
            <w:shd w:val="clear" w:color="auto" w:fill="D9D9D9" w:themeFill="background1" w:themeFillShade="D9"/>
            <w:noWrap/>
          </w:tcPr>
          <w:p w14:paraId="5326EBE0" w14:textId="77777777" w:rsidR="004C30C2" w:rsidRPr="00AB0BAD" w:rsidRDefault="004C30C2" w:rsidP="004C30C2">
            <w:pPr>
              <w:spacing w:after="0"/>
              <w:rPr>
                <w:rFonts w:ascii="Corbel" w:hAnsi="Corbel" w:cstheme="minorHAnsi"/>
                <w:sz w:val="8"/>
                <w:szCs w:val="8"/>
                <w:lang w:val="en-US"/>
              </w:rPr>
            </w:pPr>
          </w:p>
        </w:tc>
        <w:tc>
          <w:tcPr>
            <w:tcW w:w="567" w:type="dxa"/>
            <w:shd w:val="clear" w:color="auto" w:fill="D9D9D9" w:themeFill="background1" w:themeFillShade="D9"/>
          </w:tcPr>
          <w:p w14:paraId="1733E245" w14:textId="77777777" w:rsidR="004C30C2" w:rsidRPr="005403DD" w:rsidRDefault="004C30C2" w:rsidP="004C30C2">
            <w:pPr>
              <w:spacing w:after="0"/>
              <w:rPr>
                <w:rFonts w:ascii="Corbel" w:hAnsi="Corbel" w:cstheme="minorHAnsi"/>
                <w:sz w:val="8"/>
                <w:szCs w:val="8"/>
                <w:lang w:val="en-US"/>
              </w:rPr>
            </w:pPr>
          </w:p>
        </w:tc>
        <w:tc>
          <w:tcPr>
            <w:tcW w:w="2693" w:type="dxa"/>
            <w:shd w:val="clear" w:color="auto" w:fill="D9D9D9" w:themeFill="background1" w:themeFillShade="D9"/>
          </w:tcPr>
          <w:p w14:paraId="3C7C2824" w14:textId="77777777" w:rsidR="004C30C2" w:rsidRPr="005403DD" w:rsidRDefault="004C30C2" w:rsidP="004C30C2">
            <w:pPr>
              <w:spacing w:after="0"/>
              <w:jc w:val="center"/>
              <w:rPr>
                <w:rFonts w:ascii="Corbel" w:hAnsi="Corbel" w:cstheme="minorHAnsi"/>
                <w:sz w:val="8"/>
                <w:szCs w:val="8"/>
                <w:lang w:val="en-US"/>
              </w:rPr>
            </w:pPr>
          </w:p>
        </w:tc>
      </w:tr>
      <w:tr w:rsidR="00E53ADE" w:rsidRPr="005403DD" w14:paraId="69D75B0F" w14:textId="77777777" w:rsidTr="00C04DFB">
        <w:trPr>
          <w:trHeight w:val="300"/>
        </w:trPr>
        <w:tc>
          <w:tcPr>
            <w:tcW w:w="510" w:type="dxa"/>
            <w:shd w:val="clear" w:color="auto" w:fill="auto"/>
          </w:tcPr>
          <w:p w14:paraId="2230B7C4"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12</w:t>
            </w:r>
          </w:p>
        </w:tc>
        <w:tc>
          <w:tcPr>
            <w:tcW w:w="4195" w:type="dxa"/>
            <w:tcBorders>
              <w:right w:val="single" w:sz="4" w:space="0" w:color="auto"/>
            </w:tcBorders>
            <w:shd w:val="clear" w:color="auto" w:fill="auto"/>
          </w:tcPr>
          <w:p w14:paraId="4206940D"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12.2 By 2030, achieve the sustainable management and efficient use of natural resources</w:t>
            </w:r>
          </w:p>
        </w:tc>
        <w:tc>
          <w:tcPr>
            <w:tcW w:w="397" w:type="dxa"/>
            <w:tcBorders>
              <w:left w:val="single" w:sz="4" w:space="0" w:color="auto"/>
              <w:right w:val="single" w:sz="4" w:space="0" w:color="auto"/>
            </w:tcBorders>
            <w:shd w:val="clear" w:color="auto" w:fill="auto"/>
          </w:tcPr>
          <w:p w14:paraId="116A89E5"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3F38E17F" w14:textId="73553B02"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12.2.1</w:t>
            </w:r>
            <w:r w:rsidR="00054CAE">
              <w:rPr>
                <w:rFonts w:ascii="Corbel" w:hAnsi="Corbel" w:cstheme="minorHAnsi"/>
                <w:sz w:val="16"/>
                <w:szCs w:val="16"/>
                <w:lang w:val="en-US"/>
              </w:rPr>
              <w:t>a</w:t>
            </w:r>
          </w:p>
        </w:tc>
        <w:tc>
          <w:tcPr>
            <w:tcW w:w="3862" w:type="dxa"/>
            <w:tcBorders>
              <w:right w:val="single" w:sz="4" w:space="0" w:color="auto"/>
            </w:tcBorders>
            <w:shd w:val="clear" w:color="auto" w:fill="auto"/>
            <w:noWrap/>
            <w:hideMark/>
          </w:tcPr>
          <w:p w14:paraId="042F8DAC"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PC material footprint (t/person/year)</w:t>
            </w:r>
          </w:p>
        </w:tc>
        <w:tc>
          <w:tcPr>
            <w:tcW w:w="1277" w:type="dxa"/>
            <w:tcBorders>
              <w:left w:val="single" w:sz="4" w:space="0" w:color="auto"/>
            </w:tcBorders>
            <w:shd w:val="clear" w:color="auto" w:fill="auto"/>
          </w:tcPr>
          <w:p w14:paraId="2F5AAC5E" w14:textId="2A42048B" w:rsidR="00E53ADE" w:rsidRPr="00AB0BAD" w:rsidRDefault="00E53ADE" w:rsidP="00E53ADE">
            <w:pPr>
              <w:spacing w:after="0"/>
              <w:rPr>
                <w:rFonts w:ascii="Corbel" w:hAnsi="Corbel" w:cstheme="minorHAnsi"/>
                <w:sz w:val="16"/>
                <w:szCs w:val="16"/>
                <w:lang w:val="en-US"/>
              </w:rPr>
            </w:pPr>
            <w:r w:rsidRPr="00AB0BAD">
              <w:rPr>
                <w:rFonts w:ascii="Corbel" w:hAnsi="Corbel" w:cstheme="minorHAnsi"/>
                <w:sz w:val="16"/>
                <w:szCs w:val="16"/>
                <w:lang w:val="en-US"/>
              </w:rPr>
              <w:t>7.4</w:t>
            </w:r>
          </w:p>
        </w:tc>
        <w:tc>
          <w:tcPr>
            <w:tcW w:w="992" w:type="dxa"/>
            <w:shd w:val="clear" w:color="auto" w:fill="D9D9D9" w:themeFill="background1" w:themeFillShade="D9"/>
            <w:noWrap/>
            <w:hideMark/>
          </w:tcPr>
          <w:p w14:paraId="4493646B" w14:textId="5D5A8A42" w:rsidR="00E53ADE" w:rsidRPr="00AB0BAD" w:rsidRDefault="00E53ADE" w:rsidP="00E53ADE">
            <w:pPr>
              <w:spacing w:after="0"/>
              <w:rPr>
                <w:rFonts w:ascii="Corbel" w:hAnsi="Corbel" w:cstheme="minorHAnsi"/>
                <w:sz w:val="16"/>
                <w:szCs w:val="16"/>
                <w:lang w:val="en-US"/>
              </w:rPr>
            </w:pPr>
            <w:r w:rsidRPr="00AB0BAD">
              <w:rPr>
                <w:rFonts w:ascii="Corbel" w:hAnsi="Corbel" w:cstheme="minorHAnsi"/>
                <w:sz w:val="16"/>
                <w:szCs w:val="16"/>
                <w:lang w:val="en-US"/>
              </w:rPr>
              <w:t>7.2</w:t>
            </w:r>
          </w:p>
        </w:tc>
        <w:tc>
          <w:tcPr>
            <w:tcW w:w="567" w:type="dxa"/>
          </w:tcPr>
          <w:p w14:paraId="658047A4"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auto"/>
          </w:tcPr>
          <w:p w14:paraId="05495891" w14:textId="01834B25" w:rsidR="00E53ADE" w:rsidRPr="005403DD" w:rsidRDefault="00E53ADE" w:rsidP="00E53ADE">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w:t>
            </w:r>
            <w:r>
              <w:rPr>
                <w:rFonts w:ascii="Corbel" w:hAnsi="Corbel" w:cstheme="minorHAnsi"/>
                <w:sz w:val="16"/>
                <w:szCs w:val="16"/>
                <w:lang w:val="en-US"/>
              </w:rPr>
              <w:t xml:space="preserve">globally sustainable level as per </w:t>
            </w:r>
            <w:r>
              <w:rPr>
                <w:rFonts w:ascii="Corbel" w:hAnsi="Corbel" w:cstheme="minorHAnsi"/>
                <w:sz w:val="16"/>
                <w:szCs w:val="16"/>
                <w:lang w:val="en-US"/>
              </w:rPr>
              <w:fldChar w:fldCharType="begin"/>
            </w:r>
            <w:r>
              <w:rPr>
                <w:rFonts w:ascii="Corbel" w:hAnsi="Corbel" w:cstheme="minorHAnsi"/>
                <w:sz w:val="16"/>
                <w:szCs w:val="16"/>
                <w:lang w:val="en-US"/>
              </w:rPr>
              <w:instrText xml:space="preserve"> ADDIN EN.CITE &lt;EndNote&gt;&lt;Cite&gt;&lt;Author&gt;O’Neill&lt;/Author&gt;&lt;Year&gt;2018&lt;/Year&gt;&lt;RecNum&gt;1213&lt;/RecNum&gt;&lt;DisplayText&gt;(O’Neill et al., 2018)&lt;/DisplayText&gt;&lt;record&gt;&lt;rec-number&gt;1213&lt;/rec-number&gt;&lt;foreign-keys&gt;&lt;key app="EN" db-id="9vsrvaat7fadwtesfsrpw5w5t0x5v500ef25" timestamp="1578984484"&gt;1213&lt;/key&gt;&lt;/foreign-keys&gt;&lt;ref-type name="Journal Article"&gt;17&lt;/ref-type&gt;&lt;contributors&gt;&lt;authors&gt;&lt;author&gt;O’Neill, Daniel W&lt;/author&gt;&lt;author&gt;Fanning, Andrew L&lt;/author&gt;&lt;author&gt;Lamb, William F&lt;/author&gt;&lt;author&gt;Steinberger, Julia K&lt;/author&gt;&lt;/authors&gt;&lt;/contributors&gt;&lt;titles&gt;&lt;title&gt;A good life for all within planetary boundaries&lt;/title&gt;&lt;secondary-title&gt;Nature Sustainability&lt;/secondary-title&gt;&lt;/titles&gt;&lt;periodical&gt;&lt;full-title&gt;Nature Sustainability&lt;/full-title&gt;&lt;/periodical&gt;&lt;pages&gt;88&lt;/pages&gt;&lt;volume&gt;1&lt;/volume&gt;&lt;number&gt;2&lt;/number&gt;&lt;dates&gt;&lt;year&gt;2018&lt;/year&gt;&lt;/dates&gt;&lt;isbn&gt;2398-9629&lt;/isbn&gt;&lt;urls&gt;&lt;/urls&gt;&lt;electronic-resource-num&gt;https://doi.org/10.1038/s41893-018-0021-4&lt;/electronic-resource-num&gt;&lt;/record&gt;&lt;/Cite&gt;&lt;/EndNote&gt;</w:instrText>
            </w:r>
            <w:r>
              <w:rPr>
                <w:rFonts w:ascii="Corbel" w:hAnsi="Corbel" w:cstheme="minorHAnsi"/>
                <w:sz w:val="16"/>
                <w:szCs w:val="16"/>
                <w:lang w:val="en-US"/>
              </w:rPr>
              <w:fldChar w:fldCharType="separate"/>
            </w:r>
            <w:r>
              <w:rPr>
                <w:rFonts w:ascii="Corbel" w:hAnsi="Corbel" w:cstheme="minorHAnsi"/>
                <w:noProof/>
                <w:sz w:val="16"/>
                <w:szCs w:val="16"/>
                <w:lang w:val="en-US"/>
              </w:rPr>
              <w:t>(O’Neill et al., 2018)</w:t>
            </w:r>
            <w:r>
              <w:rPr>
                <w:rFonts w:ascii="Corbel" w:hAnsi="Corbel" w:cstheme="minorHAnsi"/>
                <w:sz w:val="16"/>
                <w:szCs w:val="16"/>
                <w:lang w:val="en-US"/>
              </w:rPr>
              <w:fldChar w:fldCharType="end"/>
            </w:r>
            <w:r w:rsidRPr="005403DD">
              <w:rPr>
                <w:rFonts w:ascii="Corbel" w:hAnsi="Corbel" w:cstheme="minorHAnsi"/>
                <w:sz w:val="16"/>
                <w:szCs w:val="16"/>
                <w:lang w:val="en-US"/>
              </w:rPr>
              <w:t xml:space="preserve">; calibrated from global data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(West and Lieber,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World average = 11.4. Baseline is comparatively low for Fiji.</w:t>
            </w:r>
          </w:p>
        </w:tc>
      </w:tr>
      <w:tr w:rsidR="00E53ADE" w:rsidRPr="005403DD" w14:paraId="51FD8C81" w14:textId="77777777" w:rsidTr="00C04DFB">
        <w:trPr>
          <w:trHeight w:val="300"/>
        </w:trPr>
        <w:tc>
          <w:tcPr>
            <w:tcW w:w="510" w:type="dxa"/>
            <w:shd w:val="clear" w:color="auto" w:fill="auto"/>
          </w:tcPr>
          <w:p w14:paraId="05CD4AFC" w14:textId="77777777" w:rsidR="00E53ADE" w:rsidRPr="005403DD" w:rsidRDefault="00E53ADE" w:rsidP="00E53ADE">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2FC254AE"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12.2</w:t>
            </w:r>
          </w:p>
        </w:tc>
        <w:tc>
          <w:tcPr>
            <w:tcW w:w="397" w:type="dxa"/>
            <w:tcBorders>
              <w:left w:val="single" w:sz="4" w:space="0" w:color="auto"/>
              <w:right w:val="single" w:sz="4" w:space="0" w:color="auto"/>
            </w:tcBorders>
            <w:shd w:val="clear" w:color="auto" w:fill="auto"/>
          </w:tcPr>
          <w:p w14:paraId="4D37545A"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5EABE2ED" w14:textId="66AAD7EF"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12.2.1</w:t>
            </w:r>
            <w:r w:rsidR="00054CAE">
              <w:rPr>
                <w:rFonts w:ascii="Corbel" w:hAnsi="Corbel" w:cstheme="minorHAnsi"/>
                <w:sz w:val="16"/>
                <w:szCs w:val="16"/>
                <w:lang w:val="en-US"/>
              </w:rPr>
              <w:t>b</w:t>
            </w:r>
          </w:p>
        </w:tc>
        <w:tc>
          <w:tcPr>
            <w:tcW w:w="3862" w:type="dxa"/>
            <w:tcBorders>
              <w:right w:val="single" w:sz="4" w:space="0" w:color="auto"/>
            </w:tcBorders>
            <w:shd w:val="clear" w:color="auto" w:fill="auto"/>
            <w:noWrap/>
            <w:hideMark/>
          </w:tcPr>
          <w:p w14:paraId="032D7CF6"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Material footprint per unit of output (kg/USD11)</w:t>
            </w:r>
          </w:p>
        </w:tc>
        <w:tc>
          <w:tcPr>
            <w:tcW w:w="1277" w:type="dxa"/>
            <w:tcBorders>
              <w:left w:val="single" w:sz="4" w:space="0" w:color="auto"/>
            </w:tcBorders>
            <w:shd w:val="clear" w:color="auto" w:fill="auto"/>
          </w:tcPr>
          <w:p w14:paraId="031F9B33" w14:textId="6D275E94" w:rsidR="00E53ADE" w:rsidRPr="00AB0BAD" w:rsidRDefault="00E53ADE" w:rsidP="00E53ADE">
            <w:pPr>
              <w:spacing w:after="0"/>
              <w:rPr>
                <w:rFonts w:ascii="Corbel" w:hAnsi="Corbel" w:cstheme="minorHAnsi"/>
                <w:sz w:val="16"/>
                <w:szCs w:val="16"/>
                <w:lang w:val="en-US"/>
              </w:rPr>
            </w:pPr>
            <w:r w:rsidRPr="00AB0BAD">
              <w:rPr>
                <w:rFonts w:ascii="Corbel" w:hAnsi="Corbel" w:cstheme="minorHAnsi"/>
                <w:sz w:val="16"/>
                <w:szCs w:val="16"/>
                <w:lang w:val="en-US"/>
              </w:rPr>
              <w:t>1.2</w:t>
            </w:r>
          </w:p>
        </w:tc>
        <w:tc>
          <w:tcPr>
            <w:tcW w:w="992" w:type="dxa"/>
            <w:shd w:val="clear" w:color="auto" w:fill="D9D9D9" w:themeFill="background1" w:themeFillShade="D9"/>
            <w:noWrap/>
            <w:hideMark/>
          </w:tcPr>
          <w:p w14:paraId="6E919EFC" w14:textId="12194F55" w:rsidR="00E53ADE" w:rsidRPr="00AB0BAD" w:rsidRDefault="00E53ADE" w:rsidP="00E53ADE">
            <w:pPr>
              <w:spacing w:after="0"/>
              <w:rPr>
                <w:rFonts w:ascii="Corbel" w:hAnsi="Corbel" w:cstheme="minorHAnsi"/>
                <w:sz w:val="16"/>
                <w:szCs w:val="16"/>
                <w:lang w:val="en-US"/>
              </w:rPr>
            </w:pPr>
            <w:r w:rsidRPr="00AB0BAD">
              <w:rPr>
                <w:rFonts w:ascii="Corbel" w:hAnsi="Corbel" w:cstheme="minorHAnsi"/>
                <w:sz w:val="16"/>
                <w:szCs w:val="16"/>
                <w:lang w:val="en-US"/>
              </w:rPr>
              <w:t>0.7</w:t>
            </w:r>
          </w:p>
        </w:tc>
        <w:tc>
          <w:tcPr>
            <w:tcW w:w="567" w:type="dxa"/>
          </w:tcPr>
          <w:p w14:paraId="638D27DF" w14:textId="77777777" w:rsidR="00E53ADE" w:rsidRPr="005403DD" w:rsidRDefault="00E53ADE" w:rsidP="00E53ADE">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auto"/>
          </w:tcPr>
          <w:p w14:paraId="393F71CD" w14:textId="387F5D4C" w:rsidR="00E53ADE" w:rsidRPr="005403DD" w:rsidRDefault="00E53ADE" w:rsidP="00E53ADE">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w:t>
            </w:r>
            <w:r>
              <w:rPr>
                <w:rFonts w:ascii="Corbel" w:hAnsi="Corbel" w:cstheme="minorHAnsi"/>
                <w:sz w:val="16"/>
                <w:szCs w:val="16"/>
                <w:lang w:val="en-US"/>
              </w:rPr>
              <w:t>3</w:t>
            </w:r>
            <w:r w:rsidRPr="005403DD">
              <w:rPr>
                <w:rFonts w:ascii="Corbel" w:hAnsi="Corbel" w:cstheme="minorHAnsi"/>
                <w:sz w:val="16"/>
                <w:szCs w:val="16"/>
                <w:lang w:val="en-US"/>
              </w:rPr>
              <w:t xml:space="preserve">0% total improvement on baseline by 2030; calibrated from global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(West and Lieber,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D94E4D" w:rsidRPr="005403DD" w14:paraId="7EE53F17" w14:textId="77777777" w:rsidTr="00C04DFB">
        <w:trPr>
          <w:trHeight w:val="300"/>
        </w:trPr>
        <w:tc>
          <w:tcPr>
            <w:tcW w:w="510" w:type="dxa"/>
            <w:shd w:val="clear" w:color="auto" w:fill="auto"/>
          </w:tcPr>
          <w:p w14:paraId="07041233"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23AE021"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12.2</w:t>
            </w:r>
          </w:p>
        </w:tc>
        <w:tc>
          <w:tcPr>
            <w:tcW w:w="397" w:type="dxa"/>
            <w:tcBorders>
              <w:left w:val="single" w:sz="4" w:space="0" w:color="auto"/>
              <w:right w:val="single" w:sz="4" w:space="0" w:color="auto"/>
            </w:tcBorders>
            <w:shd w:val="clear" w:color="auto" w:fill="auto"/>
          </w:tcPr>
          <w:p w14:paraId="67B5354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2DC96565" w14:textId="5E82D32C"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12.2.2</w:t>
            </w:r>
            <w:r w:rsidR="00054CAE">
              <w:rPr>
                <w:rFonts w:ascii="Corbel" w:hAnsi="Corbel" w:cstheme="minorHAnsi"/>
                <w:sz w:val="16"/>
                <w:szCs w:val="16"/>
                <w:lang w:val="en-US"/>
              </w:rPr>
              <w:t>a</w:t>
            </w:r>
          </w:p>
        </w:tc>
        <w:tc>
          <w:tcPr>
            <w:tcW w:w="3862" w:type="dxa"/>
            <w:tcBorders>
              <w:right w:val="single" w:sz="4" w:space="0" w:color="auto"/>
            </w:tcBorders>
            <w:shd w:val="clear" w:color="auto" w:fill="auto"/>
            <w:noWrap/>
            <w:hideMark/>
          </w:tcPr>
          <w:p w14:paraId="2243988D"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PC domestic material consumption (t/person/year)</w:t>
            </w:r>
          </w:p>
        </w:tc>
        <w:tc>
          <w:tcPr>
            <w:tcW w:w="1277" w:type="dxa"/>
            <w:tcBorders>
              <w:left w:val="single" w:sz="4" w:space="0" w:color="auto"/>
            </w:tcBorders>
            <w:shd w:val="clear" w:color="auto" w:fill="auto"/>
          </w:tcPr>
          <w:p w14:paraId="2CB2267C" w14:textId="3EBC4F39"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8.67</w:t>
            </w:r>
          </w:p>
        </w:tc>
        <w:tc>
          <w:tcPr>
            <w:tcW w:w="992" w:type="dxa"/>
            <w:shd w:val="clear" w:color="auto" w:fill="D9D9D9" w:themeFill="background1" w:themeFillShade="D9"/>
            <w:noWrap/>
            <w:hideMark/>
          </w:tcPr>
          <w:p w14:paraId="497B2369" w14:textId="4251612B" w:rsidR="00D94E4D" w:rsidRPr="00AB0BAD" w:rsidRDefault="00B52066" w:rsidP="00D94E4D">
            <w:pPr>
              <w:spacing w:after="0"/>
              <w:rPr>
                <w:rFonts w:ascii="Corbel" w:hAnsi="Corbel" w:cstheme="minorHAnsi"/>
                <w:sz w:val="16"/>
                <w:szCs w:val="16"/>
                <w:lang w:val="en-US"/>
              </w:rPr>
            </w:pPr>
            <w:r w:rsidRPr="00AB0BAD">
              <w:rPr>
                <w:rFonts w:ascii="Corbel" w:hAnsi="Corbel" w:cstheme="minorHAnsi"/>
                <w:sz w:val="16"/>
                <w:szCs w:val="16"/>
                <w:lang w:val="en-US"/>
              </w:rPr>
              <w:t>7.8</w:t>
            </w:r>
          </w:p>
        </w:tc>
        <w:tc>
          <w:tcPr>
            <w:tcW w:w="567" w:type="dxa"/>
          </w:tcPr>
          <w:p w14:paraId="140A4E1C" w14:textId="6B74E192"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auto"/>
          </w:tcPr>
          <w:p w14:paraId="6A634F47" w14:textId="2C401FE4"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20% total improvement on baseline by 2030; calibrated from global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(West and Lieber,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World average = 10.06. Baseline is comparatively low for Fiji.</w:t>
            </w:r>
          </w:p>
        </w:tc>
      </w:tr>
      <w:tr w:rsidR="00D94E4D" w:rsidRPr="005403DD" w14:paraId="3BA3BD82" w14:textId="77777777" w:rsidTr="00C04DFB">
        <w:trPr>
          <w:trHeight w:val="300"/>
        </w:trPr>
        <w:tc>
          <w:tcPr>
            <w:tcW w:w="510" w:type="dxa"/>
            <w:shd w:val="clear" w:color="auto" w:fill="auto"/>
          </w:tcPr>
          <w:p w14:paraId="3BB24F90"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2A32B0B"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12.2</w:t>
            </w:r>
          </w:p>
        </w:tc>
        <w:tc>
          <w:tcPr>
            <w:tcW w:w="397" w:type="dxa"/>
            <w:tcBorders>
              <w:left w:val="single" w:sz="4" w:space="0" w:color="auto"/>
              <w:right w:val="single" w:sz="4" w:space="0" w:color="auto"/>
            </w:tcBorders>
            <w:shd w:val="clear" w:color="auto" w:fill="auto"/>
          </w:tcPr>
          <w:p w14:paraId="08B715C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72CAF90F" w14:textId="0FA5D89B"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12.2.2</w:t>
            </w:r>
            <w:r w:rsidR="00054CAE">
              <w:rPr>
                <w:rFonts w:ascii="Corbel" w:hAnsi="Corbel" w:cstheme="minorHAnsi"/>
                <w:sz w:val="16"/>
                <w:szCs w:val="16"/>
                <w:lang w:val="en-US"/>
              </w:rPr>
              <w:t>b</w:t>
            </w:r>
          </w:p>
        </w:tc>
        <w:tc>
          <w:tcPr>
            <w:tcW w:w="3862" w:type="dxa"/>
            <w:tcBorders>
              <w:right w:val="single" w:sz="4" w:space="0" w:color="auto"/>
            </w:tcBorders>
            <w:shd w:val="clear" w:color="auto" w:fill="auto"/>
            <w:noWrap/>
            <w:hideMark/>
          </w:tcPr>
          <w:p w14:paraId="6FC1B420"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Domestic material consumption per unit of output (kg/USD11)</w:t>
            </w:r>
          </w:p>
        </w:tc>
        <w:tc>
          <w:tcPr>
            <w:tcW w:w="1277" w:type="dxa"/>
            <w:tcBorders>
              <w:left w:val="single" w:sz="4" w:space="0" w:color="auto"/>
            </w:tcBorders>
            <w:shd w:val="clear" w:color="auto" w:fill="auto"/>
          </w:tcPr>
          <w:p w14:paraId="75281D3E" w14:textId="281A6A51"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1.01</w:t>
            </w:r>
          </w:p>
        </w:tc>
        <w:tc>
          <w:tcPr>
            <w:tcW w:w="992" w:type="dxa"/>
            <w:shd w:val="clear" w:color="auto" w:fill="D9D9D9" w:themeFill="background1" w:themeFillShade="D9"/>
            <w:noWrap/>
            <w:hideMark/>
          </w:tcPr>
          <w:p w14:paraId="1EF6C9D6" w14:textId="3A92F291"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0.7</w:t>
            </w:r>
          </w:p>
        </w:tc>
        <w:tc>
          <w:tcPr>
            <w:tcW w:w="567" w:type="dxa"/>
          </w:tcPr>
          <w:p w14:paraId="7CA9E962" w14:textId="2061E340"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auto"/>
          </w:tcPr>
          <w:p w14:paraId="1D6B6238" w14:textId="4FAA0E80"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30% improvement on baseline by 2030; calibrated from global data and BAU projection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&lt;EndNote&gt;&lt;Cite&gt;&lt;Author&gt;West&lt;/Author&gt;&lt;Year&gt;2018&lt;/Year&gt;&lt;RecNum&gt;1048&lt;/RecNum&gt;&lt;DisplayText&gt;(West and Lieber, 2018)&lt;/DisplayText&gt;&lt;record&gt;&lt;rec-number&gt;1048&lt;/rec-number&gt;&lt;foreign-keys&gt;&lt;key app="EN" db-id="9vsrvaat7fadwtesfsrpw5w5t0x5v500ef25" timestamp="1565085299"&gt;1048&lt;/key&gt;&lt;/foreign-keys&gt;&lt;ref-type name="Dataset"&gt;59&lt;/ref-type&gt;&lt;contributors&gt;&lt;authors&gt;&lt;author&gt;West, J&lt;/author&gt;&lt;author&gt;Lieber, M&lt;/author&gt;&lt;/authors&gt;&lt;/contributors&gt;&lt;titles&gt;&lt;title&gt;Global Material Flows Database&lt;/title&gt;&lt;/titles&gt;&lt;dates&gt;&lt;year&gt;2018&lt;/year&gt;&lt;/dates&gt;&lt;pub-location&gt;Paris, France&lt;/pub-location&gt;&lt;urls&gt;&lt;related-urls&gt;&lt;url&gt;https://www.resourcepanel.org/global-material-flows-database&lt;/url&gt;&lt;/related-urls&gt;&lt;/urls&gt;&lt;access-date&gt;10/02/18&lt;/access-date&gt;&lt;/record&gt;&lt;/Cite&gt;&lt;/EndNote&gt;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(West and Lieber,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xml:space="preserve">, and IRP target 36-54% by 2050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&lt;EndNote&gt;&lt;Cite&gt;&lt;Author&gt;International Resource Panel&lt;/Author&gt;&lt;Year&gt;2017&lt;/Year&gt;&lt;RecNum&gt;884&lt;/RecNum&gt;&lt;DisplayText&gt;(International Resource Panel, 2017)&lt;/DisplayText&gt;&lt;record&gt;&lt;rec-number&gt;884&lt;/rec-number&gt;&lt;foreign-keys&gt;&lt;key app="EN" db-id="9vsrvaat7fadwtesfsrpw5w5t0x5v500ef25" timestamp="1542427681"&gt;884&lt;/key&gt;&lt;/foreign-keys&gt;&lt;ref-type name="Generic"&gt;13&lt;/ref-type&gt;&lt;contributors&gt;&lt;authors&gt;&lt;author&gt;International Resource Panel,&lt;/author&gt;&lt;/authors&gt;&lt;/contributors&gt;&lt;titles&gt;&lt;title&gt;Resource Efficiency: Potential and Economic Implications. &lt;/title&gt;&lt;/titles&gt;&lt;dates&gt;&lt;year&gt;2017&lt;/year&gt;&lt;/dates&gt;&lt;pub-location&gt;Paris&lt;/pub-location&gt;&lt;publisher&gt;UN Environment&lt;/publisher&gt;&lt;urls&gt;&lt;/urls&gt;&lt;/record&gt;&lt;/Cite&gt;&lt;/EndNote&gt;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(International Resource Panel, 2017)</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D94E4D" w:rsidRPr="005403DD" w14:paraId="4A8BCCED" w14:textId="77777777" w:rsidTr="00C04DFB">
        <w:trPr>
          <w:trHeight w:val="54"/>
        </w:trPr>
        <w:tc>
          <w:tcPr>
            <w:tcW w:w="510" w:type="dxa"/>
            <w:shd w:val="clear" w:color="auto" w:fill="D9D9D9" w:themeFill="background1" w:themeFillShade="D9"/>
          </w:tcPr>
          <w:p w14:paraId="13AA02CA" w14:textId="77777777" w:rsidR="00D94E4D" w:rsidRPr="005403DD" w:rsidRDefault="00D94E4D" w:rsidP="00D94E4D">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7C39BBB2" w14:textId="77777777" w:rsidR="00D94E4D" w:rsidRPr="005403DD" w:rsidRDefault="00D94E4D" w:rsidP="00D94E4D">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4DE2A455" w14:textId="77777777" w:rsidR="00D94E4D" w:rsidRPr="005403DD" w:rsidRDefault="00D94E4D" w:rsidP="00D94E4D">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0AC736B6" w14:textId="77777777" w:rsidR="00D94E4D" w:rsidRPr="005403DD" w:rsidRDefault="00D94E4D" w:rsidP="00D94E4D">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178A91D4" w14:textId="77777777" w:rsidR="00D94E4D" w:rsidRPr="005403DD" w:rsidRDefault="00D94E4D" w:rsidP="00D94E4D">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3A091DD9" w14:textId="77777777" w:rsidR="00D94E4D" w:rsidRPr="00AB0BAD" w:rsidRDefault="00D94E4D" w:rsidP="00D94E4D">
            <w:pPr>
              <w:spacing w:after="0"/>
              <w:rPr>
                <w:rFonts w:ascii="Corbel" w:hAnsi="Corbel" w:cstheme="minorHAnsi"/>
                <w:sz w:val="8"/>
                <w:szCs w:val="8"/>
                <w:lang w:val="en-US"/>
              </w:rPr>
            </w:pPr>
          </w:p>
        </w:tc>
        <w:tc>
          <w:tcPr>
            <w:tcW w:w="992" w:type="dxa"/>
            <w:shd w:val="clear" w:color="auto" w:fill="D9D9D9" w:themeFill="background1" w:themeFillShade="D9"/>
            <w:noWrap/>
          </w:tcPr>
          <w:p w14:paraId="0ACAF1A4" w14:textId="77777777" w:rsidR="00D94E4D" w:rsidRPr="00AB0BAD" w:rsidRDefault="00D94E4D" w:rsidP="00D94E4D">
            <w:pPr>
              <w:spacing w:after="0"/>
              <w:rPr>
                <w:rFonts w:ascii="Corbel" w:hAnsi="Corbel" w:cstheme="minorHAnsi"/>
                <w:sz w:val="8"/>
                <w:szCs w:val="8"/>
                <w:lang w:val="en-US"/>
              </w:rPr>
            </w:pPr>
          </w:p>
        </w:tc>
        <w:tc>
          <w:tcPr>
            <w:tcW w:w="567" w:type="dxa"/>
            <w:shd w:val="clear" w:color="auto" w:fill="D9D9D9" w:themeFill="background1" w:themeFillShade="D9"/>
          </w:tcPr>
          <w:p w14:paraId="26A4D1F5" w14:textId="77777777" w:rsidR="00D94E4D" w:rsidRPr="005403DD" w:rsidRDefault="00D94E4D" w:rsidP="00D94E4D">
            <w:pPr>
              <w:spacing w:after="0"/>
              <w:rPr>
                <w:rFonts w:ascii="Corbel" w:hAnsi="Corbel" w:cstheme="minorHAnsi"/>
                <w:sz w:val="8"/>
                <w:szCs w:val="8"/>
                <w:lang w:val="en-US"/>
              </w:rPr>
            </w:pPr>
          </w:p>
        </w:tc>
        <w:tc>
          <w:tcPr>
            <w:tcW w:w="2693" w:type="dxa"/>
            <w:shd w:val="clear" w:color="auto" w:fill="D9D9D9" w:themeFill="background1" w:themeFillShade="D9"/>
          </w:tcPr>
          <w:p w14:paraId="1C177262" w14:textId="77777777" w:rsidR="00D94E4D" w:rsidRPr="005403DD" w:rsidRDefault="00D94E4D" w:rsidP="00D94E4D">
            <w:pPr>
              <w:spacing w:after="0"/>
              <w:jc w:val="center"/>
              <w:rPr>
                <w:rFonts w:ascii="Corbel" w:hAnsi="Corbel" w:cstheme="minorHAnsi"/>
                <w:sz w:val="8"/>
                <w:szCs w:val="8"/>
                <w:lang w:val="en-US"/>
              </w:rPr>
            </w:pPr>
          </w:p>
        </w:tc>
      </w:tr>
      <w:tr w:rsidR="00D94E4D" w:rsidRPr="005403DD" w14:paraId="40F9E4C3" w14:textId="77777777" w:rsidTr="00C04DFB">
        <w:trPr>
          <w:trHeight w:val="300"/>
        </w:trPr>
        <w:tc>
          <w:tcPr>
            <w:tcW w:w="510" w:type="dxa"/>
            <w:shd w:val="clear" w:color="auto" w:fill="auto"/>
          </w:tcPr>
          <w:p w14:paraId="70418A3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lastRenderedPageBreak/>
              <w:t>13</w:t>
            </w:r>
          </w:p>
        </w:tc>
        <w:tc>
          <w:tcPr>
            <w:tcW w:w="4195" w:type="dxa"/>
            <w:tcBorders>
              <w:right w:val="single" w:sz="4" w:space="0" w:color="auto"/>
            </w:tcBorders>
            <w:shd w:val="clear" w:color="auto" w:fill="auto"/>
          </w:tcPr>
          <w:p w14:paraId="1D5F81CC"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13.1 Strengthen resilience and adaptive capacity to climate-related hazards and natural disasters in all countries</w:t>
            </w:r>
          </w:p>
        </w:tc>
        <w:tc>
          <w:tcPr>
            <w:tcW w:w="397" w:type="dxa"/>
            <w:tcBorders>
              <w:left w:val="single" w:sz="4" w:space="0" w:color="auto"/>
              <w:right w:val="single" w:sz="4" w:space="0" w:color="auto"/>
            </w:tcBorders>
            <w:shd w:val="clear" w:color="auto" w:fill="auto"/>
          </w:tcPr>
          <w:p w14:paraId="74033CA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auto"/>
            <w:noWrap/>
            <w:hideMark/>
          </w:tcPr>
          <w:p w14:paraId="3B3AF929"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13.1.2a</w:t>
            </w:r>
          </w:p>
        </w:tc>
        <w:tc>
          <w:tcPr>
            <w:tcW w:w="3862" w:type="dxa"/>
            <w:tcBorders>
              <w:right w:val="single" w:sz="4" w:space="0" w:color="auto"/>
            </w:tcBorders>
            <w:shd w:val="clear" w:color="auto" w:fill="auto"/>
            <w:noWrap/>
            <w:hideMark/>
          </w:tcPr>
          <w:p w14:paraId="607564BF"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Mortality due to disasters five-year average (% population)</w:t>
            </w:r>
          </w:p>
        </w:tc>
        <w:tc>
          <w:tcPr>
            <w:tcW w:w="1277" w:type="dxa"/>
            <w:tcBorders>
              <w:left w:val="single" w:sz="4" w:space="0" w:color="auto"/>
            </w:tcBorders>
            <w:shd w:val="clear" w:color="auto" w:fill="auto"/>
          </w:tcPr>
          <w:p w14:paraId="12A6DED6"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0.0000094</w:t>
            </w:r>
          </w:p>
        </w:tc>
        <w:tc>
          <w:tcPr>
            <w:tcW w:w="992" w:type="dxa"/>
            <w:shd w:val="clear" w:color="auto" w:fill="D9D9D9" w:themeFill="background1" w:themeFillShade="D9"/>
            <w:noWrap/>
            <w:hideMark/>
          </w:tcPr>
          <w:p w14:paraId="26BF7D5A"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0.0000047</w:t>
            </w:r>
          </w:p>
        </w:tc>
        <w:tc>
          <w:tcPr>
            <w:tcW w:w="567" w:type="dxa"/>
          </w:tcPr>
          <w:p w14:paraId="1B38B5B9"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auto"/>
          </w:tcPr>
          <w:p w14:paraId="69A02D61"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Sendai Framework DRR targets for 2030 are to ‘substantially reduce’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Nations&lt;/Author&gt;&lt;Year&gt;2015&lt;/Year&gt;&lt;RecNum&gt;1060&lt;/RecNum&gt;&lt;DisplayText&gt;(United Nations, 2015)&lt;/DisplayText&gt;&lt;record&gt;&lt;rec-number&gt;1060&lt;/rec-number&gt;&lt;foreign-keys&gt;&lt;key app="EN" db-id="9vsrvaat7fadwtesfsrpw5w5t0x5v500ef25" timestamp="1565158494"&gt;1060&lt;/key&gt;&lt;/foreign-keys&gt;&lt;ref-type name="Generic"&gt;13&lt;/ref-type&gt;&lt;contributors&gt;&lt;authors&gt;&lt;author&gt;United Nations,&lt;/author&gt;&lt;/authors&gt;&lt;/contributors&gt;&lt;titles&gt;&lt;title&gt;Sendai Framework for Disaster Risk Reduction 2015-2030&lt;/title&gt;&lt;/titles&gt;&lt;dates&gt;&lt;year&gt;2015&lt;/year&gt;&lt;/dates&gt;&lt;pub-location&gt;New York&lt;/pub-location&gt;&lt;publisher&gt;United Nations Office for Disaster Risk Reduction&lt;/publisher&gt;&lt;urls&gt;&lt;related-urls&gt;&lt;url&gt;https://www.unisdr.org/we/inform/publications/43291&lt;/url&gt;&lt;/related-urls&gt;&lt;/urls&gt;&lt;/record&gt;&lt;/Cite&gt;&lt;/EndNote&gt;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50% improvement on baseline value.</w:t>
            </w:r>
          </w:p>
        </w:tc>
      </w:tr>
      <w:tr w:rsidR="00D94E4D" w:rsidRPr="005403DD" w14:paraId="2E623573" w14:textId="77777777" w:rsidTr="00C04DFB">
        <w:trPr>
          <w:trHeight w:val="300"/>
        </w:trPr>
        <w:tc>
          <w:tcPr>
            <w:tcW w:w="510" w:type="dxa"/>
            <w:shd w:val="clear" w:color="auto" w:fill="auto"/>
          </w:tcPr>
          <w:p w14:paraId="4DC9F6B7"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580A9735"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13.1</w:t>
            </w:r>
          </w:p>
        </w:tc>
        <w:tc>
          <w:tcPr>
            <w:tcW w:w="397" w:type="dxa"/>
            <w:tcBorders>
              <w:left w:val="single" w:sz="4" w:space="0" w:color="auto"/>
              <w:right w:val="single" w:sz="4" w:space="0" w:color="auto"/>
            </w:tcBorders>
            <w:shd w:val="clear" w:color="auto" w:fill="auto"/>
          </w:tcPr>
          <w:p w14:paraId="2957A61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auto"/>
            <w:noWrap/>
            <w:hideMark/>
          </w:tcPr>
          <w:p w14:paraId="228BB865"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13.1.2b</w:t>
            </w:r>
          </w:p>
        </w:tc>
        <w:tc>
          <w:tcPr>
            <w:tcW w:w="3862" w:type="dxa"/>
            <w:tcBorders>
              <w:right w:val="single" w:sz="4" w:space="0" w:color="auto"/>
            </w:tcBorders>
            <w:shd w:val="clear" w:color="auto" w:fill="auto"/>
            <w:noWrap/>
            <w:hideMark/>
          </w:tcPr>
          <w:p w14:paraId="652DADB7"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Proportion of population affected by natural disasters five-year average (%)</w:t>
            </w:r>
          </w:p>
        </w:tc>
        <w:tc>
          <w:tcPr>
            <w:tcW w:w="1277" w:type="dxa"/>
            <w:tcBorders>
              <w:left w:val="single" w:sz="4" w:space="0" w:color="auto"/>
            </w:tcBorders>
            <w:shd w:val="clear" w:color="auto" w:fill="auto"/>
          </w:tcPr>
          <w:p w14:paraId="246E3A12"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0.039</w:t>
            </w:r>
          </w:p>
        </w:tc>
        <w:tc>
          <w:tcPr>
            <w:tcW w:w="992" w:type="dxa"/>
            <w:shd w:val="clear" w:color="auto" w:fill="D9D9D9" w:themeFill="background1" w:themeFillShade="D9"/>
            <w:noWrap/>
            <w:hideMark/>
          </w:tcPr>
          <w:p w14:paraId="33B6904B"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0.02</w:t>
            </w:r>
          </w:p>
        </w:tc>
        <w:tc>
          <w:tcPr>
            <w:tcW w:w="567" w:type="dxa"/>
          </w:tcPr>
          <w:p w14:paraId="7DCA593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Rel</w:t>
            </w:r>
          </w:p>
        </w:tc>
        <w:tc>
          <w:tcPr>
            <w:tcW w:w="2693" w:type="dxa"/>
            <w:shd w:val="clear" w:color="auto" w:fill="auto"/>
          </w:tcPr>
          <w:p w14:paraId="56CDC097"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Sendai Framework DRR targets for 2030 are to ‘substantially reduce’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Nations&lt;/Author&gt;&lt;Year&gt;2015&lt;/Year&gt;&lt;RecNum&gt;1060&lt;/RecNum&gt;&lt;DisplayText&gt;(United Nations, 2015)&lt;/DisplayText&gt;&lt;record&gt;&lt;rec-number&gt;1060&lt;/rec-number&gt;&lt;foreign-keys&gt;&lt;key app="EN" db-id="9vsrvaat7fadwtesfsrpw5w5t0x5v500ef25" timestamp="1565158494"&gt;1060&lt;/key&gt;&lt;/foreign-keys&gt;&lt;ref-type name="Generic"&gt;13&lt;/ref-type&gt;&lt;contributors&gt;&lt;authors&gt;&lt;author&gt;United Nations,&lt;/author&gt;&lt;/authors&gt;&lt;/contributors&gt;&lt;titles&gt;&lt;title&gt;Sendai Framework for Disaster Risk Reduction 2015-2030&lt;/title&gt;&lt;/titles&gt;&lt;dates&gt;&lt;year&gt;2015&lt;/year&gt;&lt;/dates&gt;&lt;pub-location&gt;New York&lt;/pub-location&gt;&lt;publisher&gt;United Nations Office for Disaster Risk Reduction&lt;/publisher&gt;&lt;urls&gt;&lt;related-urls&gt;&lt;url&gt;https://www.unisdr.org/we/inform/publications/43291&lt;/url&gt;&lt;/related-urls&gt;&lt;/urls&gt;&lt;/record&gt;&lt;/Cite&gt;&lt;/EndNote&gt;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50% improvement on baseline value.</w:t>
            </w:r>
          </w:p>
        </w:tc>
      </w:tr>
      <w:tr w:rsidR="00D94E4D" w:rsidRPr="005403DD" w14:paraId="0049FD6B" w14:textId="77777777" w:rsidTr="00C04DFB">
        <w:trPr>
          <w:trHeight w:val="300"/>
        </w:trPr>
        <w:tc>
          <w:tcPr>
            <w:tcW w:w="510" w:type="dxa"/>
            <w:shd w:val="clear" w:color="auto" w:fill="auto"/>
          </w:tcPr>
          <w:p w14:paraId="08A95964"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3D71849"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13.2 Integrate climate change measures into national policies, strategies and planning</w:t>
            </w:r>
          </w:p>
        </w:tc>
        <w:tc>
          <w:tcPr>
            <w:tcW w:w="397" w:type="dxa"/>
            <w:tcBorders>
              <w:left w:val="single" w:sz="4" w:space="0" w:color="auto"/>
              <w:right w:val="single" w:sz="4" w:space="0" w:color="auto"/>
            </w:tcBorders>
            <w:shd w:val="clear" w:color="auto" w:fill="auto"/>
          </w:tcPr>
          <w:p w14:paraId="4DCB82E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tcPr>
          <w:p w14:paraId="1368F431"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13.2.1ALT</w:t>
            </w:r>
          </w:p>
        </w:tc>
        <w:tc>
          <w:tcPr>
            <w:tcW w:w="3862" w:type="dxa"/>
            <w:tcBorders>
              <w:right w:val="single" w:sz="4" w:space="0" w:color="auto"/>
            </w:tcBorders>
            <w:shd w:val="clear" w:color="auto" w:fill="auto"/>
            <w:noWrap/>
          </w:tcPr>
          <w:p w14:paraId="3C6CB858" w14:textId="5A1AA1CD"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 xml:space="preserve">Total </w:t>
            </w:r>
            <w:r w:rsidR="00402ADD">
              <w:rPr>
                <w:rFonts w:ascii="Corbel" w:hAnsi="Corbel" w:cstheme="minorHAnsi"/>
                <w:sz w:val="16"/>
                <w:szCs w:val="16"/>
                <w:lang w:val="en-US"/>
              </w:rPr>
              <w:t xml:space="preserve">net </w:t>
            </w:r>
            <w:r w:rsidRPr="005403DD">
              <w:rPr>
                <w:rFonts w:ascii="Corbel" w:hAnsi="Corbel" w:cstheme="minorHAnsi"/>
                <w:sz w:val="16"/>
                <w:szCs w:val="16"/>
                <w:lang w:val="en-US"/>
              </w:rPr>
              <w:t>greenhouse gas emissions in CO2 equivalent (tons CO2-e)</w:t>
            </w:r>
            <w:r w:rsidR="00BB1794">
              <w:rPr>
                <w:rFonts w:ascii="Corbel" w:hAnsi="Corbel" w:cstheme="minorHAnsi"/>
                <w:sz w:val="16"/>
                <w:szCs w:val="16"/>
                <w:lang w:val="en-US"/>
              </w:rPr>
              <w:t>, including LULUCF</w:t>
            </w:r>
          </w:p>
        </w:tc>
        <w:tc>
          <w:tcPr>
            <w:tcW w:w="1277" w:type="dxa"/>
            <w:tcBorders>
              <w:left w:val="single" w:sz="4" w:space="0" w:color="auto"/>
            </w:tcBorders>
            <w:shd w:val="clear" w:color="auto" w:fill="auto"/>
          </w:tcPr>
          <w:p w14:paraId="31E8D8D1" w14:textId="01EC8DA9" w:rsidR="00D94E4D" w:rsidRPr="00AB0BAD" w:rsidRDefault="00613498" w:rsidP="00D94E4D">
            <w:pPr>
              <w:spacing w:after="0"/>
              <w:rPr>
                <w:rFonts w:ascii="Corbel" w:hAnsi="Corbel" w:cstheme="minorHAnsi"/>
                <w:sz w:val="16"/>
                <w:szCs w:val="16"/>
                <w:lang w:val="en-US"/>
              </w:rPr>
            </w:pPr>
            <w:r w:rsidRPr="00AB0BAD">
              <w:rPr>
                <w:rFonts w:ascii="Corbel" w:hAnsi="Corbel" w:cstheme="minorHAnsi"/>
                <w:sz w:val="16"/>
                <w:szCs w:val="16"/>
                <w:lang w:val="en-US"/>
              </w:rPr>
              <w:t>2,924,568</w:t>
            </w:r>
          </w:p>
        </w:tc>
        <w:tc>
          <w:tcPr>
            <w:tcW w:w="992" w:type="dxa"/>
            <w:shd w:val="clear" w:color="auto" w:fill="D9D9D9" w:themeFill="background1" w:themeFillShade="D9"/>
            <w:noWrap/>
          </w:tcPr>
          <w:p w14:paraId="4CD2A364" w14:textId="6D762796" w:rsidR="00D94E4D" w:rsidRPr="00AB0BAD" w:rsidRDefault="003E758F" w:rsidP="00D94E4D">
            <w:pPr>
              <w:spacing w:after="0"/>
              <w:rPr>
                <w:rFonts w:ascii="Corbel" w:hAnsi="Corbel" w:cstheme="minorHAnsi"/>
                <w:sz w:val="16"/>
                <w:szCs w:val="16"/>
                <w:lang w:val="en-US"/>
              </w:rPr>
            </w:pPr>
            <w:r w:rsidRPr="00AB0BAD">
              <w:rPr>
                <w:rFonts w:ascii="Corbel" w:hAnsi="Corbel" w:cstheme="minorHAnsi"/>
                <w:sz w:val="16"/>
                <w:szCs w:val="16"/>
                <w:lang w:val="en-US"/>
              </w:rPr>
              <w:t>1,754,759</w:t>
            </w:r>
          </w:p>
        </w:tc>
        <w:tc>
          <w:tcPr>
            <w:tcW w:w="567" w:type="dxa"/>
          </w:tcPr>
          <w:p w14:paraId="47D30885"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05FAC451"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as 40% reduction in GHG emissions below 2015 baseline value.  Based on Fiji’s Nationally Determined Contribution (NDC) of 30% reduction on 2013 value. </w:t>
            </w:r>
          </w:p>
        </w:tc>
      </w:tr>
      <w:tr w:rsidR="00D94E4D" w:rsidRPr="005403DD" w14:paraId="266BD374" w14:textId="77777777" w:rsidTr="00C04DFB">
        <w:trPr>
          <w:trHeight w:val="55"/>
        </w:trPr>
        <w:tc>
          <w:tcPr>
            <w:tcW w:w="510" w:type="dxa"/>
            <w:shd w:val="clear" w:color="auto" w:fill="D9D9D9" w:themeFill="background1" w:themeFillShade="D9"/>
          </w:tcPr>
          <w:p w14:paraId="318BA8DF" w14:textId="77777777" w:rsidR="00D94E4D" w:rsidRPr="005403DD" w:rsidRDefault="00D94E4D" w:rsidP="00D94E4D">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55DA32ED" w14:textId="77777777" w:rsidR="00D94E4D" w:rsidRPr="005403DD" w:rsidRDefault="00D94E4D" w:rsidP="00D94E4D">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2EE09400" w14:textId="77777777" w:rsidR="00D94E4D" w:rsidRPr="005403DD" w:rsidRDefault="00D94E4D" w:rsidP="00D94E4D">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789A9F09" w14:textId="77777777" w:rsidR="00D94E4D" w:rsidRPr="005403DD" w:rsidRDefault="00D94E4D" w:rsidP="00D94E4D">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5ED410B5" w14:textId="77777777" w:rsidR="00D94E4D" w:rsidRPr="005403DD" w:rsidRDefault="00D94E4D" w:rsidP="00D94E4D">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0891D416" w14:textId="77777777" w:rsidR="00D94E4D" w:rsidRPr="00AB0BAD" w:rsidRDefault="00D94E4D" w:rsidP="00D94E4D">
            <w:pPr>
              <w:spacing w:after="0"/>
              <w:rPr>
                <w:rFonts w:ascii="Corbel" w:hAnsi="Corbel" w:cstheme="minorHAnsi"/>
                <w:sz w:val="8"/>
                <w:szCs w:val="8"/>
                <w:lang w:val="en-US"/>
              </w:rPr>
            </w:pPr>
          </w:p>
        </w:tc>
        <w:tc>
          <w:tcPr>
            <w:tcW w:w="992" w:type="dxa"/>
            <w:shd w:val="clear" w:color="auto" w:fill="D9D9D9" w:themeFill="background1" w:themeFillShade="D9"/>
            <w:noWrap/>
          </w:tcPr>
          <w:p w14:paraId="5D820BC9" w14:textId="77777777" w:rsidR="00D94E4D" w:rsidRPr="00AB0BAD" w:rsidRDefault="00D94E4D" w:rsidP="00D94E4D">
            <w:pPr>
              <w:spacing w:after="0"/>
              <w:rPr>
                <w:rFonts w:ascii="Corbel" w:hAnsi="Corbel" w:cstheme="minorHAnsi"/>
                <w:sz w:val="8"/>
                <w:szCs w:val="8"/>
                <w:lang w:val="en-US"/>
              </w:rPr>
            </w:pPr>
          </w:p>
        </w:tc>
        <w:tc>
          <w:tcPr>
            <w:tcW w:w="567" w:type="dxa"/>
            <w:shd w:val="clear" w:color="auto" w:fill="D9D9D9" w:themeFill="background1" w:themeFillShade="D9"/>
          </w:tcPr>
          <w:p w14:paraId="610AF5E9" w14:textId="77777777" w:rsidR="00D94E4D" w:rsidRPr="005403DD" w:rsidRDefault="00D94E4D" w:rsidP="00D94E4D">
            <w:pPr>
              <w:spacing w:after="0"/>
              <w:rPr>
                <w:rFonts w:ascii="Corbel" w:hAnsi="Corbel" w:cstheme="minorHAnsi"/>
                <w:sz w:val="8"/>
                <w:szCs w:val="8"/>
                <w:lang w:val="en-US"/>
              </w:rPr>
            </w:pPr>
          </w:p>
        </w:tc>
        <w:tc>
          <w:tcPr>
            <w:tcW w:w="2693" w:type="dxa"/>
            <w:shd w:val="clear" w:color="auto" w:fill="D9D9D9" w:themeFill="background1" w:themeFillShade="D9"/>
          </w:tcPr>
          <w:p w14:paraId="7C88C7F4" w14:textId="77777777" w:rsidR="00D94E4D" w:rsidRPr="005403DD" w:rsidRDefault="00D94E4D" w:rsidP="00D94E4D">
            <w:pPr>
              <w:spacing w:after="0"/>
              <w:jc w:val="center"/>
              <w:rPr>
                <w:rFonts w:ascii="Corbel" w:hAnsi="Corbel" w:cstheme="minorHAnsi"/>
                <w:sz w:val="8"/>
                <w:szCs w:val="8"/>
                <w:lang w:val="en-US"/>
              </w:rPr>
            </w:pPr>
          </w:p>
        </w:tc>
      </w:tr>
      <w:tr w:rsidR="00D94E4D" w:rsidRPr="005403DD" w14:paraId="2D645C9A" w14:textId="77777777" w:rsidTr="00C04DFB">
        <w:trPr>
          <w:trHeight w:val="300"/>
        </w:trPr>
        <w:tc>
          <w:tcPr>
            <w:tcW w:w="510" w:type="dxa"/>
            <w:shd w:val="clear" w:color="auto" w:fill="auto"/>
          </w:tcPr>
          <w:p w14:paraId="119BCDB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14</w:t>
            </w:r>
          </w:p>
        </w:tc>
        <w:tc>
          <w:tcPr>
            <w:tcW w:w="4195" w:type="dxa"/>
            <w:tcBorders>
              <w:right w:val="single" w:sz="4" w:space="0" w:color="auto"/>
            </w:tcBorders>
            <w:shd w:val="clear" w:color="auto" w:fill="auto"/>
          </w:tcPr>
          <w:p w14:paraId="212F2D9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14.4 By 2020, effectively regulate harvesting and end overfishing, illegal, unreported and unregulated fishing and destructive fishing practices and implement science-based management plans, in order to restore fish stocks in the shortest time feasible, at least to levels that can produce maximum sustainable yield as determined by their biological characteristics</w:t>
            </w:r>
          </w:p>
        </w:tc>
        <w:tc>
          <w:tcPr>
            <w:tcW w:w="397" w:type="dxa"/>
            <w:tcBorders>
              <w:left w:val="single" w:sz="4" w:space="0" w:color="auto"/>
              <w:right w:val="single" w:sz="4" w:space="0" w:color="auto"/>
            </w:tcBorders>
            <w:shd w:val="clear" w:color="auto" w:fill="auto"/>
          </w:tcPr>
          <w:p w14:paraId="29F49A00"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27C4C8EB"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14.4.1</w:t>
            </w:r>
          </w:p>
        </w:tc>
        <w:tc>
          <w:tcPr>
            <w:tcW w:w="3862" w:type="dxa"/>
            <w:tcBorders>
              <w:right w:val="single" w:sz="4" w:space="0" w:color="auto"/>
            </w:tcBorders>
            <w:shd w:val="clear" w:color="auto" w:fill="auto"/>
            <w:noWrap/>
            <w:hideMark/>
          </w:tcPr>
          <w:p w14:paraId="435CADD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Proportion of fish stocks sustainably exploited (%)</w:t>
            </w:r>
          </w:p>
          <w:p w14:paraId="558531F2" w14:textId="77777777" w:rsidR="00D94E4D" w:rsidRPr="005403DD" w:rsidRDefault="00D94E4D" w:rsidP="00D94E4D">
            <w:pPr>
              <w:spacing w:after="0"/>
              <w:rPr>
                <w:rFonts w:ascii="Corbel" w:hAnsi="Corbel" w:cstheme="minorHAnsi"/>
                <w:sz w:val="16"/>
                <w:szCs w:val="16"/>
                <w:lang w:val="en-US"/>
              </w:rPr>
            </w:pPr>
          </w:p>
          <w:p w14:paraId="71D9F6E4" w14:textId="586CE63A" w:rsidR="00D94E4D" w:rsidRPr="005403DD" w:rsidRDefault="00D94E4D" w:rsidP="00D94E4D">
            <w:pPr>
              <w:spacing w:after="0"/>
              <w:rPr>
                <w:rFonts w:ascii="Corbel" w:hAnsi="Corbel" w:cstheme="minorHAnsi"/>
                <w:sz w:val="16"/>
                <w:szCs w:val="16"/>
                <w:lang w:val="en-US"/>
              </w:rPr>
            </w:pPr>
          </w:p>
        </w:tc>
        <w:tc>
          <w:tcPr>
            <w:tcW w:w="1277" w:type="dxa"/>
            <w:tcBorders>
              <w:left w:val="single" w:sz="4" w:space="0" w:color="auto"/>
            </w:tcBorders>
            <w:shd w:val="clear" w:color="auto" w:fill="auto"/>
          </w:tcPr>
          <w:p w14:paraId="51E16AD5" w14:textId="2D8BEA35"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0.5</w:t>
            </w:r>
            <w:r w:rsidR="002A433E" w:rsidRPr="00AB0BAD">
              <w:rPr>
                <w:rFonts w:ascii="Corbel" w:hAnsi="Corbel" w:cstheme="minorHAnsi"/>
                <w:sz w:val="16"/>
                <w:szCs w:val="16"/>
                <w:lang w:val="en-US"/>
              </w:rPr>
              <w:t>9</w:t>
            </w:r>
          </w:p>
        </w:tc>
        <w:tc>
          <w:tcPr>
            <w:tcW w:w="992" w:type="dxa"/>
            <w:shd w:val="clear" w:color="auto" w:fill="D9D9D9" w:themeFill="background1" w:themeFillShade="D9"/>
            <w:noWrap/>
            <w:hideMark/>
          </w:tcPr>
          <w:p w14:paraId="4FCC5DB2"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0.75</w:t>
            </w:r>
          </w:p>
        </w:tc>
        <w:tc>
          <w:tcPr>
            <w:tcW w:w="567" w:type="dxa"/>
          </w:tcPr>
          <w:p w14:paraId="6E335A37"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auto"/>
          </w:tcPr>
          <w:p w14:paraId="4318E70B" w14:textId="67E1471B"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as restore to </w:t>
            </w:r>
            <w:r w:rsidR="008F1C48">
              <w:rPr>
                <w:rFonts w:ascii="Corbel" w:hAnsi="Corbel" w:cstheme="minorHAnsi"/>
                <w:sz w:val="16"/>
                <w:szCs w:val="16"/>
                <w:lang w:val="en-US"/>
              </w:rPr>
              <w:t>75</w:t>
            </w:r>
            <w:r w:rsidRPr="005403DD">
              <w:rPr>
                <w:rFonts w:ascii="Corbel" w:hAnsi="Corbel" w:cstheme="minorHAnsi"/>
                <w:sz w:val="16"/>
                <w:szCs w:val="16"/>
                <w:lang w:val="en-US"/>
              </w:rPr>
              <w:t xml:space="preserve">%; calibrated from timeseries data (max= 0.73)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&lt;EndNote&gt;&lt;Cite&gt;&lt;Author&gt;Kleisner&lt;/Author&gt;&lt;Year&gt;2015&lt;/Year&gt;&lt;RecNum&gt;1085&lt;/RecNum&gt;&lt;DisplayText&gt;(Kleisner et al., 2015, Pauly and Zeller, 2015)&lt;/DisplayText&gt;&lt;record&gt;&lt;rec-number&gt;1085&lt;/rec-number&gt;&lt;foreign-keys&gt;&lt;key app="EN" db-id="9vsrvaat7fadwtesfsrpw5w5t0x5v500ef25" timestamp="1565229431"&gt;1085&lt;/key&gt;&lt;/foreign-keys&gt;&lt;ref-type name="Generic"&gt;13&lt;/ref-type&gt;&lt;contributors&gt;&lt;authors&gt;&lt;author&gt;Kleisner, K&lt;/author&gt;&lt;author&gt;Brennan, C&lt;/author&gt;&lt;author&gt;Garland, A&lt;/author&gt;&lt;author&gt;Lingard, S&lt;/author&gt;&lt;author&gt;Tracey, S&lt;/author&gt;&lt;author&gt;Sahlqvist, P&lt;/author&gt;&lt;author&gt;Tsolos, A&lt;/author&gt;&lt;author&gt;Pauly, D&lt;/author&gt;&lt;author&gt;Zeller, D&lt;/author&gt;&lt;/authors&gt;&lt;/contributors&gt;&lt;titles&gt;&lt;title&gt;Australia: Reconstructing estimates of total fisheries removal, 1950-2010&lt;/title&gt;&lt;/titles&gt;&lt;dates&gt;&lt;year&gt;2015&lt;/year&gt;&lt;/dates&gt;&lt;pub-location&gt;British Columbia&lt;/pub-location&gt;&lt;publisher&gt;University of British Columbia&lt;/publisher&gt;&lt;urls&gt;&lt;related-urls&gt;&lt;url&gt;http://www.seaaroundus.org/data/#/eez/36?chart=catch-chart&amp;amp;dimension=taxon&amp;amp;measure=tonnage&amp;amp;limit=10&lt;/url&gt;&lt;/related-urls&gt;&lt;/urls&gt;&lt;/record&gt;&lt;/Cite&gt;&lt;Cite&gt;&lt;Author&gt;Pauly&lt;/Author&gt;&lt;Year&gt;2015&lt;/Year&gt;&lt;RecNum&gt;1084&lt;/RecNum&gt;&lt;record&gt;&lt;rec-number&gt;1084&lt;/rec-number&gt;&lt;foreign-keys&gt;&lt;key app="EN" db-id="9vsrvaat7fadwtesfsrpw5w5t0x5v500ef25" timestamp="1565229170"&gt;1084&lt;/key&gt;&lt;/foreign-keys&gt;&lt;ref-type name="Dataset"&gt;59&lt;/ref-type&gt;&lt;contributors&gt;&lt;authors&gt;&lt;author&gt;Pauly, D&lt;/author&gt;&lt;author&gt;Zeller, D&lt;/author&gt;&lt;/authors&gt;&lt;/contributors&gt;&lt;titles&gt;&lt;title&gt;Seas Around Us Concepts, Design and Data&lt;/title&gt;&lt;/titles&gt;&lt;dates&gt;&lt;year&gt;2015&lt;/year&gt;&lt;/dates&gt;&lt;pub-location&gt;British Columbia&lt;/pub-location&gt;&lt;publisher&gt;University of British Columbia&lt;/publisher&gt;&lt;urls&gt;&lt;related-urls&gt;&lt;url&gt;http://www.seaaroundus.org&lt;/url&gt;&lt;/related-urls&gt;&lt;/urls&gt;&lt;access-date&gt;11/11/17&lt;/access-date&gt;&lt;/record&gt;&lt;/Cite&gt;&lt;/EndNote&gt;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(Kleisner et al., 2015, Pauly and Zeller, 2015)</w:t>
            </w:r>
            <w:r w:rsidRPr="005403DD">
              <w:rPr>
                <w:rFonts w:ascii="Corbel" w:hAnsi="Corbel" w:cstheme="minorHAnsi"/>
                <w:sz w:val="16"/>
                <w:szCs w:val="16"/>
                <w:lang w:val="en-US"/>
              </w:rPr>
              <w:fldChar w:fldCharType="end"/>
            </w:r>
          </w:p>
        </w:tc>
      </w:tr>
      <w:tr w:rsidR="00D94E4D" w:rsidRPr="005403DD" w14:paraId="60DBCB8A" w14:textId="77777777" w:rsidTr="00C04DFB">
        <w:trPr>
          <w:trHeight w:val="300"/>
        </w:trPr>
        <w:tc>
          <w:tcPr>
            <w:tcW w:w="510" w:type="dxa"/>
            <w:shd w:val="clear" w:color="auto" w:fill="auto"/>
          </w:tcPr>
          <w:p w14:paraId="7E413DFC"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27F3D5AC"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14.5 By 2020, conserve at least 10 per cent of coastal and marine areas, consistent with national and international law and based on the best available scientific information</w:t>
            </w:r>
          </w:p>
        </w:tc>
        <w:tc>
          <w:tcPr>
            <w:tcW w:w="397" w:type="dxa"/>
            <w:tcBorders>
              <w:left w:val="single" w:sz="4" w:space="0" w:color="auto"/>
              <w:right w:val="single" w:sz="4" w:space="0" w:color="auto"/>
            </w:tcBorders>
            <w:shd w:val="clear" w:color="auto" w:fill="auto"/>
          </w:tcPr>
          <w:p w14:paraId="5058FB5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00AEA92D"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14.5.1</w:t>
            </w:r>
          </w:p>
        </w:tc>
        <w:tc>
          <w:tcPr>
            <w:tcW w:w="3862" w:type="dxa"/>
            <w:tcBorders>
              <w:right w:val="single" w:sz="4" w:space="0" w:color="auto"/>
            </w:tcBorders>
            <w:shd w:val="clear" w:color="auto" w:fill="auto"/>
            <w:noWrap/>
            <w:hideMark/>
          </w:tcPr>
          <w:p w14:paraId="479CC6CA"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Proportion of territorial waters protected (%)</w:t>
            </w:r>
          </w:p>
        </w:tc>
        <w:tc>
          <w:tcPr>
            <w:tcW w:w="1277" w:type="dxa"/>
            <w:tcBorders>
              <w:left w:val="single" w:sz="4" w:space="0" w:color="auto"/>
            </w:tcBorders>
            <w:shd w:val="clear" w:color="auto" w:fill="auto"/>
          </w:tcPr>
          <w:p w14:paraId="64830A00" w14:textId="59ED129C"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w:t>
            </w:r>
            <w:r w:rsidR="007151EA" w:rsidRPr="00AB0BAD">
              <w:rPr>
                <w:rFonts w:ascii="Corbel" w:hAnsi="Corbel" w:cstheme="minorHAnsi"/>
                <w:sz w:val="16"/>
                <w:szCs w:val="16"/>
                <w:lang w:val="en-US"/>
              </w:rPr>
              <w:t>54</w:t>
            </w:r>
          </w:p>
        </w:tc>
        <w:tc>
          <w:tcPr>
            <w:tcW w:w="992" w:type="dxa"/>
            <w:shd w:val="clear" w:color="auto" w:fill="D9D9D9" w:themeFill="background1" w:themeFillShade="D9"/>
            <w:noWrap/>
            <w:hideMark/>
          </w:tcPr>
          <w:p w14:paraId="12238668" w14:textId="2A60AD0B"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w:t>
            </w:r>
            <w:r w:rsidR="008E7C4C" w:rsidRPr="00AB0BAD">
              <w:rPr>
                <w:rFonts w:ascii="Corbel" w:hAnsi="Corbel" w:cstheme="minorHAnsi"/>
                <w:sz w:val="16"/>
                <w:szCs w:val="16"/>
                <w:lang w:val="en-US"/>
              </w:rPr>
              <w:t>5</w:t>
            </w:r>
          </w:p>
        </w:tc>
        <w:tc>
          <w:tcPr>
            <w:tcW w:w="567" w:type="dxa"/>
          </w:tcPr>
          <w:p w14:paraId="77E8068A"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auto"/>
          </w:tcPr>
          <w:p w14:paraId="1B4FD645" w14:textId="0838BDEB"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of 10% </w:t>
            </w:r>
            <w:r w:rsidRPr="005403DD">
              <w:rPr>
                <w:rFonts w:ascii="Corbel" w:hAnsi="Corbel" w:cstheme="minorHAnsi"/>
                <w:sz w:val="16"/>
                <w:szCs w:val="16"/>
                <w:lang w:val="en-US"/>
              </w:rPr>
              <w:fldChar w:fldCharType="begin"/>
            </w:r>
            <w:r w:rsidR="001B7104">
              <w:rPr>
                <w:rFonts w:ascii="Corbel" w:hAnsi="Corbel" w:cstheme="minorHAnsi"/>
                <w:sz w:val="16"/>
                <w:szCs w:val="16"/>
                <w:lang w:val="en-US"/>
              </w:rPr>
              <w:instrText xml:space="preserve"> ADDIN EN.CITE &lt;EndNote&gt;&lt;Cite&gt;&lt;Author&gt;United Nations General Assembly&lt;/Author&gt;&lt;Year&gt;2015&lt;/Year&gt;&lt;RecNum&gt;92&lt;/RecNum&gt;&lt;DisplayText&gt;(United Nations General Assembly, 2015)&lt;/DisplayText&gt;&lt;record&gt;&lt;rec-number&gt;92&lt;/rec-number&gt;&lt;foreign-keys&gt;&lt;key app="EN" db-id="9vsrvaat7fadwtesfsrpw5w5t0x5v500ef25" timestamp="1445701578"&gt;92&lt;/key&gt;&lt;/foreign-keys&gt;&lt;ref-type name="Generic"&gt;13&lt;/ref-type&gt;&lt;contributors&gt;&lt;authors&gt;&lt;author&gt;United Nations General Assembly,&lt;/author&gt;&lt;/authors&gt;&lt;/contributors&gt;&lt;titles&gt;&lt;title&gt;Transforming our world: the 2030 Agenda for Sustainable Development, outcome document of the United Nations summit for the adoption of the post-2015 agenda&lt;/title&gt;&lt;secondary-title&gt;RES/A/70/L.1.&lt;/secondary-title&gt;&lt;/titles&gt;&lt;dates&gt;&lt;year&gt;2015&lt;/year&gt;&lt;/dates&gt;&lt;pub-location&gt;New York&lt;/pub-location&gt;&lt;publisher&gt;United Nations&lt;/publisher&gt;&lt;urls&gt;&lt;/urls&gt;&lt;/record&gt;&lt;/Cite&gt;&lt;/EndNote&gt;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General Assembly,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Fiji’s NDP target is 3</w:t>
            </w:r>
            <w:r w:rsidR="003A2DCA">
              <w:rPr>
                <w:rFonts w:ascii="Corbel" w:hAnsi="Corbel" w:cstheme="minorHAnsi"/>
                <w:sz w:val="16"/>
                <w:szCs w:val="16"/>
                <w:lang w:val="en-US"/>
              </w:rPr>
              <w:t>5</w:t>
            </w:r>
            <w:r w:rsidRPr="005403DD">
              <w:rPr>
                <w:rFonts w:ascii="Corbel" w:hAnsi="Corbel" w:cstheme="minorHAnsi"/>
                <w:sz w:val="16"/>
                <w:szCs w:val="16"/>
                <w:lang w:val="en-US"/>
              </w:rPr>
              <w:t xml:space="preserve">% by 2021 – adopted as </w:t>
            </w:r>
            <w:r w:rsidR="00FB2788">
              <w:rPr>
                <w:rFonts w:ascii="Corbel" w:hAnsi="Corbel" w:cstheme="minorHAnsi"/>
                <w:sz w:val="16"/>
                <w:szCs w:val="16"/>
                <w:lang w:val="en-US"/>
              </w:rPr>
              <w:t>5</w:t>
            </w:r>
            <w:r w:rsidR="004D40A2">
              <w:rPr>
                <w:rFonts w:ascii="Corbel" w:hAnsi="Corbel" w:cstheme="minorHAnsi"/>
                <w:sz w:val="16"/>
                <w:szCs w:val="16"/>
                <w:lang w:val="en-US"/>
              </w:rPr>
              <w:t>5</w:t>
            </w:r>
            <w:r w:rsidR="0075056E">
              <w:rPr>
                <w:rFonts w:ascii="Corbel" w:hAnsi="Corbel" w:cstheme="minorHAnsi"/>
                <w:sz w:val="16"/>
                <w:szCs w:val="16"/>
                <w:lang w:val="en-US"/>
              </w:rPr>
              <w:t xml:space="preserve">% as </w:t>
            </w:r>
            <w:r w:rsidRPr="005403DD">
              <w:rPr>
                <w:rFonts w:ascii="Corbel" w:hAnsi="Corbel" w:cstheme="minorHAnsi"/>
                <w:sz w:val="16"/>
                <w:szCs w:val="16"/>
                <w:lang w:val="en-US"/>
              </w:rPr>
              <w:t xml:space="preserve">target for 2030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&lt;EndNote&gt;&lt;Cite&gt;&lt;Author&gt;Nations&lt;/Author&gt;&lt;Year&gt;2018&lt;/Year&gt;&lt;RecNum&gt;1086&lt;/RecNum&gt;&lt;DisplayText&gt;(United Nations, 2018, IUCN and UNEP-WCMC, 2017)&lt;/DisplayText&gt;&lt;record&gt;&lt;rec-number&gt;1086&lt;/rec-number&gt;&lt;foreign-keys&gt;&lt;key app="EN" db-id="9vsrvaat7fadwtesfsrpw5w5t0x5v500ef25" timestamp="1565230333"&gt;1086&lt;/key&gt;&lt;/foreign-keys&gt;&lt;ref-type name="Online Database"&gt;45&lt;/ref-type&gt;&lt;contributors&gt;&lt;authors&gt;&lt;author&gt;United Nations,&lt;/author&gt;&lt;/authors&gt;&lt;/contributors&gt;&lt;titles&gt;&lt;title&gt;United Nations Global SDG Database&lt;/title&gt;&lt;/titles&gt;&lt;dates&gt;&lt;year&gt;2018&lt;/year&gt;&lt;pub-dates&gt;&lt;date&gt;04/03/18&lt;/date&gt;&lt;/pub-dates&gt;&lt;/dates&gt;&lt;pub-location&gt;New York&lt;/pub-location&gt;&lt;publisher&gt;United Nations&lt;/publisher&gt;&lt;urls&gt;&lt;related-urls&gt;&lt;url&gt;https://unstats.un.org/sdgs/indicators/database/&lt;/url&gt;&lt;/related-urls&gt;&lt;/urls&gt;&lt;/record&gt;&lt;/Cite&gt;&lt;Cite&gt;&lt;Author&gt;IUCN&lt;/Author&gt;&lt;Year&gt;2017&lt;/Year&gt;&lt;RecNum&gt;1087&lt;/RecNum&gt;&lt;record&gt;&lt;rec-number&gt;1087&lt;/rec-number&gt;&lt;foreign-keys&gt;&lt;key app="EN" db-id="9vsrvaat7fadwtesfsrpw5w5t0x5v500ef25" timestamp="1565230490"&gt;1087&lt;/key&gt;&lt;/foreign-keys&gt;&lt;ref-type name="Dataset"&gt;59&lt;/ref-type&gt;&lt;contributors&gt;&lt;authors&gt;&lt;author&gt;IUCN,&lt;/author&gt;&lt;author&gt;UNEP-WCMC,&lt;/author&gt;&lt;/authors&gt;&lt;/contributors&gt;&lt;titles&gt;&lt;title&gt;World Database on Protected Areas&lt;/title&gt;&lt;/titles&gt;&lt;dates&gt;&lt;year&gt;2017&lt;/year&gt;&lt;/dates&gt;&lt;publisher&gt;International Union for the Conservation of Nature and United Nations Environment Programme World Conservation Monitoring Centre&lt;/publisher&gt;&lt;urls&gt;&lt;related-urls&gt;&lt;url&gt;https://www.iucn.org/theme/protected-areas/our-work/world-database-protected-areas&lt;/url&gt;&lt;/related-urls&gt;&lt;/urls&gt;&lt;access-date&gt;12/12/17&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2018, IUCN and UNEP-WCMC, 2017)</w:t>
            </w:r>
            <w:r w:rsidRPr="005403DD">
              <w:rPr>
                <w:rFonts w:ascii="Corbel" w:hAnsi="Corbel" w:cstheme="minorHAnsi"/>
                <w:sz w:val="16"/>
                <w:szCs w:val="16"/>
                <w:lang w:val="en-US"/>
              </w:rPr>
              <w:fldChar w:fldCharType="end"/>
            </w:r>
          </w:p>
        </w:tc>
      </w:tr>
      <w:tr w:rsidR="00D94E4D" w:rsidRPr="005403DD" w14:paraId="10C21218" w14:textId="77777777" w:rsidTr="00C04DFB">
        <w:trPr>
          <w:trHeight w:val="54"/>
        </w:trPr>
        <w:tc>
          <w:tcPr>
            <w:tcW w:w="510" w:type="dxa"/>
            <w:shd w:val="clear" w:color="auto" w:fill="D9D9D9" w:themeFill="background1" w:themeFillShade="D9"/>
          </w:tcPr>
          <w:p w14:paraId="6B1C48FE" w14:textId="77777777" w:rsidR="00D94E4D" w:rsidRPr="005403DD" w:rsidRDefault="00D94E4D" w:rsidP="00D94E4D">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37292CA3" w14:textId="77777777" w:rsidR="00D94E4D" w:rsidRPr="005403DD" w:rsidRDefault="00D94E4D" w:rsidP="00D94E4D">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41A24680" w14:textId="77777777" w:rsidR="00D94E4D" w:rsidRPr="005403DD" w:rsidRDefault="00D94E4D" w:rsidP="00D94E4D">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09777BD0" w14:textId="77777777" w:rsidR="00D94E4D" w:rsidRPr="005403DD" w:rsidRDefault="00D94E4D" w:rsidP="00D94E4D">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47D58FD6" w14:textId="77777777" w:rsidR="00D94E4D" w:rsidRPr="005403DD" w:rsidRDefault="00D94E4D" w:rsidP="00D94E4D">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66FBE433" w14:textId="77777777" w:rsidR="00D94E4D" w:rsidRPr="00AB0BAD" w:rsidRDefault="00D94E4D" w:rsidP="00D94E4D">
            <w:pPr>
              <w:spacing w:after="0"/>
              <w:rPr>
                <w:rFonts w:ascii="Corbel" w:hAnsi="Corbel" w:cstheme="minorHAnsi"/>
                <w:sz w:val="8"/>
                <w:szCs w:val="8"/>
                <w:lang w:val="en-US"/>
              </w:rPr>
            </w:pPr>
          </w:p>
        </w:tc>
        <w:tc>
          <w:tcPr>
            <w:tcW w:w="992" w:type="dxa"/>
            <w:shd w:val="clear" w:color="auto" w:fill="D9D9D9" w:themeFill="background1" w:themeFillShade="D9"/>
            <w:noWrap/>
          </w:tcPr>
          <w:p w14:paraId="686E6219" w14:textId="77777777" w:rsidR="00D94E4D" w:rsidRPr="00AB0BAD" w:rsidRDefault="00D94E4D" w:rsidP="00D94E4D">
            <w:pPr>
              <w:spacing w:after="0"/>
              <w:rPr>
                <w:rFonts w:ascii="Corbel" w:hAnsi="Corbel" w:cstheme="minorHAnsi"/>
                <w:sz w:val="8"/>
                <w:szCs w:val="8"/>
                <w:lang w:val="en-US"/>
              </w:rPr>
            </w:pPr>
          </w:p>
        </w:tc>
        <w:tc>
          <w:tcPr>
            <w:tcW w:w="567" w:type="dxa"/>
            <w:shd w:val="clear" w:color="auto" w:fill="D9D9D9" w:themeFill="background1" w:themeFillShade="D9"/>
          </w:tcPr>
          <w:p w14:paraId="6DB656A9" w14:textId="77777777" w:rsidR="00D94E4D" w:rsidRPr="005403DD" w:rsidRDefault="00D94E4D" w:rsidP="00D94E4D">
            <w:pPr>
              <w:spacing w:after="0"/>
              <w:rPr>
                <w:rFonts w:ascii="Corbel" w:hAnsi="Corbel" w:cstheme="minorHAnsi"/>
                <w:sz w:val="8"/>
                <w:szCs w:val="8"/>
                <w:lang w:val="en-US"/>
              </w:rPr>
            </w:pPr>
          </w:p>
        </w:tc>
        <w:tc>
          <w:tcPr>
            <w:tcW w:w="2693" w:type="dxa"/>
            <w:shd w:val="clear" w:color="auto" w:fill="D9D9D9" w:themeFill="background1" w:themeFillShade="D9"/>
          </w:tcPr>
          <w:p w14:paraId="07277BB9" w14:textId="77777777" w:rsidR="00D94E4D" w:rsidRPr="005403DD" w:rsidRDefault="00D94E4D" w:rsidP="00D94E4D">
            <w:pPr>
              <w:spacing w:after="0"/>
              <w:jc w:val="center"/>
              <w:rPr>
                <w:rFonts w:ascii="Corbel" w:hAnsi="Corbel" w:cstheme="minorHAnsi"/>
                <w:sz w:val="8"/>
                <w:szCs w:val="8"/>
                <w:lang w:val="en-US"/>
              </w:rPr>
            </w:pPr>
          </w:p>
        </w:tc>
      </w:tr>
      <w:tr w:rsidR="00D94E4D" w:rsidRPr="005403DD" w14:paraId="3E9FAFB0" w14:textId="77777777" w:rsidTr="00C04DFB">
        <w:trPr>
          <w:trHeight w:val="300"/>
        </w:trPr>
        <w:tc>
          <w:tcPr>
            <w:tcW w:w="510" w:type="dxa"/>
            <w:shd w:val="clear" w:color="auto" w:fill="auto"/>
          </w:tcPr>
          <w:p w14:paraId="003CEACE"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15</w:t>
            </w:r>
          </w:p>
        </w:tc>
        <w:tc>
          <w:tcPr>
            <w:tcW w:w="4195" w:type="dxa"/>
            <w:tcBorders>
              <w:right w:val="single" w:sz="4" w:space="0" w:color="auto"/>
            </w:tcBorders>
            <w:shd w:val="clear" w:color="auto" w:fill="auto"/>
          </w:tcPr>
          <w:p w14:paraId="3C088A4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15.1 By 2020, ensure the conservation, restoration and sustainable use of terrestrial and inland freshwater ecosystems and their services, in particular forests, wetlands, mountains and drylands, in line with obligations under international agreements</w:t>
            </w:r>
          </w:p>
        </w:tc>
        <w:tc>
          <w:tcPr>
            <w:tcW w:w="397" w:type="dxa"/>
            <w:tcBorders>
              <w:left w:val="single" w:sz="4" w:space="0" w:color="auto"/>
              <w:right w:val="single" w:sz="4" w:space="0" w:color="auto"/>
            </w:tcBorders>
            <w:shd w:val="clear" w:color="auto" w:fill="auto"/>
          </w:tcPr>
          <w:p w14:paraId="2EAD6411"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4CE4B0B9"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15.1.1</w:t>
            </w:r>
          </w:p>
        </w:tc>
        <w:tc>
          <w:tcPr>
            <w:tcW w:w="3862" w:type="dxa"/>
            <w:tcBorders>
              <w:right w:val="single" w:sz="4" w:space="0" w:color="auto"/>
            </w:tcBorders>
            <w:shd w:val="clear" w:color="auto" w:fill="auto"/>
            <w:noWrap/>
            <w:hideMark/>
          </w:tcPr>
          <w:p w14:paraId="7C5C8D2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Forest cover (as proportion of total land area) (%)</w:t>
            </w:r>
          </w:p>
        </w:tc>
        <w:tc>
          <w:tcPr>
            <w:tcW w:w="1277" w:type="dxa"/>
            <w:tcBorders>
              <w:left w:val="single" w:sz="4" w:space="0" w:color="auto"/>
            </w:tcBorders>
            <w:shd w:val="clear" w:color="auto" w:fill="auto"/>
          </w:tcPr>
          <w:p w14:paraId="05A04393" w14:textId="361C5F31"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0.5</w:t>
            </w:r>
            <w:r w:rsidR="001B34AF" w:rsidRPr="00AB0BAD">
              <w:rPr>
                <w:rFonts w:ascii="Corbel" w:hAnsi="Corbel" w:cstheme="minorHAnsi"/>
                <w:sz w:val="16"/>
                <w:szCs w:val="16"/>
                <w:lang w:val="en-US"/>
              </w:rPr>
              <w:t>5</w:t>
            </w:r>
          </w:p>
        </w:tc>
        <w:tc>
          <w:tcPr>
            <w:tcW w:w="992" w:type="dxa"/>
            <w:shd w:val="clear" w:color="auto" w:fill="D9D9D9" w:themeFill="background1" w:themeFillShade="D9"/>
            <w:noWrap/>
            <w:hideMark/>
          </w:tcPr>
          <w:p w14:paraId="704D249C" w14:textId="6234A0E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w:t>
            </w:r>
            <w:r w:rsidR="009A2766" w:rsidRPr="00AB0BAD">
              <w:rPr>
                <w:rFonts w:ascii="Corbel" w:hAnsi="Corbel" w:cstheme="minorHAnsi"/>
                <w:sz w:val="16"/>
                <w:szCs w:val="16"/>
                <w:lang w:val="en-US"/>
              </w:rPr>
              <w:t>6</w:t>
            </w:r>
          </w:p>
        </w:tc>
        <w:tc>
          <w:tcPr>
            <w:tcW w:w="567" w:type="dxa"/>
          </w:tcPr>
          <w:p w14:paraId="5A82561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552D1C33"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15.1 is ensure conservation, while SDG Target 15.3 is for ‘land degradation neutrality’ or LDN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 Development Group&lt;/Author&gt;&lt;Year&gt;2015&lt;/Year&gt;&lt;RecNum&gt;387&lt;/RecNum&gt;&lt;DisplayText&gt;(United Nations Development Group, 2015)&lt;/DisplayText&gt;&lt;record&gt;&lt;rec-number&gt;387&lt;/rec-number&gt;&lt;foreign-keys&gt;&lt;key app="EN" db-id="9vsrvaat7fadwtesfsrpw5w5t0x5v500ef25" timestamp="1491782725"&gt;387&lt;/key&gt;&lt;/foreign-keys&gt;&lt;ref-type name="Report"&gt;27&lt;/ref-type&gt;&lt;contributors&gt;&lt;authors&gt;&lt;author&gt;United Nations Development Group,&lt;/author&gt;&lt;/authors&gt;&lt;tertiary-authors&gt;&lt;author&gt;United Nations Development Group&lt;/author&gt;&lt;/tertiary-authors&gt;&lt;/contributors&gt;&lt;titles&gt;&lt;title&gt;Mainstreaming the 2030 Agenda for Sustainable Development: Interim Reference Guide to UN Country Teams&lt;/title&gt;&lt;/titles&gt;&lt;dates&gt;&lt;year&gt;2015&lt;/year&gt;&lt;/dates&gt;&lt;urls&gt;&lt;/urls&gt;&lt;/record&gt;&lt;/Cite&gt;&lt;/EndNote&gt;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Development Group, 2015)</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xml:space="preserve">. UN Global Forest Goals include to ‘reverse the loss of forest cover’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Nations&lt;/Author&gt;&lt;Year&gt;2017&lt;/Year&gt;&lt;RecNum&gt;1088&lt;/RecNum&gt;&lt;DisplayText&gt;(United Nations, 2017)&lt;/DisplayText&gt;&lt;record&gt;&lt;rec-number&gt;1088&lt;/rec-number&gt;&lt;foreign-keys&gt;&lt;key app="EN" db-id="9vsrvaat7fadwtesfsrpw5w5t0x5v500ef25" timestamp="1565235535"&gt;1088&lt;/key&gt;&lt;/foreign-keys&gt;&lt;ref-type name="Generic"&gt;13&lt;/ref-type&gt;&lt;contributors&gt;&lt;authors&gt;&lt;author&gt;United Nations,&lt;/author&gt;&lt;/authors&gt;&lt;/contributors&gt;&lt;titles&gt;&lt;title&gt;United Nations Strategic Plan for Forests 2017-2030&lt;/title&gt;&lt;/titles&gt;&lt;volume&gt;E/RES/2017/4&lt;/volume&gt;&lt;dates&gt;&lt;year&gt;2017&lt;/year&gt;&lt;/dates&gt;&lt;pub-location&gt;New York&lt;/pub-location&gt;&lt;publisher&gt;United Nations&lt;/publisher&gt;&lt;urls&gt;&lt;related-urls&gt;&lt;url&gt;https://documents-dds-ny.un.org/doc/UNDOC/GEN/N17/184/62/PDF/N1718462.pdf?OpenElement&lt;/url&gt;&lt;/related-urls&gt;&lt;/urls&gt;&lt;/record&gt;&lt;/Cite&gt;&lt;/EndNote&gt;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(United Nations, 2017)</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xml:space="preserve">. UNCCD guidelines set as no net loss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&lt;EndNote&gt;&lt;Cite&gt;&lt;Author&gt;Orr&lt;/Author&gt;&lt;Year&gt;2017&lt;/Year&gt;&lt;RecNum&gt;889&lt;/RecNum&gt;&lt;DisplayText&gt;(Orr et al., 2017)&lt;/DisplayText&gt;&lt;record&gt;&lt;rec-number&gt;889&lt;/rec-number&gt;&lt;foreign-keys&gt;&lt;key app="EN" db-id="9vsrvaat7fadwtesfsrpw5w5t0x5v500ef25" timestamp="1544054265"&gt;889&lt;/key&gt;&lt;/foreign-keys&gt;&lt;ref-type name="Conference Proceedings"&gt;10&lt;/ref-type&gt;&lt;contributors&gt;&lt;authors&gt;&lt;author&gt;Orr, BJ&lt;/author&gt;&lt;author&gt;Cowie, AL&lt;/author&gt;&lt;author&gt;Castillo Sanchez, VM&lt;/author&gt;&lt;author&gt;Chasek, P&lt;/author&gt;&lt;author&gt;Crossman, ND&lt;/author&gt;&lt;author&gt;Erlewein, A&lt;/author&gt;&lt;author&gt;Louwagie, G&lt;/author&gt;&lt;author&gt;Maron, M&lt;/author&gt;&lt;author&gt;Metternicht, GI&lt;/author&gt;&lt;author&gt;Minelli, S&lt;/author&gt;&lt;/authors&gt;&lt;/contributors&gt;&lt;titles&gt;&lt;title&gt;Scientific conceptual framework for land degradation neutrality&lt;/title&gt;&lt;secondary-title&gt;Bonn, Germany: United Nations Convention to Combat Desertification (UNCCD)&lt;/secondary-title&gt;&lt;/titles&gt;&lt;pages&gt;1-98&lt;/pages&gt;&lt;dates&gt;&lt;year&gt;2017&lt;/year&gt;&lt;/dates&gt;&lt;urls&gt;&lt;/urls&gt;&lt;/record&gt;&lt;/Cite&gt;&lt;/EndNote&gt;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(Orr et al., 2017)</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Target set as 10% increase on baseline value; calibrated from timeseries data and BAU projection.</w:t>
            </w:r>
          </w:p>
        </w:tc>
      </w:tr>
      <w:tr w:rsidR="00D94E4D" w:rsidRPr="005403DD" w14:paraId="53E514D4" w14:textId="77777777" w:rsidTr="00C04DFB">
        <w:trPr>
          <w:trHeight w:val="300"/>
        </w:trPr>
        <w:tc>
          <w:tcPr>
            <w:tcW w:w="510" w:type="dxa"/>
            <w:shd w:val="clear" w:color="auto" w:fill="auto"/>
          </w:tcPr>
          <w:p w14:paraId="0F23C0A4"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9A214EA"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15.1</w:t>
            </w:r>
          </w:p>
        </w:tc>
        <w:tc>
          <w:tcPr>
            <w:tcW w:w="397" w:type="dxa"/>
            <w:tcBorders>
              <w:left w:val="single" w:sz="4" w:space="0" w:color="auto"/>
              <w:right w:val="single" w:sz="4" w:space="0" w:color="auto"/>
            </w:tcBorders>
            <w:shd w:val="clear" w:color="auto" w:fill="auto"/>
          </w:tcPr>
          <w:p w14:paraId="0A093DD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1F95F2A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15.1.2</w:t>
            </w:r>
          </w:p>
        </w:tc>
        <w:tc>
          <w:tcPr>
            <w:tcW w:w="3862" w:type="dxa"/>
            <w:tcBorders>
              <w:right w:val="single" w:sz="4" w:space="0" w:color="auto"/>
            </w:tcBorders>
            <w:shd w:val="clear" w:color="auto" w:fill="auto"/>
            <w:noWrap/>
            <w:hideMark/>
          </w:tcPr>
          <w:p w14:paraId="1825CC16" w14:textId="77777777" w:rsidR="00D94E4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Proportion of terrestrial area protected (%)</w:t>
            </w:r>
          </w:p>
          <w:p w14:paraId="63536245" w14:textId="77777777" w:rsidR="00BC477D" w:rsidRDefault="00BC477D" w:rsidP="00D94E4D">
            <w:pPr>
              <w:spacing w:after="0"/>
              <w:rPr>
                <w:rFonts w:ascii="Corbel" w:hAnsi="Corbel" w:cstheme="minorHAnsi"/>
                <w:sz w:val="16"/>
                <w:szCs w:val="16"/>
                <w:lang w:val="en-US"/>
              </w:rPr>
            </w:pPr>
          </w:p>
          <w:p w14:paraId="568A4462" w14:textId="7F8F9481" w:rsidR="00BC477D" w:rsidRPr="00BC477D" w:rsidRDefault="00BC477D" w:rsidP="00D94E4D">
            <w:pPr>
              <w:spacing w:after="0"/>
              <w:rPr>
                <w:rFonts w:ascii="Corbel" w:hAnsi="Corbel" w:cstheme="minorHAnsi"/>
                <w:color w:val="FF0000"/>
                <w:sz w:val="16"/>
                <w:szCs w:val="16"/>
                <w:lang w:val="en-US"/>
              </w:rPr>
            </w:pPr>
          </w:p>
        </w:tc>
        <w:tc>
          <w:tcPr>
            <w:tcW w:w="1277" w:type="dxa"/>
            <w:tcBorders>
              <w:left w:val="single" w:sz="4" w:space="0" w:color="auto"/>
            </w:tcBorders>
            <w:shd w:val="clear" w:color="auto" w:fill="auto"/>
          </w:tcPr>
          <w:p w14:paraId="116E5665" w14:textId="39372C3F"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lastRenderedPageBreak/>
              <w:t>0.</w:t>
            </w:r>
            <w:r w:rsidR="00700E1A" w:rsidRPr="00AB0BAD">
              <w:rPr>
                <w:rFonts w:ascii="Corbel" w:hAnsi="Corbel" w:cstheme="minorHAnsi"/>
                <w:sz w:val="16"/>
                <w:szCs w:val="16"/>
                <w:lang w:val="en-US"/>
              </w:rPr>
              <w:t>0</w:t>
            </w:r>
            <w:r w:rsidR="009016BD" w:rsidRPr="00AB0BAD">
              <w:rPr>
                <w:rFonts w:ascii="Corbel" w:hAnsi="Corbel" w:cstheme="minorHAnsi"/>
                <w:sz w:val="16"/>
                <w:szCs w:val="16"/>
                <w:lang w:val="en-US"/>
              </w:rPr>
              <w:t>5</w:t>
            </w:r>
          </w:p>
        </w:tc>
        <w:tc>
          <w:tcPr>
            <w:tcW w:w="992" w:type="dxa"/>
            <w:shd w:val="clear" w:color="auto" w:fill="D9D9D9" w:themeFill="background1" w:themeFillShade="D9"/>
            <w:noWrap/>
          </w:tcPr>
          <w:p w14:paraId="50F51EA8"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0.4</w:t>
            </w:r>
          </w:p>
        </w:tc>
        <w:tc>
          <w:tcPr>
            <w:tcW w:w="567" w:type="dxa"/>
          </w:tcPr>
          <w:p w14:paraId="66A5F52F"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auto"/>
          </w:tcPr>
          <w:p w14:paraId="07BC0A55"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Aichi target of 17% terrestrial areas protected by 2020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&lt;EndNote&gt;&lt;Cite&gt;&lt;Author&gt;United Nations Convention on Biological Diversity&lt;/Author&gt;&lt;Year&gt;2010&lt;/Year&gt;&lt;RecNum&gt;1089&lt;/RecNum&gt;&lt;DisplayText&gt;(United Nations Convention on Biological Diversity, 2010)&lt;/DisplayText&gt;&lt;record&gt;&lt;rec-number&gt;1089&lt;/rec-number&gt;&lt;foreign-keys&gt;&lt;key app="EN" db-id="9vsrvaat7fadwtesfsrpw5w5t0x5v500ef25" timestamp="1565236188"&gt;1089&lt;/key&gt;&lt;/foreign-keys&gt;&lt;ref-type name="Generic"&gt;13&lt;/ref-type&gt;&lt;contributors&gt;&lt;authors&gt;&lt;author&gt;United Nations Convention on Biological Diversity,&lt;/author&gt;&lt;/authors&gt;&lt;/contributors&gt;&lt;titles&gt;&lt;title&gt;Strategic Plan for Biodiversity 2011-2020&lt;/title&gt;&lt;/titles&gt;&lt;dates&gt;&lt;year&gt;2010&lt;/year&gt;&lt;/dates&gt;&lt;pub-location&gt;Montreal, Canada&lt;/pub-location&gt;&lt;publisher&gt;United Nations&lt;/publisher&gt;&lt;urls&gt;&lt;related-urls&gt;&lt;url&gt;https://www.cbd.int/decision/cop/?id=12268&lt;/url&gt;&lt;/related-urls&gt;&lt;/urls&gt;&lt;/record&gt;&lt;/Cite&gt;&lt;/EndNote&gt;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 xml:space="preserve">(United Nations </w:t>
            </w:r>
            <w:r w:rsidRPr="005403DD">
              <w:rPr>
                <w:rFonts w:ascii="Corbel" w:hAnsi="Corbel" w:cstheme="minorHAnsi"/>
                <w:noProof/>
                <w:sz w:val="16"/>
                <w:szCs w:val="16"/>
                <w:lang w:val="en-US"/>
              </w:rPr>
              <w:lastRenderedPageBreak/>
              <w:t>Convention on Biological Diversity, 2010)</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xml:space="preserve">. Target set at 40% by 2030; calibrated from timeseries data and BAU projection (29.5%)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&lt;EndNote&gt;&lt;Cite&gt;&lt;Author&gt;IUCN&lt;/Author&gt;&lt;Year&gt;2017&lt;/Year&gt;&lt;RecNum&gt;1087&lt;/RecNum&gt;&lt;DisplayText&gt;(IUCN and UNEP-WCMC, 2017)&lt;/DisplayText&gt;&lt;record&gt;&lt;rec-number&gt;1087&lt;/rec-number&gt;&lt;foreign-keys&gt;&lt;key app="EN" db-id="9vsrvaat7fadwtesfsrpw5w5t0x5v500ef25" timestamp="1565230490"&gt;1087&lt;/key&gt;&lt;/foreign-keys&gt;&lt;ref-type name="Dataset"&gt;59&lt;/ref-type&gt;&lt;contributors&gt;&lt;authors&gt;&lt;author&gt;IUCN,&lt;/author&gt;&lt;author&gt;UNEP-WCMC,&lt;/author&gt;&lt;/authors&gt;&lt;/contributors&gt;&lt;titles&gt;&lt;title&gt;World Database on Protected Areas&lt;/title&gt;&lt;/titles&gt;&lt;dates&gt;&lt;year&gt;2017&lt;/year&gt;&lt;/dates&gt;&lt;publisher&gt;International Union for the Conservation of Nature and United Nations Environment Programme World Conservation Monitoring Centre&lt;/publisher&gt;&lt;urls&gt;&lt;related-urls&gt;&lt;url&gt;https://www.iucn.org/theme/protected-areas/our-work/world-database-protected-areas&lt;/url&gt;&lt;/related-urls&gt;&lt;/urls&gt;&lt;access-date&gt;12/12/17&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(IUCN and UNEP-WCMC, 2017)</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D94E4D" w:rsidRPr="005403DD" w14:paraId="094CE8CB" w14:textId="77777777" w:rsidTr="00C04DFB">
        <w:trPr>
          <w:trHeight w:val="300"/>
        </w:trPr>
        <w:tc>
          <w:tcPr>
            <w:tcW w:w="510" w:type="dxa"/>
            <w:shd w:val="clear" w:color="auto" w:fill="auto"/>
          </w:tcPr>
          <w:p w14:paraId="165CDA77"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0335CBB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15.5 Take urgent and significant action to reduce the degradation of natural habitats, halt the loss of biodiversity and, by 2020, protect and prevent the extinction of threatened species</w:t>
            </w:r>
          </w:p>
        </w:tc>
        <w:tc>
          <w:tcPr>
            <w:tcW w:w="397" w:type="dxa"/>
            <w:tcBorders>
              <w:left w:val="single" w:sz="4" w:space="0" w:color="auto"/>
              <w:right w:val="single" w:sz="4" w:space="0" w:color="auto"/>
            </w:tcBorders>
            <w:shd w:val="clear" w:color="auto" w:fill="auto"/>
          </w:tcPr>
          <w:p w14:paraId="41D5061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En</w:t>
            </w:r>
          </w:p>
        </w:tc>
        <w:tc>
          <w:tcPr>
            <w:tcW w:w="1100" w:type="dxa"/>
            <w:tcBorders>
              <w:left w:val="single" w:sz="4" w:space="0" w:color="auto"/>
            </w:tcBorders>
            <w:shd w:val="clear" w:color="auto" w:fill="auto"/>
            <w:noWrap/>
            <w:hideMark/>
          </w:tcPr>
          <w:p w14:paraId="2456AB2C"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15.5.1</w:t>
            </w:r>
          </w:p>
        </w:tc>
        <w:tc>
          <w:tcPr>
            <w:tcW w:w="3862" w:type="dxa"/>
            <w:tcBorders>
              <w:right w:val="single" w:sz="4" w:space="0" w:color="auto"/>
            </w:tcBorders>
            <w:shd w:val="clear" w:color="auto" w:fill="auto"/>
            <w:noWrap/>
            <w:hideMark/>
          </w:tcPr>
          <w:p w14:paraId="2BF17E2B"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Red List Index</w:t>
            </w:r>
          </w:p>
        </w:tc>
        <w:tc>
          <w:tcPr>
            <w:tcW w:w="1277" w:type="dxa"/>
            <w:tcBorders>
              <w:left w:val="single" w:sz="4" w:space="0" w:color="auto"/>
            </w:tcBorders>
            <w:shd w:val="clear" w:color="auto" w:fill="auto"/>
          </w:tcPr>
          <w:p w14:paraId="6A820086" w14:textId="08BCF332"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0.7</w:t>
            </w:r>
            <w:r w:rsidR="008E7144" w:rsidRPr="00AB0BAD">
              <w:rPr>
                <w:rFonts w:ascii="Corbel" w:hAnsi="Corbel" w:cstheme="minorHAnsi"/>
                <w:sz w:val="16"/>
                <w:szCs w:val="16"/>
                <w:lang w:val="en-US"/>
              </w:rPr>
              <w:t>1</w:t>
            </w:r>
          </w:p>
        </w:tc>
        <w:tc>
          <w:tcPr>
            <w:tcW w:w="992" w:type="dxa"/>
            <w:shd w:val="clear" w:color="auto" w:fill="D9D9D9" w:themeFill="background1" w:themeFillShade="D9"/>
            <w:noWrap/>
            <w:hideMark/>
          </w:tcPr>
          <w:p w14:paraId="185B0AC5" w14:textId="53CA72A5"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0.7</w:t>
            </w:r>
            <w:r w:rsidR="008E7144" w:rsidRPr="00AB0BAD">
              <w:rPr>
                <w:rFonts w:ascii="Corbel" w:hAnsi="Corbel" w:cstheme="minorHAnsi"/>
                <w:sz w:val="16"/>
                <w:szCs w:val="16"/>
                <w:lang w:val="en-US"/>
              </w:rPr>
              <w:t>1</w:t>
            </w:r>
          </w:p>
        </w:tc>
        <w:tc>
          <w:tcPr>
            <w:tcW w:w="567" w:type="dxa"/>
          </w:tcPr>
          <w:p w14:paraId="77B8E53B"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auto"/>
          </w:tcPr>
          <w:p w14:paraId="0B3EF515" w14:textId="7ED4692C"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15.5 is to ‘halt loss’.  Target set </w:t>
            </w:r>
            <w:r>
              <w:rPr>
                <w:rFonts w:ascii="Corbel" w:hAnsi="Corbel" w:cstheme="minorHAnsi"/>
                <w:sz w:val="16"/>
                <w:szCs w:val="16"/>
                <w:lang w:val="en-US"/>
              </w:rPr>
              <w:t>as maintain baseline value</w:t>
            </w:r>
            <w:r w:rsidRPr="005403DD">
              <w:rPr>
                <w:rFonts w:ascii="Corbel" w:hAnsi="Corbel" w:cstheme="minorHAnsi"/>
                <w:sz w:val="16"/>
                <w:szCs w:val="16"/>
                <w:lang w:val="en-US"/>
              </w:rPr>
              <w:t xml:space="preserve">; calibrated from timeseries data </w:t>
            </w:r>
            <w:r w:rsidRPr="005403DD">
              <w:rPr>
                <w:rFonts w:ascii="Corbel" w:hAnsi="Corbel" w:cstheme="minorHAnsi"/>
                <w:sz w:val="16"/>
                <w:szCs w:val="16"/>
                <w:lang w:val="en-US"/>
              </w:rPr>
              <w:fldChar w:fldCharType="begin">
                <w:fldData xml:space="preserve">PEVuZE5vdGU+PENpdGU+PEF1dGhvcj5HbG9iYWwgRW52aXJvbm1lbnQgRmFjaWxpdHk8L0F1dGhv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</w:fldData>
              </w:fldChar>
            </w:r>
            <w:r w:rsidRPr="005403DD">
              <w:rPr>
                <w:rFonts w:ascii="Corbel" w:hAnsi="Corbel" w:cstheme="minorHAnsi"/>
                <w:sz w:val="16"/>
                <w:szCs w:val="16"/>
                <w:lang w:val="en-US"/>
              </w:rPr>
              <w:instrText xml:space="preserve"> ADDIN EN.CITE </w:instrText>
            </w:r>
            <w:r w:rsidRPr="005403DD">
              <w:rPr>
                <w:rFonts w:ascii="Corbel" w:hAnsi="Corbel" w:cstheme="minorHAnsi"/>
                <w:sz w:val="16"/>
                <w:szCs w:val="16"/>
                <w:lang w:val="en-US"/>
              </w:rPr>
              <w:fldChar w:fldCharType="begin">
                <w:fldData xml:space="preserve">PEVuZE5vdGU+PENpdGU+PEF1dGhvcj5HbG9iYWwgRW52aXJvbm1lbnQgRmFjaWxpdHk8L0F1dGhv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</w:fldData>
              </w:fldChar>
            </w:r>
            <w:r w:rsidRPr="005403DD">
              <w:rPr>
                <w:rFonts w:ascii="Corbel" w:hAnsi="Corbel" w:cstheme="minorHAnsi"/>
                <w:sz w:val="16"/>
                <w:szCs w:val="16"/>
                <w:lang w:val="en-US"/>
              </w:rPr>
              <w:instrText xml:space="preserve"> ADDIN EN.CITE.DATA </w:instrText>
            </w:r>
            <w:r w:rsidRPr="005403DD">
              <w:rPr>
                <w:rFonts w:ascii="Corbel" w:hAnsi="Corbel" w:cstheme="minorHAnsi"/>
                <w:sz w:val="16"/>
                <w:szCs w:val="16"/>
                <w:lang w:val="en-US"/>
              </w:rPr>
            </w:r>
            <w:r w:rsidRPr="005403DD">
              <w:rPr>
                <w:rFonts w:ascii="Corbel" w:hAnsi="Corbel" w:cstheme="minorHAnsi"/>
                <w:sz w:val="16"/>
                <w:szCs w:val="16"/>
                <w:lang w:val="en-US"/>
              </w:rPr>
              <w:fldChar w:fldCharType="end"/>
            </w:r>
            <w:r w:rsidRPr="005403DD">
              <w:rPr>
                <w:rFonts w:ascii="Corbel" w:hAnsi="Corbel" w:cstheme="minorHAnsi"/>
                <w:sz w:val="16"/>
                <w:szCs w:val="16"/>
                <w:lang w:val="en-US"/>
              </w:rPr>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(Global Environment Facility, 2005, The World Bank, 2018, Pandey et al., 2006)</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D94E4D" w:rsidRPr="005403DD" w14:paraId="73D4D650" w14:textId="77777777" w:rsidTr="00C04DFB">
        <w:trPr>
          <w:trHeight w:val="54"/>
        </w:trPr>
        <w:tc>
          <w:tcPr>
            <w:tcW w:w="510" w:type="dxa"/>
            <w:shd w:val="clear" w:color="auto" w:fill="D9D9D9" w:themeFill="background1" w:themeFillShade="D9"/>
          </w:tcPr>
          <w:p w14:paraId="668B7621" w14:textId="77777777" w:rsidR="00D94E4D" w:rsidRPr="005403DD" w:rsidRDefault="00D94E4D" w:rsidP="00D94E4D">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0F3FCDA5" w14:textId="77777777" w:rsidR="00D94E4D" w:rsidRPr="005403DD" w:rsidRDefault="00D94E4D" w:rsidP="00D94E4D">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1DC0FDDF" w14:textId="77777777" w:rsidR="00D94E4D" w:rsidRPr="005403DD" w:rsidRDefault="00D94E4D" w:rsidP="00D94E4D">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0FD82011" w14:textId="77777777" w:rsidR="00D94E4D" w:rsidRPr="005403DD" w:rsidRDefault="00D94E4D" w:rsidP="00D94E4D">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7152EDA9" w14:textId="77777777" w:rsidR="00D94E4D" w:rsidRPr="005403DD" w:rsidRDefault="00D94E4D" w:rsidP="00D94E4D">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15746329" w14:textId="77777777" w:rsidR="00D94E4D" w:rsidRPr="00AB0BAD" w:rsidRDefault="00D94E4D" w:rsidP="00D94E4D">
            <w:pPr>
              <w:spacing w:after="0"/>
              <w:rPr>
                <w:rFonts w:ascii="Corbel" w:hAnsi="Corbel" w:cstheme="minorHAnsi"/>
                <w:sz w:val="8"/>
                <w:szCs w:val="8"/>
                <w:lang w:val="en-US"/>
              </w:rPr>
            </w:pPr>
          </w:p>
        </w:tc>
        <w:tc>
          <w:tcPr>
            <w:tcW w:w="992" w:type="dxa"/>
            <w:shd w:val="clear" w:color="auto" w:fill="D9D9D9" w:themeFill="background1" w:themeFillShade="D9"/>
            <w:noWrap/>
          </w:tcPr>
          <w:p w14:paraId="2D0CCBA0" w14:textId="77777777" w:rsidR="00D94E4D" w:rsidRPr="00AB0BAD" w:rsidRDefault="00D94E4D" w:rsidP="00D94E4D">
            <w:pPr>
              <w:spacing w:after="0"/>
              <w:rPr>
                <w:rFonts w:ascii="Corbel" w:hAnsi="Corbel" w:cstheme="minorHAnsi"/>
                <w:sz w:val="8"/>
                <w:szCs w:val="8"/>
                <w:lang w:val="en-US"/>
              </w:rPr>
            </w:pPr>
          </w:p>
        </w:tc>
        <w:tc>
          <w:tcPr>
            <w:tcW w:w="567" w:type="dxa"/>
            <w:shd w:val="clear" w:color="auto" w:fill="D9D9D9" w:themeFill="background1" w:themeFillShade="D9"/>
          </w:tcPr>
          <w:p w14:paraId="5EEC87A6" w14:textId="77777777" w:rsidR="00D94E4D" w:rsidRPr="005403DD" w:rsidRDefault="00D94E4D" w:rsidP="00D94E4D">
            <w:pPr>
              <w:spacing w:after="0"/>
              <w:rPr>
                <w:rFonts w:ascii="Corbel" w:hAnsi="Corbel" w:cstheme="minorHAnsi"/>
                <w:sz w:val="8"/>
                <w:szCs w:val="8"/>
                <w:lang w:val="en-US"/>
              </w:rPr>
            </w:pPr>
          </w:p>
        </w:tc>
        <w:tc>
          <w:tcPr>
            <w:tcW w:w="2693" w:type="dxa"/>
            <w:shd w:val="clear" w:color="auto" w:fill="D9D9D9" w:themeFill="background1" w:themeFillShade="D9"/>
          </w:tcPr>
          <w:p w14:paraId="331CD2EE" w14:textId="77777777" w:rsidR="00D94E4D" w:rsidRPr="005403DD" w:rsidRDefault="00D94E4D" w:rsidP="00D94E4D">
            <w:pPr>
              <w:spacing w:after="0"/>
              <w:jc w:val="center"/>
              <w:rPr>
                <w:rFonts w:ascii="Corbel" w:hAnsi="Corbel" w:cstheme="minorHAnsi"/>
                <w:sz w:val="8"/>
                <w:szCs w:val="8"/>
                <w:lang w:val="en-US"/>
              </w:rPr>
            </w:pPr>
          </w:p>
        </w:tc>
      </w:tr>
      <w:tr w:rsidR="00D94E4D" w:rsidRPr="005403DD" w14:paraId="65966913" w14:textId="77777777" w:rsidTr="00C04DFB">
        <w:trPr>
          <w:trHeight w:val="300"/>
        </w:trPr>
        <w:tc>
          <w:tcPr>
            <w:tcW w:w="510" w:type="dxa"/>
            <w:shd w:val="clear" w:color="auto" w:fill="auto"/>
          </w:tcPr>
          <w:p w14:paraId="472EC3CE"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16</w:t>
            </w:r>
          </w:p>
        </w:tc>
        <w:tc>
          <w:tcPr>
            <w:tcW w:w="4195" w:type="dxa"/>
            <w:tcBorders>
              <w:right w:val="single" w:sz="4" w:space="0" w:color="auto"/>
            </w:tcBorders>
            <w:shd w:val="clear" w:color="auto" w:fill="auto"/>
          </w:tcPr>
          <w:p w14:paraId="681AA2B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16.1 Significantly reduce all forms of violence and related death rates everywhere</w:t>
            </w:r>
          </w:p>
        </w:tc>
        <w:tc>
          <w:tcPr>
            <w:tcW w:w="397" w:type="dxa"/>
            <w:tcBorders>
              <w:left w:val="single" w:sz="4" w:space="0" w:color="auto"/>
              <w:right w:val="single" w:sz="4" w:space="0" w:color="auto"/>
            </w:tcBorders>
            <w:shd w:val="clear" w:color="auto" w:fill="auto"/>
          </w:tcPr>
          <w:p w14:paraId="60E0D0AB"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auto"/>
            <w:noWrap/>
            <w:hideMark/>
          </w:tcPr>
          <w:p w14:paraId="2BB224F0"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16.1.1</w:t>
            </w:r>
          </w:p>
        </w:tc>
        <w:tc>
          <w:tcPr>
            <w:tcW w:w="3862" w:type="dxa"/>
            <w:tcBorders>
              <w:right w:val="single" w:sz="4" w:space="0" w:color="auto"/>
            </w:tcBorders>
            <w:shd w:val="clear" w:color="auto" w:fill="auto"/>
            <w:noWrap/>
            <w:hideMark/>
          </w:tcPr>
          <w:p w14:paraId="6C3FC57B"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 xml:space="preserve">Total mortality rate - violence </w:t>
            </w:r>
          </w:p>
        </w:tc>
        <w:tc>
          <w:tcPr>
            <w:tcW w:w="1277" w:type="dxa"/>
            <w:tcBorders>
              <w:left w:val="single" w:sz="4" w:space="0" w:color="auto"/>
            </w:tcBorders>
            <w:shd w:val="clear" w:color="auto" w:fill="auto"/>
          </w:tcPr>
          <w:p w14:paraId="6587E5A9" w14:textId="0CB33679"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0.0000</w:t>
            </w:r>
            <w:r w:rsidR="00327E01" w:rsidRPr="00AB0BAD">
              <w:rPr>
                <w:rFonts w:ascii="Corbel" w:hAnsi="Corbel" w:cstheme="minorHAnsi"/>
                <w:sz w:val="16"/>
                <w:szCs w:val="16"/>
                <w:lang w:val="en-US"/>
              </w:rPr>
              <w:t>3</w:t>
            </w:r>
          </w:p>
        </w:tc>
        <w:tc>
          <w:tcPr>
            <w:tcW w:w="992" w:type="dxa"/>
            <w:shd w:val="clear" w:color="auto" w:fill="D9D9D9" w:themeFill="background1" w:themeFillShade="D9"/>
            <w:noWrap/>
            <w:hideMark/>
          </w:tcPr>
          <w:p w14:paraId="2982667A" w14:textId="44F3EFDE" w:rsidR="00D94E4D" w:rsidRPr="00AB0BAD" w:rsidRDefault="001301B5" w:rsidP="00D94E4D">
            <w:pPr>
              <w:spacing w:after="0"/>
              <w:rPr>
                <w:rFonts w:ascii="Corbel" w:hAnsi="Corbel" w:cstheme="minorHAnsi"/>
                <w:sz w:val="16"/>
                <w:szCs w:val="16"/>
                <w:lang w:val="en-US"/>
              </w:rPr>
            </w:pPr>
            <w:r w:rsidRPr="00AB0BAD">
              <w:rPr>
                <w:rFonts w:ascii="Corbel" w:hAnsi="Corbel" w:cstheme="minorHAnsi"/>
                <w:sz w:val="16"/>
                <w:szCs w:val="16"/>
                <w:lang w:val="en-US"/>
              </w:rPr>
              <w:t>0.000</w:t>
            </w:r>
            <w:r w:rsidR="00327E01" w:rsidRPr="00AB0BAD">
              <w:rPr>
                <w:rFonts w:ascii="Corbel" w:hAnsi="Corbel" w:cstheme="minorHAnsi"/>
                <w:sz w:val="16"/>
                <w:szCs w:val="16"/>
                <w:lang w:val="en-US"/>
              </w:rPr>
              <w:t>1</w:t>
            </w:r>
            <w:r w:rsidR="00187355" w:rsidRPr="00AB0BAD">
              <w:rPr>
                <w:rFonts w:ascii="Corbel" w:hAnsi="Corbel" w:cstheme="minorHAnsi"/>
                <w:sz w:val="16"/>
                <w:szCs w:val="16"/>
                <w:lang w:val="en-US"/>
              </w:rPr>
              <w:t>6</w:t>
            </w:r>
          </w:p>
        </w:tc>
        <w:tc>
          <w:tcPr>
            <w:tcW w:w="567" w:type="dxa"/>
          </w:tcPr>
          <w:p w14:paraId="0AA2273F"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A</w:t>
            </w:r>
          </w:p>
        </w:tc>
        <w:tc>
          <w:tcPr>
            <w:tcW w:w="2693" w:type="dxa"/>
            <w:shd w:val="clear" w:color="auto" w:fill="auto"/>
          </w:tcPr>
          <w:p w14:paraId="09C855F6" w14:textId="08D4C9B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16.1 is to ‘significantly reduce’. Baseline is low for Fiji. Target set </w:t>
            </w:r>
            <w:r w:rsidR="00C574D1">
              <w:rPr>
                <w:rFonts w:ascii="Corbel" w:hAnsi="Corbel" w:cstheme="minorHAnsi"/>
                <w:sz w:val="16"/>
                <w:szCs w:val="16"/>
                <w:lang w:val="en-US"/>
              </w:rPr>
              <w:t>40% reduction</w:t>
            </w:r>
            <w:r w:rsidR="00D36D76">
              <w:rPr>
                <w:rFonts w:ascii="Corbel" w:hAnsi="Corbel" w:cstheme="minorHAnsi"/>
                <w:sz w:val="16"/>
                <w:szCs w:val="16"/>
                <w:lang w:val="en-US"/>
              </w:rPr>
              <w:t>;</w:t>
            </w:r>
            <w:r w:rsidRPr="005403DD">
              <w:rPr>
                <w:rFonts w:ascii="Corbel" w:hAnsi="Corbel" w:cstheme="minorHAnsi"/>
                <w:sz w:val="16"/>
                <w:szCs w:val="16"/>
                <w:lang w:val="en-US"/>
              </w:rPr>
              <w:t xml:space="preserve"> calibrated from timeseries data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&lt;EndNote&gt;&lt;Cite&gt;&lt;Author&gt;WHO&lt;/Author&gt;&lt;Year&gt;2018&lt;/Year&gt;&lt;RecNum&gt;1092&lt;/RecNum&gt;&lt;DisplayText&gt;(WHO, 2018, United Nations, 2018)&lt;/DisplayText&gt;&lt;record&gt;&lt;rec-number&gt;1092&lt;/rec-number&gt;&lt;foreign-keys&gt;&lt;key app="EN" db-id="9vsrvaat7fadwtesfsrpw5w5t0x5v500ef25" timestamp="1565238311"&gt;1092&lt;/key&gt;&lt;/foreign-keys&gt;&lt;ref-type name="Dataset"&gt;59&lt;/ref-type&gt;&lt;contributors&gt;&lt;authors&gt;&lt;author&gt;WHO,&lt;/author&gt;&lt;/authors&gt;&lt;/contributors&gt;&lt;titles&gt;&lt;title&gt;Global Health Estimates: Desease burden by Cause, Age, Sex, Country and Region&lt;/title&gt;&lt;/titles&gt;&lt;dates&gt;&lt;year&gt;2018&lt;/year&gt;&lt;/dates&gt;&lt;pub-location&gt;Switzerland&lt;/pub-location&gt;&lt;publisher&gt;World Health Organisation&lt;/publisher&gt;&lt;urls&gt;&lt;related-urls&gt;&lt;url&gt;https://www.who.int/healthinfo/global_burden_disease/estimates/en/index1.html&lt;/url&gt;&lt;/related-urls&gt;&lt;/urls&gt;&lt;access-date&gt;05/04/18&lt;/access-date&gt;&lt;/record&gt;&lt;/Cite&gt;&lt;Cite&gt;&lt;Author&gt;United Nations&lt;/Author&gt;&lt;Year&gt;2018&lt;/Year&gt;&lt;RecNum&gt;1086&lt;/RecNum&gt;&lt;record&gt;&lt;rec-number&gt;1086&lt;/rec-number&gt;&lt;foreign-keys&gt;&lt;key app="EN" db-id="9vsrvaat7fadwtesfsrpw5w5t0x5v500ef25" timestamp="1565230333"&gt;1086&lt;/key&gt;&lt;/foreign-keys&gt;&lt;ref-type name="Online Database"&gt;45&lt;/ref-type&gt;&lt;contributors&gt;&lt;authors&gt;&lt;author&gt;United Nations,&lt;/author&gt;&lt;/authors&gt;&lt;/contributors&gt;&lt;titles&gt;&lt;title&gt;United Nations Global SDG Database&lt;/title&gt;&lt;/titles&gt;&lt;dates&gt;&lt;year&gt;2018&lt;/year&gt;&lt;pub-dates&gt;&lt;date&gt;04/03/18&lt;/date&gt;&lt;/pub-dates&gt;&lt;/dates&gt;&lt;pub-location&gt;New York&lt;/pub-location&gt;&lt;publisher&gt;United Nations&lt;/publisher&gt;&lt;urls&gt;&lt;related-urls&gt;&lt;url&gt;https://unstats.un.org/sdgs/indicators/database/&lt;/url&gt;&lt;/related-urls&gt;&lt;/urls&gt;&lt;/record&gt;&lt;/Cite&gt;&lt;/EndNote&gt;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(WHO, 2018, United Nations,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D94E4D" w:rsidRPr="005403DD" w14:paraId="7F762AFF" w14:textId="77777777" w:rsidTr="00C04DFB">
        <w:trPr>
          <w:trHeight w:val="300"/>
        </w:trPr>
        <w:tc>
          <w:tcPr>
            <w:tcW w:w="510" w:type="dxa"/>
            <w:shd w:val="clear" w:color="auto" w:fill="auto"/>
          </w:tcPr>
          <w:p w14:paraId="5649EC45"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6CFA024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16.5 Substantially reduce corruption and bribery in all their forms</w:t>
            </w:r>
          </w:p>
        </w:tc>
        <w:tc>
          <w:tcPr>
            <w:tcW w:w="397" w:type="dxa"/>
            <w:tcBorders>
              <w:left w:val="single" w:sz="4" w:space="0" w:color="auto"/>
              <w:right w:val="single" w:sz="4" w:space="0" w:color="auto"/>
            </w:tcBorders>
            <w:shd w:val="clear" w:color="auto" w:fill="auto"/>
          </w:tcPr>
          <w:p w14:paraId="4E358D1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auto"/>
            <w:noWrap/>
            <w:hideMark/>
          </w:tcPr>
          <w:p w14:paraId="7772B9F1"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16.5.2</w:t>
            </w:r>
          </w:p>
        </w:tc>
        <w:tc>
          <w:tcPr>
            <w:tcW w:w="3862" w:type="dxa"/>
            <w:tcBorders>
              <w:right w:val="single" w:sz="4" w:space="0" w:color="auto"/>
            </w:tcBorders>
            <w:shd w:val="clear" w:color="auto" w:fill="auto"/>
            <w:noWrap/>
            <w:hideMark/>
          </w:tcPr>
          <w:p w14:paraId="075445CB"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Bribery incidence (score 0-1)</w:t>
            </w:r>
          </w:p>
          <w:p w14:paraId="47063E4F" w14:textId="77777777" w:rsidR="00D94E4D" w:rsidRPr="005403DD" w:rsidRDefault="00D94E4D" w:rsidP="00D94E4D">
            <w:pPr>
              <w:spacing w:after="0"/>
              <w:rPr>
                <w:rFonts w:ascii="Corbel" w:hAnsi="Corbel" w:cstheme="minorHAnsi"/>
                <w:sz w:val="16"/>
                <w:szCs w:val="16"/>
                <w:lang w:val="en-US"/>
              </w:rPr>
            </w:pPr>
          </w:p>
          <w:p w14:paraId="55913411" w14:textId="324CC112" w:rsidR="00D94E4D" w:rsidRPr="005403DD" w:rsidRDefault="00D94E4D" w:rsidP="00D94E4D">
            <w:pPr>
              <w:spacing w:after="0"/>
              <w:rPr>
                <w:rFonts w:ascii="Corbel" w:hAnsi="Corbel" w:cstheme="minorHAnsi"/>
                <w:sz w:val="16"/>
                <w:szCs w:val="16"/>
                <w:lang w:val="en-US"/>
              </w:rPr>
            </w:pPr>
          </w:p>
        </w:tc>
        <w:tc>
          <w:tcPr>
            <w:tcW w:w="1277" w:type="dxa"/>
            <w:tcBorders>
              <w:left w:val="single" w:sz="4" w:space="0" w:color="auto"/>
            </w:tcBorders>
            <w:shd w:val="clear" w:color="auto" w:fill="auto"/>
          </w:tcPr>
          <w:p w14:paraId="3E874213" w14:textId="45BB93CE"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0.1</w:t>
            </w:r>
            <w:r w:rsidR="00660374" w:rsidRPr="00AB0BAD">
              <w:rPr>
                <w:rFonts w:ascii="Corbel" w:hAnsi="Corbel" w:cstheme="minorHAnsi"/>
                <w:sz w:val="16"/>
                <w:szCs w:val="16"/>
                <w:lang w:val="en-US"/>
              </w:rPr>
              <w:t>2</w:t>
            </w:r>
          </w:p>
        </w:tc>
        <w:tc>
          <w:tcPr>
            <w:tcW w:w="992" w:type="dxa"/>
            <w:shd w:val="clear" w:color="auto" w:fill="D9D9D9" w:themeFill="background1" w:themeFillShade="D9"/>
            <w:noWrap/>
            <w:hideMark/>
          </w:tcPr>
          <w:p w14:paraId="65FE9AD5" w14:textId="21B8FC4E"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w:t>
            </w:r>
            <w:r w:rsidR="00EC657A" w:rsidRPr="00AB0BAD">
              <w:rPr>
                <w:rFonts w:ascii="Corbel" w:hAnsi="Corbel" w:cstheme="minorHAnsi"/>
                <w:sz w:val="16"/>
                <w:szCs w:val="16"/>
                <w:lang w:val="en-US"/>
              </w:rPr>
              <w:t>08</w:t>
            </w:r>
          </w:p>
        </w:tc>
        <w:tc>
          <w:tcPr>
            <w:tcW w:w="567" w:type="dxa"/>
          </w:tcPr>
          <w:p w14:paraId="7386C59A"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14579830" w14:textId="04D342C6"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16.5 is to substantially reduce. Baseline is low for Fiji. Target set at </w:t>
            </w:r>
            <w:r w:rsidR="00E76DF0">
              <w:rPr>
                <w:rFonts w:ascii="Corbel" w:hAnsi="Corbel" w:cstheme="minorHAnsi"/>
                <w:sz w:val="16"/>
                <w:szCs w:val="16"/>
                <w:lang w:val="en-US"/>
              </w:rPr>
              <w:t>3</w:t>
            </w:r>
            <w:r w:rsidRPr="005403DD">
              <w:rPr>
                <w:rFonts w:ascii="Corbel" w:hAnsi="Corbel" w:cstheme="minorHAnsi"/>
                <w:sz w:val="16"/>
                <w:szCs w:val="16"/>
                <w:lang w:val="en-US"/>
              </w:rPr>
              <w:t xml:space="preserve">0% improvement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&lt;EndNote&gt;&lt;Cite&gt;&lt;Author&gt;Transparency International&lt;/Author&gt;&lt;Year&gt;2016&lt;/Year&gt;&lt;RecNum&gt;1093&lt;/RecNum&gt;&lt;DisplayText&gt;(Transparency International, 2016)&lt;/DisplayText&gt;&lt;record&gt;&lt;rec-number&gt;1093&lt;/rec-number&gt;&lt;foreign-keys&gt;&lt;key app="EN" db-id="9vsrvaat7fadwtesfsrpw5w5t0x5v500ef25" timestamp="1565238709"&gt;1093&lt;/key&gt;&lt;/foreign-keys&gt;&lt;ref-type name="Dataset"&gt;59&lt;/ref-type&gt;&lt;contributors&gt;&lt;authors&gt;&lt;author&gt;Transparency International,&lt;/author&gt;&lt;/authors&gt;&lt;/contributors&gt;&lt;titles&gt;&lt;title&gt;Corruption Perception Index&lt;/title&gt;&lt;/titles&gt;&lt;dates&gt;&lt;year&gt;2016&lt;/year&gt;&lt;/dates&gt;&lt;pub-location&gt;Berlin&lt;/pub-location&gt;&lt;publisher&gt;Transparency International&lt;/publisher&gt;&lt;urls&gt;&lt;related-urls&gt;&lt;url&gt;https://www.transparency.org/research/cpi/overview&lt;/url&gt;&lt;/related-urls&gt;&lt;/urls&gt;&lt;access-date&gt;12/12/17&lt;/access-date&gt;&lt;/record&gt;&lt;/Cite&gt;&lt;/EndNote&gt;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(Transparency International, 2016)</w:t>
            </w:r>
            <w:r w:rsidRPr="005403DD">
              <w:rPr>
                <w:rFonts w:ascii="Corbel" w:hAnsi="Corbel" w:cstheme="minorHAnsi"/>
                <w:sz w:val="16"/>
                <w:szCs w:val="16"/>
                <w:lang w:val="en-US"/>
              </w:rPr>
              <w:fldChar w:fldCharType="end"/>
            </w:r>
          </w:p>
        </w:tc>
      </w:tr>
      <w:tr w:rsidR="00D94E4D" w:rsidRPr="005403DD" w14:paraId="7E96F1DA" w14:textId="77777777" w:rsidTr="00C04DFB">
        <w:trPr>
          <w:trHeight w:val="300"/>
        </w:trPr>
        <w:tc>
          <w:tcPr>
            <w:tcW w:w="510" w:type="dxa"/>
            <w:shd w:val="clear" w:color="auto" w:fill="auto"/>
          </w:tcPr>
          <w:p w14:paraId="735C765D"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3D35C63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16.6 Ensure responsive, inclusive, participatory and representative decision-making at all levels</w:t>
            </w:r>
          </w:p>
        </w:tc>
        <w:tc>
          <w:tcPr>
            <w:tcW w:w="397" w:type="dxa"/>
            <w:tcBorders>
              <w:left w:val="single" w:sz="4" w:space="0" w:color="auto"/>
              <w:right w:val="single" w:sz="4" w:space="0" w:color="auto"/>
            </w:tcBorders>
            <w:shd w:val="clear" w:color="auto" w:fill="auto"/>
          </w:tcPr>
          <w:p w14:paraId="5301421B"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S</w:t>
            </w:r>
          </w:p>
        </w:tc>
        <w:tc>
          <w:tcPr>
            <w:tcW w:w="1100" w:type="dxa"/>
            <w:tcBorders>
              <w:left w:val="single" w:sz="4" w:space="0" w:color="auto"/>
            </w:tcBorders>
            <w:shd w:val="clear" w:color="auto" w:fill="auto"/>
            <w:noWrap/>
            <w:hideMark/>
          </w:tcPr>
          <w:p w14:paraId="7251ECC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16.6.2</w:t>
            </w:r>
          </w:p>
        </w:tc>
        <w:tc>
          <w:tcPr>
            <w:tcW w:w="3862" w:type="dxa"/>
            <w:tcBorders>
              <w:right w:val="single" w:sz="4" w:space="0" w:color="auto"/>
            </w:tcBorders>
            <w:shd w:val="clear" w:color="auto" w:fill="auto"/>
            <w:noWrap/>
            <w:hideMark/>
          </w:tcPr>
          <w:p w14:paraId="4BF4BE5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Normalized average governance index (proxy score 0-1)</w:t>
            </w:r>
          </w:p>
        </w:tc>
        <w:tc>
          <w:tcPr>
            <w:tcW w:w="1277" w:type="dxa"/>
            <w:tcBorders>
              <w:left w:val="single" w:sz="4" w:space="0" w:color="auto"/>
            </w:tcBorders>
            <w:shd w:val="clear" w:color="auto" w:fill="auto"/>
          </w:tcPr>
          <w:p w14:paraId="07371728"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0.442</w:t>
            </w:r>
          </w:p>
        </w:tc>
        <w:tc>
          <w:tcPr>
            <w:tcW w:w="992" w:type="dxa"/>
            <w:shd w:val="clear" w:color="auto" w:fill="D9D9D9" w:themeFill="background1" w:themeFillShade="D9"/>
            <w:noWrap/>
            <w:hideMark/>
          </w:tcPr>
          <w:p w14:paraId="677FFD32"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0.663</w:t>
            </w:r>
          </w:p>
        </w:tc>
        <w:tc>
          <w:tcPr>
            <w:tcW w:w="567" w:type="dxa"/>
          </w:tcPr>
          <w:p w14:paraId="342152B0"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7D6DF683"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as 50% improvement on baseline on normalized scale; calibrated from BAU projection and World Bank governance data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&lt;EndNote&gt;&lt;Cite&gt;&lt;Author&gt;Kaufman&lt;/Author&gt;&lt;Year&gt;2016&lt;/Year&gt;&lt;RecNum&gt;1045&lt;/RecNum&gt;&lt;DisplayText&gt;(Kaufman and Kraay, 2016)&lt;/DisplayText&gt;&lt;record&gt;&lt;rec-number&gt;1045&lt;/rec-number&gt;&lt;foreign-keys&gt;&lt;key app="EN" db-id="9vsrvaat7fadwtesfsrpw5w5t0x5v500ef25" timestamp="1565084453"&gt;1045&lt;/key&gt;&lt;/foreign-keys&gt;&lt;ref-type name="Dataset"&gt;59&lt;/ref-type&gt;&lt;contributors&gt;&lt;authors&gt;&lt;author&gt;Kaufman, D&lt;/author&gt;&lt;author&gt;Kraay, A&lt;/author&gt;&lt;/authors&gt;&lt;/contributors&gt;&lt;titles&gt;&lt;title&gt;Worldwide Governance Indicators&lt;/title&gt;&lt;/titles&gt;&lt;dates&gt;&lt;year&gt;2016&lt;/year&gt;&lt;/dates&gt;&lt;pub-location&gt;Washington, USA&lt;/pub-location&gt;&lt;publisher&gt;The World Bank&lt;/publisher&gt;&lt;urls&gt;&lt;related-urls&gt;&lt;url&gt;http://info.worldbank.org/governance/wgi/index.aspx#home&lt;/url&gt;&lt;/related-urls&gt;&lt;/urls&gt;&lt;access-date&gt;11/12/17&lt;/access-date&gt;&lt;/record&gt;&lt;/Cite&gt;&lt;/EndNote&gt;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(Kaufman and Kraay, 2016)</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D94E4D" w:rsidRPr="005403DD" w14:paraId="26E19A27" w14:textId="77777777" w:rsidTr="00C04DFB">
        <w:trPr>
          <w:trHeight w:val="54"/>
        </w:trPr>
        <w:tc>
          <w:tcPr>
            <w:tcW w:w="510" w:type="dxa"/>
            <w:shd w:val="clear" w:color="auto" w:fill="D9D9D9" w:themeFill="background1" w:themeFillShade="D9"/>
          </w:tcPr>
          <w:p w14:paraId="7FC9388B" w14:textId="77777777" w:rsidR="00D94E4D" w:rsidRPr="005403DD" w:rsidRDefault="00D94E4D" w:rsidP="00D94E4D">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658B328A" w14:textId="77777777" w:rsidR="00D94E4D" w:rsidRPr="005403DD" w:rsidRDefault="00D94E4D" w:rsidP="00D94E4D">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281ED6B0" w14:textId="77777777" w:rsidR="00D94E4D" w:rsidRPr="005403DD" w:rsidRDefault="00D94E4D" w:rsidP="00D94E4D">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421EEFC2" w14:textId="77777777" w:rsidR="00D94E4D" w:rsidRPr="005403DD" w:rsidRDefault="00D94E4D" w:rsidP="00D94E4D">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37E0CCCE" w14:textId="77777777" w:rsidR="00D94E4D" w:rsidRPr="005403DD" w:rsidRDefault="00D94E4D" w:rsidP="00D94E4D">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461DC0D2" w14:textId="77777777" w:rsidR="00D94E4D" w:rsidRPr="00AB0BAD" w:rsidRDefault="00D94E4D" w:rsidP="00D94E4D">
            <w:pPr>
              <w:spacing w:after="0"/>
              <w:rPr>
                <w:rFonts w:ascii="Corbel" w:hAnsi="Corbel" w:cstheme="minorHAnsi"/>
                <w:sz w:val="8"/>
                <w:szCs w:val="8"/>
                <w:lang w:val="en-US"/>
              </w:rPr>
            </w:pPr>
          </w:p>
        </w:tc>
        <w:tc>
          <w:tcPr>
            <w:tcW w:w="992" w:type="dxa"/>
            <w:shd w:val="clear" w:color="auto" w:fill="D9D9D9" w:themeFill="background1" w:themeFillShade="D9"/>
            <w:noWrap/>
          </w:tcPr>
          <w:p w14:paraId="7E7B04CA" w14:textId="77777777" w:rsidR="00D94E4D" w:rsidRPr="00AB0BAD" w:rsidRDefault="00D94E4D" w:rsidP="00D94E4D">
            <w:pPr>
              <w:spacing w:after="0"/>
              <w:rPr>
                <w:rFonts w:ascii="Corbel" w:hAnsi="Corbel" w:cstheme="minorHAnsi"/>
                <w:sz w:val="8"/>
                <w:szCs w:val="8"/>
                <w:lang w:val="en-US"/>
              </w:rPr>
            </w:pPr>
          </w:p>
        </w:tc>
        <w:tc>
          <w:tcPr>
            <w:tcW w:w="567" w:type="dxa"/>
            <w:shd w:val="clear" w:color="auto" w:fill="D9D9D9" w:themeFill="background1" w:themeFillShade="D9"/>
          </w:tcPr>
          <w:p w14:paraId="5073A4AE" w14:textId="77777777" w:rsidR="00D94E4D" w:rsidRPr="005403DD" w:rsidRDefault="00D94E4D" w:rsidP="00D94E4D">
            <w:pPr>
              <w:spacing w:after="0"/>
              <w:rPr>
                <w:rFonts w:ascii="Corbel" w:hAnsi="Corbel" w:cstheme="minorHAnsi"/>
                <w:sz w:val="8"/>
                <w:szCs w:val="8"/>
                <w:lang w:val="en-US"/>
              </w:rPr>
            </w:pPr>
          </w:p>
        </w:tc>
        <w:tc>
          <w:tcPr>
            <w:tcW w:w="2693" w:type="dxa"/>
            <w:shd w:val="clear" w:color="auto" w:fill="D9D9D9" w:themeFill="background1" w:themeFillShade="D9"/>
          </w:tcPr>
          <w:p w14:paraId="7F81853E" w14:textId="77777777" w:rsidR="00D94E4D" w:rsidRPr="005403DD" w:rsidRDefault="00D94E4D" w:rsidP="00D94E4D">
            <w:pPr>
              <w:spacing w:after="0"/>
              <w:jc w:val="center"/>
              <w:rPr>
                <w:rFonts w:ascii="Corbel" w:hAnsi="Corbel" w:cstheme="minorHAnsi"/>
                <w:sz w:val="8"/>
                <w:szCs w:val="8"/>
                <w:lang w:val="en-US"/>
              </w:rPr>
            </w:pPr>
          </w:p>
        </w:tc>
      </w:tr>
      <w:tr w:rsidR="00D94E4D" w:rsidRPr="005403DD" w14:paraId="72EF0405" w14:textId="77777777" w:rsidTr="00C04DFB">
        <w:trPr>
          <w:trHeight w:val="300"/>
        </w:trPr>
        <w:tc>
          <w:tcPr>
            <w:tcW w:w="510" w:type="dxa"/>
            <w:shd w:val="clear" w:color="auto" w:fill="auto"/>
          </w:tcPr>
          <w:p w14:paraId="37E3A31C"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32F533F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17.1 Strengthen domestic resource mobilization, including through international support to developing countries, to improve domestic capacity for tax and other revenue collection</w:t>
            </w:r>
          </w:p>
        </w:tc>
        <w:tc>
          <w:tcPr>
            <w:tcW w:w="397" w:type="dxa"/>
            <w:tcBorders>
              <w:left w:val="single" w:sz="4" w:space="0" w:color="auto"/>
              <w:right w:val="single" w:sz="4" w:space="0" w:color="auto"/>
            </w:tcBorders>
            <w:shd w:val="clear" w:color="auto" w:fill="auto"/>
          </w:tcPr>
          <w:p w14:paraId="03D6D5C3"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auto"/>
            <w:noWrap/>
            <w:hideMark/>
          </w:tcPr>
          <w:p w14:paraId="63D33D3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17.1.1a</w:t>
            </w:r>
          </w:p>
        </w:tc>
        <w:tc>
          <w:tcPr>
            <w:tcW w:w="3862" w:type="dxa"/>
            <w:tcBorders>
              <w:right w:val="single" w:sz="4" w:space="0" w:color="auto"/>
            </w:tcBorders>
            <w:shd w:val="clear" w:color="auto" w:fill="auto"/>
            <w:noWrap/>
            <w:hideMark/>
          </w:tcPr>
          <w:p w14:paraId="39DFE9E7"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Domestic revenue as share of GDP (%)</w:t>
            </w:r>
          </w:p>
        </w:tc>
        <w:tc>
          <w:tcPr>
            <w:tcW w:w="1277" w:type="dxa"/>
            <w:tcBorders>
              <w:left w:val="single" w:sz="4" w:space="0" w:color="auto"/>
            </w:tcBorders>
            <w:shd w:val="clear" w:color="auto" w:fill="auto"/>
          </w:tcPr>
          <w:p w14:paraId="5E1D1FFA" w14:textId="460CF406"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0.2</w:t>
            </w:r>
            <w:r w:rsidR="00707678" w:rsidRPr="00AB0BAD">
              <w:rPr>
                <w:rFonts w:ascii="Corbel" w:hAnsi="Corbel" w:cstheme="minorHAnsi"/>
                <w:sz w:val="16"/>
                <w:szCs w:val="16"/>
                <w:lang w:val="en-US"/>
              </w:rPr>
              <w:t>6</w:t>
            </w:r>
          </w:p>
        </w:tc>
        <w:tc>
          <w:tcPr>
            <w:tcW w:w="992" w:type="dxa"/>
            <w:shd w:val="clear" w:color="auto" w:fill="D9D9D9" w:themeFill="background1" w:themeFillShade="D9"/>
            <w:noWrap/>
            <w:hideMark/>
          </w:tcPr>
          <w:p w14:paraId="1E60AA97"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0.31</w:t>
            </w:r>
          </w:p>
        </w:tc>
        <w:tc>
          <w:tcPr>
            <w:tcW w:w="567" w:type="dxa"/>
          </w:tcPr>
          <w:p w14:paraId="7D7D247D"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44EDD41C"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SDG Target 17.1 is to strengthen. Target set at 20% increase on baseline; calibrated from timeseries data (max = 0.32)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D94E4D" w:rsidRPr="005403DD" w14:paraId="20DAB377" w14:textId="77777777" w:rsidTr="00C04DFB">
        <w:trPr>
          <w:trHeight w:val="300"/>
        </w:trPr>
        <w:tc>
          <w:tcPr>
            <w:tcW w:w="510" w:type="dxa"/>
            <w:shd w:val="clear" w:color="auto" w:fill="auto"/>
          </w:tcPr>
          <w:p w14:paraId="567A2974"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279527E0"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17.1</w:t>
            </w:r>
          </w:p>
        </w:tc>
        <w:tc>
          <w:tcPr>
            <w:tcW w:w="397" w:type="dxa"/>
            <w:tcBorders>
              <w:left w:val="single" w:sz="4" w:space="0" w:color="auto"/>
              <w:right w:val="single" w:sz="4" w:space="0" w:color="auto"/>
            </w:tcBorders>
            <w:shd w:val="clear" w:color="auto" w:fill="auto"/>
          </w:tcPr>
          <w:p w14:paraId="202782F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auto"/>
            <w:noWrap/>
            <w:hideMark/>
          </w:tcPr>
          <w:p w14:paraId="26D7CEE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17.1.1b</w:t>
            </w:r>
          </w:p>
        </w:tc>
        <w:tc>
          <w:tcPr>
            <w:tcW w:w="3862" w:type="dxa"/>
            <w:tcBorders>
              <w:right w:val="single" w:sz="4" w:space="0" w:color="auto"/>
            </w:tcBorders>
            <w:shd w:val="clear" w:color="auto" w:fill="auto"/>
            <w:noWrap/>
            <w:hideMark/>
          </w:tcPr>
          <w:p w14:paraId="4028CB2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Direct taxes as share of GDP (%)</w:t>
            </w:r>
          </w:p>
        </w:tc>
        <w:tc>
          <w:tcPr>
            <w:tcW w:w="1277" w:type="dxa"/>
            <w:tcBorders>
              <w:left w:val="single" w:sz="4" w:space="0" w:color="auto"/>
            </w:tcBorders>
            <w:shd w:val="clear" w:color="auto" w:fill="auto"/>
          </w:tcPr>
          <w:p w14:paraId="78069E8F" w14:textId="52AC83B8"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0.05</w:t>
            </w:r>
            <w:r w:rsidR="00AE447A" w:rsidRPr="00AB0BAD">
              <w:rPr>
                <w:rFonts w:ascii="Corbel" w:hAnsi="Corbel" w:cstheme="minorHAnsi"/>
                <w:sz w:val="16"/>
                <w:szCs w:val="16"/>
                <w:lang w:val="en-US"/>
              </w:rPr>
              <w:t>8</w:t>
            </w:r>
          </w:p>
        </w:tc>
        <w:tc>
          <w:tcPr>
            <w:tcW w:w="992" w:type="dxa"/>
            <w:shd w:val="clear" w:color="auto" w:fill="D9D9D9" w:themeFill="background1" w:themeFillShade="D9"/>
            <w:noWrap/>
            <w:hideMark/>
          </w:tcPr>
          <w:p w14:paraId="30FDDCC5" w14:textId="545EFE20"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0.086</w:t>
            </w:r>
          </w:p>
        </w:tc>
        <w:tc>
          <w:tcPr>
            <w:tcW w:w="567" w:type="dxa"/>
          </w:tcPr>
          <w:p w14:paraId="160B3F1F"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48813BAA"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50% increase on baseline; calibrated from timeseries data (max = 0.09)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D94E4D" w:rsidRPr="005403DD" w14:paraId="76155CDF" w14:textId="77777777" w:rsidTr="00C04DFB">
        <w:trPr>
          <w:trHeight w:val="300"/>
        </w:trPr>
        <w:tc>
          <w:tcPr>
            <w:tcW w:w="510" w:type="dxa"/>
            <w:shd w:val="clear" w:color="auto" w:fill="auto"/>
          </w:tcPr>
          <w:p w14:paraId="01239362"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CD9BE17"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17.1</w:t>
            </w:r>
          </w:p>
        </w:tc>
        <w:tc>
          <w:tcPr>
            <w:tcW w:w="397" w:type="dxa"/>
            <w:tcBorders>
              <w:left w:val="single" w:sz="4" w:space="0" w:color="auto"/>
              <w:right w:val="single" w:sz="4" w:space="0" w:color="auto"/>
            </w:tcBorders>
            <w:shd w:val="clear" w:color="auto" w:fill="auto"/>
          </w:tcPr>
          <w:p w14:paraId="585E47A1"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auto"/>
            <w:noWrap/>
            <w:hideMark/>
          </w:tcPr>
          <w:p w14:paraId="33EED789"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17.1.1c</w:t>
            </w:r>
          </w:p>
        </w:tc>
        <w:tc>
          <w:tcPr>
            <w:tcW w:w="3862" w:type="dxa"/>
            <w:tcBorders>
              <w:right w:val="single" w:sz="4" w:space="0" w:color="auto"/>
            </w:tcBorders>
            <w:shd w:val="clear" w:color="auto" w:fill="auto"/>
            <w:noWrap/>
            <w:hideMark/>
          </w:tcPr>
          <w:p w14:paraId="6CCF79C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Indirect taxes as share of GDP</w:t>
            </w:r>
          </w:p>
        </w:tc>
        <w:tc>
          <w:tcPr>
            <w:tcW w:w="1277" w:type="dxa"/>
            <w:tcBorders>
              <w:left w:val="single" w:sz="4" w:space="0" w:color="auto"/>
            </w:tcBorders>
            <w:shd w:val="clear" w:color="auto" w:fill="auto"/>
          </w:tcPr>
          <w:p w14:paraId="6E7F0341" w14:textId="1E411FC9"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0.1</w:t>
            </w:r>
            <w:r w:rsidR="00EE0550" w:rsidRPr="00AB0BAD">
              <w:rPr>
                <w:rFonts w:ascii="Corbel" w:hAnsi="Corbel" w:cstheme="minorHAnsi"/>
                <w:sz w:val="16"/>
                <w:szCs w:val="16"/>
                <w:lang w:val="en-US"/>
              </w:rPr>
              <w:t>7</w:t>
            </w:r>
          </w:p>
        </w:tc>
        <w:tc>
          <w:tcPr>
            <w:tcW w:w="992" w:type="dxa"/>
            <w:shd w:val="clear" w:color="auto" w:fill="D9D9D9" w:themeFill="background1" w:themeFillShade="D9"/>
            <w:noWrap/>
            <w:hideMark/>
          </w:tcPr>
          <w:p w14:paraId="19ACD784" w14:textId="4CC724D3"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0.18</w:t>
            </w:r>
          </w:p>
        </w:tc>
        <w:tc>
          <w:tcPr>
            <w:tcW w:w="567" w:type="dxa"/>
          </w:tcPr>
          <w:p w14:paraId="16D4A305"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767EB5E7"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10% increase on baseline; calibrated from timeseries data (max = 0.18; min = 0.12)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 xml:space="preserve"> </w:t>
            </w:r>
          </w:p>
        </w:tc>
      </w:tr>
      <w:tr w:rsidR="00D94E4D" w:rsidRPr="005403DD" w14:paraId="3DF8C51C" w14:textId="77777777" w:rsidTr="00C04DFB">
        <w:trPr>
          <w:trHeight w:val="300"/>
        </w:trPr>
        <w:tc>
          <w:tcPr>
            <w:tcW w:w="510" w:type="dxa"/>
            <w:shd w:val="clear" w:color="auto" w:fill="auto"/>
          </w:tcPr>
          <w:p w14:paraId="2C98BDE4"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7AB99670"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17.1</w:t>
            </w:r>
          </w:p>
        </w:tc>
        <w:tc>
          <w:tcPr>
            <w:tcW w:w="397" w:type="dxa"/>
            <w:tcBorders>
              <w:left w:val="single" w:sz="4" w:space="0" w:color="auto"/>
              <w:right w:val="single" w:sz="4" w:space="0" w:color="auto"/>
            </w:tcBorders>
            <w:shd w:val="clear" w:color="auto" w:fill="auto"/>
          </w:tcPr>
          <w:p w14:paraId="3CCD32E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auto"/>
            <w:noWrap/>
            <w:hideMark/>
          </w:tcPr>
          <w:p w14:paraId="2725ED08"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17.1.2</w:t>
            </w:r>
          </w:p>
        </w:tc>
        <w:tc>
          <w:tcPr>
            <w:tcW w:w="3862" w:type="dxa"/>
            <w:tcBorders>
              <w:right w:val="single" w:sz="4" w:space="0" w:color="auto"/>
            </w:tcBorders>
            <w:shd w:val="clear" w:color="auto" w:fill="auto"/>
            <w:noWrap/>
            <w:hideMark/>
          </w:tcPr>
          <w:p w14:paraId="75031914"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Tax burden – proportion of domestic budget funded by domestic taxes</w:t>
            </w:r>
          </w:p>
          <w:p w14:paraId="12E617EB" w14:textId="77777777" w:rsidR="00D94E4D" w:rsidRPr="005403DD" w:rsidRDefault="00D94E4D" w:rsidP="00D94E4D">
            <w:pPr>
              <w:spacing w:after="0"/>
              <w:rPr>
                <w:rFonts w:ascii="Corbel" w:hAnsi="Corbel" w:cstheme="minorHAnsi"/>
                <w:sz w:val="16"/>
                <w:szCs w:val="16"/>
                <w:lang w:val="en-US"/>
              </w:rPr>
            </w:pPr>
          </w:p>
        </w:tc>
        <w:tc>
          <w:tcPr>
            <w:tcW w:w="1277" w:type="dxa"/>
            <w:tcBorders>
              <w:left w:val="single" w:sz="4" w:space="0" w:color="auto"/>
            </w:tcBorders>
            <w:shd w:val="clear" w:color="auto" w:fill="auto"/>
          </w:tcPr>
          <w:p w14:paraId="20304B65" w14:textId="7A89DBFE"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lastRenderedPageBreak/>
              <w:t>0.8</w:t>
            </w:r>
          </w:p>
        </w:tc>
        <w:tc>
          <w:tcPr>
            <w:tcW w:w="992" w:type="dxa"/>
            <w:shd w:val="clear" w:color="auto" w:fill="D9D9D9" w:themeFill="background1" w:themeFillShade="D9"/>
            <w:noWrap/>
            <w:hideMark/>
          </w:tcPr>
          <w:p w14:paraId="77C91DEE"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0.88</w:t>
            </w:r>
          </w:p>
        </w:tc>
        <w:tc>
          <w:tcPr>
            <w:tcW w:w="567" w:type="dxa"/>
          </w:tcPr>
          <w:p w14:paraId="798E3529"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5F9A4FEB"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10% increase on baseline; calibrated off historic data </w:t>
            </w:r>
            <w:r w:rsidRPr="005403DD">
              <w:rPr>
                <w:rFonts w:ascii="Corbel" w:hAnsi="Corbel" w:cstheme="minorHAnsi"/>
                <w:sz w:val="16"/>
                <w:szCs w:val="16"/>
                <w:lang w:val="en-US"/>
              </w:rPr>
              <w:lastRenderedPageBreak/>
              <w:t xml:space="preserve">and BAU projection (max = 1.08)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(The World Bank, 2018)</w:t>
            </w:r>
            <w:r w:rsidRPr="005403DD">
              <w:rPr>
                <w:rFonts w:ascii="Corbel" w:hAnsi="Corbel" w:cstheme="minorHAnsi"/>
                <w:sz w:val="16"/>
                <w:szCs w:val="16"/>
                <w:lang w:val="en-US"/>
              </w:rPr>
              <w:fldChar w:fldCharType="end"/>
            </w:r>
          </w:p>
        </w:tc>
      </w:tr>
      <w:tr w:rsidR="00D94E4D" w:rsidRPr="005403DD" w14:paraId="5A6612EE" w14:textId="77777777" w:rsidTr="00C04DFB">
        <w:trPr>
          <w:trHeight w:val="300"/>
        </w:trPr>
        <w:tc>
          <w:tcPr>
            <w:tcW w:w="510" w:type="dxa"/>
            <w:shd w:val="clear" w:color="auto" w:fill="auto"/>
          </w:tcPr>
          <w:p w14:paraId="0BAE9BBE"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44996FF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17.3 Mobilize additional financial resources for developing countries from multiple sources</w:t>
            </w:r>
          </w:p>
        </w:tc>
        <w:tc>
          <w:tcPr>
            <w:tcW w:w="397" w:type="dxa"/>
            <w:tcBorders>
              <w:left w:val="single" w:sz="4" w:space="0" w:color="auto"/>
              <w:right w:val="single" w:sz="4" w:space="0" w:color="auto"/>
            </w:tcBorders>
            <w:shd w:val="clear" w:color="auto" w:fill="auto"/>
          </w:tcPr>
          <w:p w14:paraId="4D69031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auto"/>
            <w:noWrap/>
          </w:tcPr>
          <w:p w14:paraId="50A8513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17.3.1</w:t>
            </w:r>
          </w:p>
        </w:tc>
        <w:tc>
          <w:tcPr>
            <w:tcW w:w="3862" w:type="dxa"/>
            <w:tcBorders>
              <w:right w:val="single" w:sz="4" w:space="0" w:color="auto"/>
            </w:tcBorders>
            <w:shd w:val="clear" w:color="auto" w:fill="auto"/>
            <w:noWrap/>
          </w:tcPr>
          <w:p w14:paraId="644065DF"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FDI and ODA as a proportion of total domestic budget - grants as share of domestic revenue</w:t>
            </w:r>
          </w:p>
        </w:tc>
        <w:tc>
          <w:tcPr>
            <w:tcW w:w="1277" w:type="dxa"/>
            <w:tcBorders>
              <w:left w:val="single" w:sz="4" w:space="0" w:color="auto"/>
            </w:tcBorders>
            <w:shd w:val="clear" w:color="auto" w:fill="auto"/>
          </w:tcPr>
          <w:p w14:paraId="15911360"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0.09</w:t>
            </w:r>
          </w:p>
        </w:tc>
        <w:tc>
          <w:tcPr>
            <w:tcW w:w="992" w:type="dxa"/>
            <w:shd w:val="clear" w:color="auto" w:fill="D9D9D9" w:themeFill="background1" w:themeFillShade="D9"/>
            <w:noWrap/>
          </w:tcPr>
          <w:p w14:paraId="79A10AE9" w14:textId="04FFBE84"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0.1</w:t>
            </w:r>
            <w:r w:rsidR="00C66CC1" w:rsidRPr="00AB0BAD">
              <w:rPr>
                <w:rFonts w:ascii="Corbel" w:hAnsi="Corbel" w:cstheme="minorHAnsi"/>
                <w:sz w:val="16"/>
                <w:szCs w:val="16"/>
                <w:lang w:val="en-US"/>
              </w:rPr>
              <w:t>1</w:t>
            </w:r>
          </w:p>
        </w:tc>
        <w:tc>
          <w:tcPr>
            <w:tcW w:w="567" w:type="dxa"/>
          </w:tcPr>
          <w:p w14:paraId="322C7FF6"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R</w:t>
            </w:r>
          </w:p>
        </w:tc>
        <w:tc>
          <w:tcPr>
            <w:tcW w:w="2693" w:type="dxa"/>
            <w:shd w:val="clear" w:color="auto" w:fill="auto"/>
          </w:tcPr>
          <w:p w14:paraId="7035C8D2" w14:textId="7C6899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17.3 is to mobilize additional resources.  Target set as </w:t>
            </w:r>
            <w:r w:rsidR="00EA1FF7">
              <w:rPr>
                <w:rFonts w:ascii="Corbel" w:hAnsi="Corbel" w:cstheme="minorHAnsi"/>
                <w:sz w:val="16"/>
                <w:szCs w:val="16"/>
                <w:lang w:val="en-US"/>
              </w:rPr>
              <w:t>2</w:t>
            </w:r>
            <w:r w:rsidRPr="005403DD">
              <w:rPr>
                <w:rFonts w:ascii="Corbel" w:hAnsi="Corbel" w:cstheme="minorHAnsi"/>
                <w:sz w:val="16"/>
                <w:szCs w:val="16"/>
                <w:lang w:val="en-US"/>
              </w:rPr>
              <w:t>0% increase on baseline.</w:t>
            </w:r>
          </w:p>
        </w:tc>
      </w:tr>
      <w:tr w:rsidR="00D94E4D" w:rsidRPr="005403DD" w14:paraId="4CF8F3B6" w14:textId="77777777" w:rsidTr="00C04DFB">
        <w:trPr>
          <w:trHeight w:val="895"/>
        </w:trPr>
        <w:tc>
          <w:tcPr>
            <w:tcW w:w="510" w:type="dxa"/>
            <w:shd w:val="clear" w:color="auto" w:fill="auto"/>
          </w:tcPr>
          <w:p w14:paraId="18F10B01"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723FF755"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17.4 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tc>
        <w:tc>
          <w:tcPr>
            <w:tcW w:w="397" w:type="dxa"/>
            <w:tcBorders>
              <w:left w:val="single" w:sz="4" w:space="0" w:color="auto"/>
              <w:right w:val="single" w:sz="4" w:space="0" w:color="auto"/>
            </w:tcBorders>
            <w:shd w:val="clear" w:color="auto" w:fill="auto"/>
          </w:tcPr>
          <w:p w14:paraId="1B006D25"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auto"/>
            <w:noWrap/>
            <w:hideMark/>
          </w:tcPr>
          <w:p w14:paraId="7A67E241"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17.4.1</w:t>
            </w:r>
          </w:p>
        </w:tc>
        <w:tc>
          <w:tcPr>
            <w:tcW w:w="3862" w:type="dxa"/>
            <w:tcBorders>
              <w:right w:val="single" w:sz="4" w:space="0" w:color="auto"/>
            </w:tcBorders>
            <w:shd w:val="clear" w:color="auto" w:fill="auto"/>
            <w:noWrap/>
            <w:hideMark/>
          </w:tcPr>
          <w:p w14:paraId="7E5FD231"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Interest on public debt as share of export</w:t>
            </w:r>
          </w:p>
        </w:tc>
        <w:tc>
          <w:tcPr>
            <w:tcW w:w="1277" w:type="dxa"/>
            <w:tcBorders>
              <w:left w:val="single" w:sz="4" w:space="0" w:color="auto"/>
            </w:tcBorders>
            <w:shd w:val="clear" w:color="auto" w:fill="auto"/>
          </w:tcPr>
          <w:p w14:paraId="3D0FA84C" w14:textId="149DD60B"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w:t>
            </w:r>
            <w:r w:rsidR="008C13BF" w:rsidRPr="00AB0BAD">
              <w:rPr>
                <w:rFonts w:ascii="Corbel" w:hAnsi="Corbel" w:cstheme="minorHAnsi"/>
                <w:sz w:val="16"/>
                <w:szCs w:val="16"/>
                <w:lang w:val="en-US"/>
              </w:rPr>
              <w:t>56</w:t>
            </w:r>
          </w:p>
        </w:tc>
        <w:tc>
          <w:tcPr>
            <w:tcW w:w="992" w:type="dxa"/>
            <w:shd w:val="clear" w:color="auto" w:fill="D9D9D9" w:themeFill="background1" w:themeFillShade="D9"/>
            <w:noWrap/>
            <w:hideMark/>
          </w:tcPr>
          <w:p w14:paraId="1CB84740" w14:textId="74B38DC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0.0</w:t>
            </w:r>
            <w:r w:rsidR="008B1F12" w:rsidRPr="00AB0BAD">
              <w:rPr>
                <w:rFonts w:ascii="Corbel" w:hAnsi="Corbel" w:cstheme="minorHAnsi"/>
                <w:sz w:val="16"/>
                <w:szCs w:val="16"/>
                <w:lang w:val="en-US"/>
              </w:rPr>
              <w:t>51</w:t>
            </w:r>
          </w:p>
        </w:tc>
        <w:tc>
          <w:tcPr>
            <w:tcW w:w="567" w:type="dxa"/>
          </w:tcPr>
          <w:p w14:paraId="64921B58" w14:textId="4FC74805" w:rsidR="00D94E4D" w:rsidRPr="005403DD" w:rsidRDefault="00ED24F5" w:rsidP="00D94E4D">
            <w:pPr>
              <w:spacing w:after="0"/>
              <w:rPr>
                <w:rFonts w:ascii="Corbel" w:hAnsi="Corbel" w:cstheme="minorHAnsi"/>
                <w:sz w:val="16"/>
                <w:szCs w:val="16"/>
                <w:lang w:val="en-US"/>
              </w:rPr>
            </w:pPr>
            <w:r>
              <w:rPr>
                <w:rFonts w:ascii="Corbel" w:hAnsi="Corbel" w:cstheme="minorHAnsi"/>
                <w:sz w:val="16"/>
                <w:szCs w:val="16"/>
                <w:lang w:val="en-US"/>
              </w:rPr>
              <w:t>R</w:t>
            </w:r>
          </w:p>
        </w:tc>
        <w:tc>
          <w:tcPr>
            <w:tcW w:w="2693" w:type="dxa"/>
            <w:shd w:val="clear" w:color="auto" w:fill="auto"/>
          </w:tcPr>
          <w:p w14:paraId="542FE88B" w14:textId="757F02D4"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Target set at </w:t>
            </w:r>
            <w:r w:rsidR="00D77FEA">
              <w:rPr>
                <w:rFonts w:ascii="Corbel" w:hAnsi="Corbel" w:cstheme="minorHAnsi"/>
                <w:sz w:val="16"/>
                <w:szCs w:val="16"/>
                <w:lang w:val="en-US"/>
              </w:rPr>
              <w:t>1</w:t>
            </w:r>
            <w:r w:rsidRPr="005403DD">
              <w:rPr>
                <w:rFonts w:ascii="Corbel" w:hAnsi="Corbel" w:cstheme="minorHAnsi"/>
                <w:sz w:val="16"/>
                <w:szCs w:val="16"/>
                <w:lang w:val="en-US"/>
              </w:rPr>
              <w:t xml:space="preserve">0% improvement on baseline value; calibrated from timeseries data </w:t>
            </w:r>
            <w:r w:rsidRPr="005403DD">
              <w:rPr>
                <w:rFonts w:ascii="Corbel" w:hAnsi="Corbel" w:cstheme="minorHAnsi"/>
                <w:sz w:val="16"/>
                <w:szCs w:val="16"/>
                <w:lang w:val="en-US"/>
              </w:rPr>
              <w:fldChar w:fldCharType="begin"/>
            </w:r>
            <w:r w:rsidRPr="005403DD">
              <w:rPr>
                <w:rFonts w:ascii="Corbel" w:hAnsi="Corbel" w:cstheme="minorHAnsi"/>
                <w:sz w:val="16"/>
                <w:szCs w:val="16"/>
                <w:lang w:val="en-US"/>
              </w:rPr>
              <w:instrText xml:space="preserve"> ADDIN EN.CITE &lt;EndNote&gt;&lt;Cite&gt;&lt;Author&gt;IMF&lt;/Author&gt;&lt;Year&gt;2017&lt;/Year&gt;&lt;RecNum&gt;1053&lt;/RecNum&gt;&lt;DisplayText&gt;(IMF, 2017, The World Bank, 2018)&lt;/DisplayText&gt;&lt;record&gt;&lt;rec-number&gt;1053&lt;/rec-number&gt;&lt;foreign-keys&gt;&lt;key app="EN" db-id="9vsrvaat7fadwtesfsrpw5w5t0x5v500ef25" timestamp="1565086952"&gt;1053&lt;/key&gt;&lt;/foreign-keys&gt;&lt;ref-type name="Dataset"&gt;59&lt;/ref-type&gt;&lt;contributors&gt;&lt;authors&gt;&lt;author&gt;IMF&lt;/author&gt;&lt;/authors&gt;&lt;secondary-authors&gt;&lt;author&gt;International Monetary Fund&lt;/author&gt;&lt;/secondary-authors&gt;&lt;/contributors&gt;&lt;titles&gt;&lt;title&gt;Government Finance Statistics&lt;/title&gt;&lt;/titles&gt;&lt;dates&gt;&lt;year&gt;2017&lt;/year&gt;&lt;/dates&gt;&lt;pub-location&gt;Washington, USA&lt;/pub-location&gt;&lt;urls&gt;&lt;related-urls&gt;&lt;url&gt;http://data.imf.org/?sk=a0867067-d23c-4ebc-ad23-d3b015045405&lt;/url&gt;&lt;/related-urls&gt;&lt;/urls&gt;&lt;access-date&gt;15/02/18&lt;/access-date&gt;&lt;/record&gt;&lt;/Cite&gt;&lt;Cite&gt;&lt;Author&gt;The World Bank&lt;/Author&gt;&lt;Year&gt;2018&lt;/Year&gt;&lt;RecNum&gt;1061&lt;/RecNum&gt;&lt;record&gt;&lt;rec-number&gt;1061&lt;/rec-number&gt;&lt;foreign-keys&gt;&lt;key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rFonts w:ascii="Corbel" w:hAnsi="Corbel" w:cstheme="minorHAnsi"/>
                <w:sz w:val="16"/>
                <w:szCs w:val="16"/>
                <w:lang w:val="en-US"/>
              </w:rPr>
              <w:fldChar w:fldCharType="separate"/>
            </w:r>
            <w:r w:rsidRPr="005403DD">
              <w:rPr>
                <w:rFonts w:ascii="Corbel" w:hAnsi="Corbel" w:cstheme="minorHAnsi"/>
                <w:noProof/>
                <w:sz w:val="16"/>
                <w:szCs w:val="16"/>
                <w:lang w:val="en-US"/>
              </w:rPr>
              <w:t>(IMF, 2017, The World Bank, 2018)</w:t>
            </w:r>
            <w:r w:rsidRPr="005403DD">
              <w:rPr>
                <w:rFonts w:ascii="Corbel" w:hAnsi="Corbel" w:cstheme="minorHAnsi"/>
                <w:sz w:val="16"/>
                <w:szCs w:val="16"/>
                <w:lang w:val="en-US"/>
              </w:rPr>
              <w:fldChar w:fldCharType="end"/>
            </w:r>
            <w:r w:rsidRPr="005403DD">
              <w:rPr>
                <w:rFonts w:ascii="Corbel" w:hAnsi="Corbel" w:cstheme="minorHAnsi"/>
                <w:sz w:val="16"/>
                <w:szCs w:val="16"/>
                <w:lang w:val="en-US"/>
              </w:rPr>
              <w:t>.</w:t>
            </w:r>
          </w:p>
        </w:tc>
      </w:tr>
      <w:tr w:rsidR="00D94E4D" w:rsidRPr="005403DD" w14:paraId="6519CDF4" w14:textId="77777777" w:rsidTr="00C04DFB">
        <w:trPr>
          <w:trHeight w:val="493"/>
        </w:trPr>
        <w:tc>
          <w:tcPr>
            <w:tcW w:w="510" w:type="dxa"/>
            <w:shd w:val="clear" w:color="auto" w:fill="auto"/>
          </w:tcPr>
          <w:p w14:paraId="05AA7772" w14:textId="77777777" w:rsidR="00D94E4D" w:rsidRPr="005403DD" w:rsidRDefault="00D94E4D" w:rsidP="00D94E4D">
            <w:pPr>
              <w:spacing w:after="0"/>
              <w:rPr>
                <w:rFonts w:ascii="Corbel" w:hAnsi="Corbel" w:cstheme="minorHAnsi"/>
                <w:sz w:val="16"/>
                <w:szCs w:val="16"/>
                <w:lang w:val="en-US"/>
              </w:rPr>
            </w:pPr>
          </w:p>
        </w:tc>
        <w:tc>
          <w:tcPr>
            <w:tcW w:w="4195" w:type="dxa"/>
            <w:tcBorders>
              <w:right w:val="single" w:sz="4" w:space="0" w:color="auto"/>
            </w:tcBorders>
            <w:shd w:val="clear" w:color="auto" w:fill="auto"/>
          </w:tcPr>
          <w:p w14:paraId="77B4FA39"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17.4</w:t>
            </w:r>
          </w:p>
        </w:tc>
        <w:tc>
          <w:tcPr>
            <w:tcW w:w="397" w:type="dxa"/>
            <w:tcBorders>
              <w:left w:val="single" w:sz="4" w:space="0" w:color="auto"/>
              <w:right w:val="single" w:sz="4" w:space="0" w:color="auto"/>
            </w:tcBorders>
            <w:shd w:val="clear" w:color="auto" w:fill="auto"/>
          </w:tcPr>
          <w:p w14:paraId="74F0442E"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Ec</w:t>
            </w:r>
          </w:p>
        </w:tc>
        <w:tc>
          <w:tcPr>
            <w:tcW w:w="1100" w:type="dxa"/>
            <w:tcBorders>
              <w:left w:val="single" w:sz="4" w:space="0" w:color="auto"/>
            </w:tcBorders>
            <w:shd w:val="clear" w:color="auto" w:fill="auto"/>
            <w:noWrap/>
          </w:tcPr>
          <w:p w14:paraId="40749312"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17.4.1ALT</w:t>
            </w:r>
          </w:p>
        </w:tc>
        <w:tc>
          <w:tcPr>
            <w:tcW w:w="3862" w:type="dxa"/>
            <w:tcBorders>
              <w:right w:val="single" w:sz="4" w:space="0" w:color="auto"/>
            </w:tcBorders>
            <w:shd w:val="clear" w:color="auto" w:fill="auto"/>
            <w:noWrap/>
          </w:tcPr>
          <w:p w14:paraId="533AE4D7" w14:textId="77777777" w:rsidR="00D94E4D" w:rsidRPr="005403DD" w:rsidRDefault="00D94E4D" w:rsidP="00D94E4D">
            <w:pPr>
              <w:spacing w:after="0"/>
              <w:rPr>
                <w:rFonts w:ascii="Corbel" w:hAnsi="Corbel" w:cstheme="minorHAnsi"/>
                <w:sz w:val="16"/>
                <w:szCs w:val="16"/>
                <w:lang w:val="en-US"/>
              </w:rPr>
            </w:pPr>
            <w:r w:rsidRPr="005403DD">
              <w:rPr>
                <w:rFonts w:ascii="Corbel" w:hAnsi="Corbel" w:cstheme="minorHAnsi"/>
                <w:sz w:val="16"/>
                <w:szCs w:val="16"/>
                <w:lang w:val="en-US"/>
              </w:rPr>
              <w:t>Public debt as share of GDP (%)</w:t>
            </w:r>
          </w:p>
        </w:tc>
        <w:tc>
          <w:tcPr>
            <w:tcW w:w="1277" w:type="dxa"/>
            <w:tcBorders>
              <w:left w:val="single" w:sz="4" w:space="0" w:color="auto"/>
            </w:tcBorders>
            <w:shd w:val="clear" w:color="auto" w:fill="auto"/>
          </w:tcPr>
          <w:p w14:paraId="1569FB01" w14:textId="223E7FFC"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w:t>
            </w:r>
            <w:r w:rsidR="00981652" w:rsidRPr="00AB0BAD">
              <w:rPr>
                <w:rFonts w:ascii="Corbel" w:hAnsi="Corbel" w:cstheme="minorHAnsi"/>
                <w:sz w:val="16"/>
                <w:szCs w:val="16"/>
                <w:lang w:val="en-US"/>
              </w:rPr>
              <w:t>46</w:t>
            </w:r>
          </w:p>
        </w:tc>
        <w:tc>
          <w:tcPr>
            <w:tcW w:w="992" w:type="dxa"/>
            <w:shd w:val="clear" w:color="auto" w:fill="D9D9D9" w:themeFill="background1" w:themeFillShade="D9"/>
            <w:noWrap/>
          </w:tcPr>
          <w:p w14:paraId="1DCF023F" w14:textId="77777777" w:rsidR="00D94E4D" w:rsidRPr="00AB0BAD" w:rsidRDefault="00D94E4D" w:rsidP="00D94E4D">
            <w:pPr>
              <w:spacing w:after="0"/>
              <w:rPr>
                <w:rFonts w:ascii="Corbel" w:hAnsi="Corbel" w:cstheme="minorHAnsi"/>
                <w:sz w:val="16"/>
                <w:szCs w:val="16"/>
                <w:lang w:val="en-US"/>
              </w:rPr>
            </w:pPr>
            <w:r w:rsidRPr="00AB0BAD">
              <w:rPr>
                <w:rFonts w:ascii="Corbel" w:hAnsi="Corbel" w:cstheme="minorHAnsi"/>
                <w:sz w:val="16"/>
                <w:szCs w:val="16"/>
                <w:lang w:val="en-US"/>
              </w:rPr>
              <w:t>0.4</w:t>
            </w:r>
          </w:p>
        </w:tc>
        <w:tc>
          <w:tcPr>
            <w:tcW w:w="567" w:type="dxa"/>
          </w:tcPr>
          <w:p w14:paraId="2995FD29" w14:textId="2B22C0AF" w:rsidR="00D94E4D" w:rsidRPr="005403DD" w:rsidRDefault="00ED24F5" w:rsidP="00D94E4D">
            <w:pPr>
              <w:spacing w:after="0"/>
              <w:rPr>
                <w:rFonts w:ascii="Corbel" w:hAnsi="Corbel" w:cstheme="minorHAnsi"/>
                <w:sz w:val="16"/>
                <w:szCs w:val="16"/>
                <w:lang w:val="en-US"/>
              </w:rPr>
            </w:pPr>
            <w:r>
              <w:rPr>
                <w:rFonts w:ascii="Corbel" w:hAnsi="Corbel" w:cstheme="minorHAnsi"/>
                <w:sz w:val="16"/>
                <w:szCs w:val="16"/>
                <w:lang w:val="en-US"/>
              </w:rPr>
              <w:t>A</w:t>
            </w:r>
          </w:p>
        </w:tc>
        <w:tc>
          <w:tcPr>
            <w:tcW w:w="2693" w:type="dxa"/>
            <w:shd w:val="clear" w:color="auto" w:fill="auto"/>
          </w:tcPr>
          <w:p w14:paraId="7A1DD24D" w14:textId="77777777" w:rsidR="00D94E4D" w:rsidRPr="005403DD" w:rsidRDefault="00D94E4D" w:rsidP="00D94E4D">
            <w:pPr>
              <w:spacing w:after="0"/>
              <w:jc w:val="center"/>
              <w:rPr>
                <w:rFonts w:ascii="Corbel" w:hAnsi="Corbel" w:cstheme="minorHAnsi"/>
                <w:sz w:val="16"/>
                <w:szCs w:val="16"/>
                <w:lang w:val="en-US"/>
              </w:rPr>
            </w:pPr>
            <w:r w:rsidRPr="005403DD">
              <w:rPr>
                <w:rFonts w:ascii="Corbel" w:hAnsi="Corbel" w:cstheme="minorHAnsi"/>
                <w:sz w:val="16"/>
                <w:szCs w:val="16"/>
                <w:lang w:val="en-US"/>
              </w:rPr>
              <w:t xml:space="preserve">Fiji’s NDP sets a target for 2031 of 40% GDP. </w:t>
            </w:r>
          </w:p>
        </w:tc>
      </w:tr>
      <w:tr w:rsidR="00D94E4D" w:rsidRPr="005403DD" w14:paraId="48B42CC9" w14:textId="77777777" w:rsidTr="00C04DFB">
        <w:trPr>
          <w:trHeight w:val="54"/>
        </w:trPr>
        <w:tc>
          <w:tcPr>
            <w:tcW w:w="510" w:type="dxa"/>
            <w:shd w:val="clear" w:color="auto" w:fill="D9D9D9" w:themeFill="background1" w:themeFillShade="D9"/>
          </w:tcPr>
          <w:p w14:paraId="29FEFEC1" w14:textId="77777777" w:rsidR="00D94E4D" w:rsidRPr="005403DD" w:rsidRDefault="00D94E4D" w:rsidP="00D94E4D">
            <w:pPr>
              <w:spacing w:after="0"/>
              <w:rPr>
                <w:rFonts w:ascii="Corbel" w:hAnsi="Corbel" w:cstheme="minorHAnsi"/>
                <w:sz w:val="8"/>
                <w:szCs w:val="8"/>
                <w:lang w:val="en-US"/>
              </w:rPr>
            </w:pPr>
          </w:p>
        </w:tc>
        <w:tc>
          <w:tcPr>
            <w:tcW w:w="4195" w:type="dxa"/>
            <w:tcBorders>
              <w:right w:val="single" w:sz="4" w:space="0" w:color="auto"/>
            </w:tcBorders>
            <w:shd w:val="clear" w:color="auto" w:fill="D9D9D9" w:themeFill="background1" w:themeFillShade="D9"/>
          </w:tcPr>
          <w:p w14:paraId="36800848" w14:textId="77777777" w:rsidR="00D94E4D" w:rsidRPr="005403DD" w:rsidRDefault="00D94E4D" w:rsidP="00D94E4D">
            <w:pPr>
              <w:spacing w:after="0"/>
              <w:rPr>
                <w:rFonts w:ascii="Corbel" w:hAnsi="Corbel" w:cstheme="minorHAnsi"/>
                <w:sz w:val="8"/>
                <w:szCs w:val="8"/>
                <w:lang w:val="en-US"/>
              </w:rPr>
            </w:pPr>
          </w:p>
        </w:tc>
        <w:tc>
          <w:tcPr>
            <w:tcW w:w="397" w:type="dxa"/>
            <w:tcBorders>
              <w:left w:val="single" w:sz="4" w:space="0" w:color="auto"/>
              <w:right w:val="single" w:sz="4" w:space="0" w:color="auto"/>
            </w:tcBorders>
            <w:shd w:val="clear" w:color="auto" w:fill="D9D9D9" w:themeFill="background1" w:themeFillShade="D9"/>
          </w:tcPr>
          <w:p w14:paraId="68CA87A6" w14:textId="77777777" w:rsidR="00D94E4D" w:rsidRPr="005403DD" w:rsidRDefault="00D94E4D" w:rsidP="00D94E4D">
            <w:pPr>
              <w:spacing w:after="0"/>
              <w:rPr>
                <w:rFonts w:ascii="Corbel" w:hAnsi="Corbel" w:cstheme="minorHAnsi"/>
                <w:sz w:val="8"/>
                <w:szCs w:val="8"/>
                <w:lang w:val="en-US"/>
              </w:rPr>
            </w:pPr>
          </w:p>
        </w:tc>
        <w:tc>
          <w:tcPr>
            <w:tcW w:w="1100" w:type="dxa"/>
            <w:tcBorders>
              <w:left w:val="single" w:sz="4" w:space="0" w:color="auto"/>
            </w:tcBorders>
            <w:shd w:val="clear" w:color="auto" w:fill="D9D9D9" w:themeFill="background1" w:themeFillShade="D9"/>
            <w:noWrap/>
          </w:tcPr>
          <w:p w14:paraId="3CC2CECF" w14:textId="77777777" w:rsidR="00D94E4D" w:rsidRPr="005403DD" w:rsidRDefault="00D94E4D" w:rsidP="00D94E4D">
            <w:pPr>
              <w:spacing w:after="0"/>
              <w:rPr>
                <w:rFonts w:ascii="Corbel" w:hAnsi="Corbel" w:cstheme="minorHAnsi"/>
                <w:sz w:val="8"/>
                <w:szCs w:val="8"/>
                <w:lang w:val="en-US"/>
              </w:rPr>
            </w:pPr>
          </w:p>
        </w:tc>
        <w:tc>
          <w:tcPr>
            <w:tcW w:w="3862" w:type="dxa"/>
            <w:tcBorders>
              <w:right w:val="single" w:sz="4" w:space="0" w:color="auto"/>
            </w:tcBorders>
            <w:shd w:val="clear" w:color="auto" w:fill="D9D9D9" w:themeFill="background1" w:themeFillShade="D9"/>
            <w:noWrap/>
          </w:tcPr>
          <w:p w14:paraId="1884BD6F" w14:textId="77777777" w:rsidR="00D94E4D" w:rsidRPr="005403DD" w:rsidRDefault="00D94E4D" w:rsidP="00D94E4D">
            <w:pPr>
              <w:spacing w:after="0"/>
              <w:rPr>
                <w:rFonts w:ascii="Corbel" w:hAnsi="Corbel" w:cstheme="minorHAnsi"/>
                <w:sz w:val="8"/>
                <w:szCs w:val="8"/>
                <w:lang w:val="en-US"/>
              </w:rPr>
            </w:pPr>
          </w:p>
        </w:tc>
        <w:tc>
          <w:tcPr>
            <w:tcW w:w="1277" w:type="dxa"/>
            <w:tcBorders>
              <w:left w:val="single" w:sz="4" w:space="0" w:color="auto"/>
            </w:tcBorders>
            <w:shd w:val="clear" w:color="auto" w:fill="D9D9D9" w:themeFill="background1" w:themeFillShade="D9"/>
          </w:tcPr>
          <w:p w14:paraId="376403D2" w14:textId="77777777" w:rsidR="00D94E4D" w:rsidRPr="00AB0BAD" w:rsidRDefault="00D94E4D" w:rsidP="00D94E4D">
            <w:pPr>
              <w:spacing w:after="0"/>
              <w:rPr>
                <w:rFonts w:ascii="Corbel" w:hAnsi="Corbel" w:cstheme="minorHAnsi"/>
                <w:sz w:val="8"/>
                <w:szCs w:val="8"/>
                <w:lang w:val="en-US"/>
              </w:rPr>
            </w:pPr>
          </w:p>
        </w:tc>
        <w:tc>
          <w:tcPr>
            <w:tcW w:w="992" w:type="dxa"/>
            <w:shd w:val="clear" w:color="auto" w:fill="D9D9D9" w:themeFill="background1" w:themeFillShade="D9"/>
            <w:noWrap/>
          </w:tcPr>
          <w:p w14:paraId="12F3677C" w14:textId="77777777" w:rsidR="00D94E4D" w:rsidRPr="00AB0BAD" w:rsidRDefault="00D94E4D" w:rsidP="00D94E4D">
            <w:pPr>
              <w:spacing w:after="0"/>
              <w:rPr>
                <w:rFonts w:ascii="Corbel" w:hAnsi="Corbel" w:cstheme="minorHAnsi"/>
                <w:sz w:val="8"/>
                <w:szCs w:val="8"/>
                <w:lang w:val="en-US"/>
              </w:rPr>
            </w:pPr>
          </w:p>
        </w:tc>
        <w:tc>
          <w:tcPr>
            <w:tcW w:w="567" w:type="dxa"/>
            <w:shd w:val="clear" w:color="auto" w:fill="D9D9D9" w:themeFill="background1" w:themeFillShade="D9"/>
          </w:tcPr>
          <w:p w14:paraId="1ED5AB82" w14:textId="77777777" w:rsidR="00D94E4D" w:rsidRPr="005403DD" w:rsidRDefault="00D94E4D" w:rsidP="00D94E4D">
            <w:pPr>
              <w:spacing w:after="0"/>
              <w:rPr>
                <w:rFonts w:ascii="Corbel" w:hAnsi="Corbel" w:cstheme="minorHAnsi"/>
                <w:sz w:val="8"/>
                <w:szCs w:val="8"/>
                <w:lang w:val="en-US"/>
              </w:rPr>
            </w:pPr>
          </w:p>
        </w:tc>
        <w:tc>
          <w:tcPr>
            <w:tcW w:w="2693" w:type="dxa"/>
            <w:shd w:val="clear" w:color="auto" w:fill="D9D9D9" w:themeFill="background1" w:themeFillShade="D9"/>
          </w:tcPr>
          <w:p w14:paraId="06215B31" w14:textId="77777777" w:rsidR="00D94E4D" w:rsidRPr="005403DD" w:rsidRDefault="00D94E4D" w:rsidP="00D94E4D">
            <w:pPr>
              <w:spacing w:after="0"/>
              <w:jc w:val="center"/>
              <w:rPr>
                <w:rFonts w:ascii="Corbel" w:hAnsi="Corbel" w:cstheme="minorHAnsi"/>
                <w:sz w:val="8"/>
                <w:szCs w:val="8"/>
                <w:lang w:val="en-US"/>
              </w:rPr>
            </w:pPr>
          </w:p>
        </w:tc>
      </w:tr>
    </w:tbl>
    <w:p w14:paraId="0431CF83" w14:textId="77777777" w:rsidR="001D1322" w:rsidRDefault="001D1322" w:rsidP="00E92CE0">
      <w:pPr>
        <w:rPr>
          <w:b/>
        </w:rPr>
      </w:pPr>
    </w:p>
    <w:p w14:paraId="4BC90A75" w14:textId="77777777" w:rsidR="001D1322" w:rsidRPr="001D1322" w:rsidRDefault="001D1322" w:rsidP="00E92CE0">
      <w:pPr>
        <w:rPr>
          <w:bCs/>
        </w:rPr>
      </w:pPr>
    </w:p>
    <w:p w14:paraId="5DA21658" w14:textId="77777777" w:rsidR="001D1322" w:rsidRDefault="001D1322" w:rsidP="00E92CE0">
      <w:pPr>
        <w:rPr>
          <w:b/>
        </w:rPr>
      </w:pPr>
    </w:p>
    <w:p w14:paraId="57C217DB" w14:textId="7AA31679" w:rsidR="001D1322" w:rsidRDefault="001D1322" w:rsidP="00E92CE0">
      <w:pPr>
        <w:rPr>
          <w:b/>
        </w:rPr>
        <w:sectPr w:rsidR="001D1322" w:rsidSect="001D1322">
          <w:pgSz w:w="16838" w:h="11906" w:orient="landscape"/>
          <w:pgMar w:top="1440" w:right="1440" w:bottom="1440" w:left="1440" w:header="709" w:footer="709" w:gutter="0"/>
          <w:cols w:space="708"/>
          <w:docGrid w:linePitch="360"/>
        </w:sectPr>
      </w:pPr>
    </w:p>
    <w:p w14:paraId="3C567C26" w14:textId="2236E5B8" w:rsidR="00373308" w:rsidRDefault="00373308" w:rsidP="00373308">
      <w:pPr>
        <w:rPr>
          <w:b/>
          <w:bCs/>
          <w:lang w:val="en-AU"/>
        </w:rPr>
      </w:pPr>
      <w:r>
        <w:rPr>
          <w:b/>
        </w:rPr>
        <w:lastRenderedPageBreak/>
        <w:t xml:space="preserve">SUPPLEMENTARY TABLE 3. </w:t>
      </w:r>
      <w:bookmarkStart w:id="2" w:name="_Toc19554407"/>
      <w:r>
        <w:rPr>
          <w:b/>
        </w:rPr>
        <w:t>ERROR ANALYSIS OF BAU SIMULATIONS FOR A SELECTION OF VARIABLES</w:t>
      </w:r>
      <w:bookmarkEnd w:id="2"/>
    </w:p>
    <w:tbl>
      <w:tblPr>
        <w:tblStyle w:val="TableGrid2"/>
        <w:tblW w:w="9279" w:type="dxa"/>
        <w:tblInd w:w="-5"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3458"/>
        <w:gridCol w:w="906"/>
        <w:gridCol w:w="979"/>
        <w:gridCol w:w="986"/>
        <w:gridCol w:w="991"/>
        <w:gridCol w:w="980"/>
        <w:gridCol w:w="979"/>
      </w:tblGrid>
      <w:tr w:rsidR="00373308" w:rsidRPr="006F5FB2" w14:paraId="7ABC904E" w14:textId="77777777" w:rsidTr="00C04DFB">
        <w:tc>
          <w:tcPr>
            <w:tcW w:w="3458" w:type="dxa"/>
          </w:tcPr>
          <w:p w14:paraId="5CE58DE7" w14:textId="77777777" w:rsidR="00373308" w:rsidRPr="006F5FB2" w:rsidRDefault="00373308" w:rsidP="00C04DFB">
            <w:pPr>
              <w:spacing w:before="60" w:after="60"/>
              <w:jc w:val="center"/>
              <w:rPr>
                <w:rFonts w:cstheme="minorHAnsi"/>
                <w:b/>
                <w:iCs/>
                <w:sz w:val="16"/>
                <w:szCs w:val="16"/>
              </w:rPr>
            </w:pPr>
            <w:r w:rsidRPr="006F5FB2">
              <w:rPr>
                <w:rFonts w:cstheme="minorHAnsi"/>
                <w:b/>
                <w:iCs/>
                <w:sz w:val="16"/>
                <w:szCs w:val="16"/>
              </w:rPr>
              <w:t>Variable</w:t>
            </w:r>
          </w:p>
        </w:tc>
        <w:tc>
          <w:tcPr>
            <w:tcW w:w="906" w:type="dxa"/>
          </w:tcPr>
          <w:p w14:paraId="6D81B76C" w14:textId="77777777" w:rsidR="00373308" w:rsidRPr="006F5FB2" w:rsidRDefault="00373308" w:rsidP="00C04DFB">
            <w:pPr>
              <w:spacing w:before="60" w:after="60"/>
              <w:jc w:val="center"/>
              <w:rPr>
                <w:rFonts w:cstheme="minorHAnsi"/>
                <w:b/>
                <w:iCs/>
                <w:sz w:val="16"/>
                <w:szCs w:val="16"/>
              </w:rPr>
            </w:pPr>
            <w:r w:rsidRPr="006F5FB2">
              <w:rPr>
                <w:rFonts w:cstheme="minorHAnsi"/>
                <w:b/>
                <w:iCs/>
                <w:sz w:val="16"/>
                <w:szCs w:val="16"/>
              </w:rPr>
              <w:t>R</w:t>
            </w:r>
            <w:r w:rsidRPr="006F5FB2">
              <w:rPr>
                <w:rFonts w:cstheme="minorHAnsi"/>
                <w:b/>
                <w:iCs/>
                <w:sz w:val="16"/>
                <w:szCs w:val="16"/>
                <w:vertAlign w:val="superscript"/>
              </w:rPr>
              <w:t>2</w:t>
            </w:r>
          </w:p>
        </w:tc>
        <w:tc>
          <w:tcPr>
            <w:tcW w:w="979" w:type="dxa"/>
          </w:tcPr>
          <w:p w14:paraId="2466A8A4" w14:textId="77777777" w:rsidR="00373308" w:rsidRPr="006F5FB2" w:rsidRDefault="00373308" w:rsidP="00C04DFB">
            <w:pPr>
              <w:spacing w:before="60" w:after="60"/>
              <w:jc w:val="center"/>
              <w:rPr>
                <w:rFonts w:cstheme="minorHAnsi"/>
                <w:b/>
                <w:iCs/>
                <w:sz w:val="16"/>
                <w:szCs w:val="16"/>
              </w:rPr>
            </w:pPr>
            <w:r w:rsidRPr="006F5FB2">
              <w:rPr>
                <w:rFonts w:cstheme="minorHAnsi"/>
                <w:b/>
                <w:iCs/>
                <w:sz w:val="16"/>
                <w:szCs w:val="16"/>
              </w:rPr>
              <w:t>ME</w:t>
            </w:r>
          </w:p>
        </w:tc>
        <w:tc>
          <w:tcPr>
            <w:tcW w:w="986" w:type="dxa"/>
          </w:tcPr>
          <w:p w14:paraId="11605F8B" w14:textId="77777777" w:rsidR="00373308" w:rsidRPr="006F5FB2" w:rsidRDefault="00373308" w:rsidP="00C04DFB">
            <w:pPr>
              <w:spacing w:before="60" w:after="60"/>
              <w:jc w:val="center"/>
              <w:rPr>
                <w:rFonts w:cstheme="minorHAnsi"/>
                <w:b/>
                <w:iCs/>
                <w:sz w:val="16"/>
                <w:szCs w:val="16"/>
              </w:rPr>
            </w:pPr>
            <w:r w:rsidRPr="006F5FB2">
              <w:rPr>
                <w:rFonts w:cstheme="minorHAnsi"/>
                <w:b/>
                <w:iCs/>
                <w:sz w:val="16"/>
                <w:szCs w:val="16"/>
              </w:rPr>
              <w:t>RSME</w:t>
            </w:r>
          </w:p>
        </w:tc>
        <w:tc>
          <w:tcPr>
            <w:tcW w:w="991" w:type="dxa"/>
          </w:tcPr>
          <w:p w14:paraId="393E014F" w14:textId="77777777" w:rsidR="00373308" w:rsidRPr="006F5FB2" w:rsidRDefault="00373308" w:rsidP="00C04DFB">
            <w:pPr>
              <w:spacing w:before="60" w:after="60"/>
              <w:jc w:val="center"/>
              <w:rPr>
                <w:rFonts w:cstheme="minorHAnsi"/>
                <w:b/>
                <w:iCs/>
                <w:sz w:val="16"/>
                <w:szCs w:val="16"/>
              </w:rPr>
            </w:pPr>
            <w:r w:rsidRPr="006F5FB2">
              <w:rPr>
                <w:rFonts w:cstheme="minorHAnsi"/>
                <w:b/>
                <w:iCs/>
                <w:sz w:val="16"/>
                <w:szCs w:val="16"/>
              </w:rPr>
              <w:t>MAE</w:t>
            </w:r>
          </w:p>
        </w:tc>
        <w:tc>
          <w:tcPr>
            <w:tcW w:w="980" w:type="dxa"/>
          </w:tcPr>
          <w:p w14:paraId="1AC4F4D1" w14:textId="77777777" w:rsidR="00373308" w:rsidRPr="006F5FB2" w:rsidRDefault="00373308" w:rsidP="00C04DFB">
            <w:pPr>
              <w:spacing w:before="60" w:after="60"/>
              <w:jc w:val="center"/>
              <w:rPr>
                <w:rFonts w:cstheme="minorHAnsi"/>
                <w:b/>
                <w:iCs/>
                <w:sz w:val="16"/>
                <w:szCs w:val="16"/>
              </w:rPr>
            </w:pPr>
            <w:r w:rsidRPr="006F5FB2">
              <w:rPr>
                <w:rFonts w:cstheme="minorHAnsi"/>
                <w:b/>
                <w:iCs/>
                <w:sz w:val="16"/>
                <w:szCs w:val="16"/>
              </w:rPr>
              <w:t>MPE</w:t>
            </w:r>
          </w:p>
        </w:tc>
        <w:tc>
          <w:tcPr>
            <w:tcW w:w="979" w:type="dxa"/>
          </w:tcPr>
          <w:p w14:paraId="10F0A37C" w14:textId="77777777" w:rsidR="00373308" w:rsidRPr="006F5FB2" w:rsidRDefault="00373308" w:rsidP="00C04DFB">
            <w:pPr>
              <w:spacing w:before="60" w:after="60"/>
              <w:jc w:val="center"/>
              <w:rPr>
                <w:rFonts w:cstheme="minorHAnsi"/>
                <w:b/>
                <w:iCs/>
                <w:sz w:val="16"/>
                <w:szCs w:val="16"/>
              </w:rPr>
            </w:pPr>
            <w:r w:rsidRPr="006F5FB2">
              <w:rPr>
                <w:rFonts w:cstheme="minorHAnsi"/>
                <w:b/>
                <w:iCs/>
                <w:sz w:val="16"/>
                <w:szCs w:val="16"/>
              </w:rPr>
              <w:t>MAPE</w:t>
            </w:r>
          </w:p>
        </w:tc>
      </w:tr>
      <w:tr w:rsidR="00373308" w:rsidRPr="006F5FB2" w14:paraId="013B7A98" w14:textId="77777777" w:rsidTr="00C04DFB">
        <w:tc>
          <w:tcPr>
            <w:tcW w:w="3458" w:type="dxa"/>
          </w:tcPr>
          <w:p w14:paraId="2EF8EC62" w14:textId="77777777" w:rsidR="00373308" w:rsidRPr="006F5FB2" w:rsidRDefault="00373308" w:rsidP="00C04DFB">
            <w:pPr>
              <w:spacing w:before="60" w:after="60"/>
              <w:jc w:val="center"/>
              <w:rPr>
                <w:rFonts w:cstheme="minorHAnsi"/>
                <w:bCs/>
                <w:iCs/>
                <w:sz w:val="16"/>
                <w:szCs w:val="16"/>
              </w:rPr>
            </w:pPr>
            <w:r>
              <w:rPr>
                <w:rFonts w:cstheme="minorHAnsi"/>
                <w:bCs/>
                <w:iCs/>
                <w:sz w:val="16"/>
                <w:szCs w:val="16"/>
              </w:rPr>
              <w:t>Total p</w:t>
            </w:r>
            <w:r w:rsidRPr="006F5FB2">
              <w:rPr>
                <w:rFonts w:cstheme="minorHAnsi"/>
                <w:bCs/>
                <w:iCs/>
                <w:sz w:val="16"/>
                <w:szCs w:val="16"/>
              </w:rPr>
              <w:t>opulation (persons)</w:t>
            </w:r>
          </w:p>
        </w:tc>
        <w:tc>
          <w:tcPr>
            <w:tcW w:w="906" w:type="dxa"/>
          </w:tcPr>
          <w:p w14:paraId="1E9142BF" w14:textId="471EB48C" w:rsidR="00373308" w:rsidRPr="006F5FB2" w:rsidRDefault="00373308" w:rsidP="00C04DFB">
            <w:pPr>
              <w:spacing w:before="60" w:after="60"/>
              <w:jc w:val="center"/>
              <w:rPr>
                <w:rFonts w:cstheme="minorHAnsi"/>
                <w:bCs/>
                <w:iCs/>
                <w:sz w:val="16"/>
                <w:szCs w:val="16"/>
                <w:lang w:val="en-AU"/>
              </w:rPr>
            </w:pPr>
            <w:r w:rsidRPr="004706D6">
              <w:rPr>
                <w:rFonts w:cstheme="minorHAnsi"/>
                <w:bCs/>
                <w:iCs/>
                <w:sz w:val="16"/>
                <w:szCs w:val="16"/>
                <w:lang w:val="en-AU"/>
              </w:rPr>
              <w:t>0.9</w:t>
            </w:r>
            <w:r w:rsidR="00C84E48">
              <w:rPr>
                <w:rFonts w:cstheme="minorHAnsi"/>
                <w:bCs/>
                <w:iCs/>
                <w:sz w:val="16"/>
                <w:szCs w:val="16"/>
                <w:lang w:val="en-AU"/>
              </w:rPr>
              <w:t>80</w:t>
            </w:r>
          </w:p>
        </w:tc>
        <w:tc>
          <w:tcPr>
            <w:tcW w:w="979" w:type="dxa"/>
          </w:tcPr>
          <w:p w14:paraId="45BA5661" w14:textId="3EEF7CE2" w:rsidR="00373308" w:rsidRPr="006F5FB2" w:rsidRDefault="005B6295" w:rsidP="00C04DFB">
            <w:pPr>
              <w:spacing w:before="60" w:after="60"/>
              <w:jc w:val="center"/>
              <w:rPr>
                <w:rFonts w:cstheme="minorHAnsi"/>
                <w:bCs/>
                <w:iCs/>
                <w:sz w:val="16"/>
                <w:szCs w:val="16"/>
                <w:lang w:val="en-AU"/>
              </w:rPr>
            </w:pPr>
            <w:r>
              <w:rPr>
                <w:rFonts w:cstheme="minorHAnsi"/>
                <w:bCs/>
                <w:iCs/>
                <w:sz w:val="16"/>
                <w:szCs w:val="16"/>
              </w:rPr>
              <w:t>-</w:t>
            </w:r>
            <w:r w:rsidR="00E13874">
              <w:rPr>
                <w:rFonts w:cstheme="minorHAnsi"/>
                <w:bCs/>
                <w:iCs/>
                <w:sz w:val="16"/>
                <w:szCs w:val="16"/>
              </w:rPr>
              <w:t>3732.221</w:t>
            </w:r>
          </w:p>
        </w:tc>
        <w:tc>
          <w:tcPr>
            <w:tcW w:w="986" w:type="dxa"/>
          </w:tcPr>
          <w:p w14:paraId="18909B89" w14:textId="321D1C7B" w:rsidR="00373308" w:rsidRPr="006F5FB2" w:rsidRDefault="00E13874" w:rsidP="00C04DFB">
            <w:pPr>
              <w:spacing w:before="60" w:after="60"/>
              <w:jc w:val="center"/>
              <w:rPr>
                <w:rFonts w:cstheme="minorHAnsi"/>
                <w:bCs/>
                <w:iCs/>
                <w:sz w:val="16"/>
                <w:szCs w:val="16"/>
              </w:rPr>
            </w:pPr>
            <w:r>
              <w:rPr>
                <w:rFonts w:cstheme="minorHAnsi"/>
                <w:bCs/>
                <w:iCs/>
                <w:sz w:val="16"/>
                <w:szCs w:val="16"/>
              </w:rPr>
              <w:t>10508.63</w:t>
            </w:r>
          </w:p>
        </w:tc>
        <w:tc>
          <w:tcPr>
            <w:tcW w:w="991" w:type="dxa"/>
          </w:tcPr>
          <w:p w14:paraId="7EAB9781" w14:textId="2C330C1A" w:rsidR="00373308" w:rsidRPr="006F5FB2" w:rsidRDefault="00E13874" w:rsidP="00C04DFB">
            <w:pPr>
              <w:spacing w:before="60" w:after="60"/>
              <w:jc w:val="center"/>
              <w:rPr>
                <w:rFonts w:cstheme="minorHAnsi"/>
                <w:bCs/>
                <w:iCs/>
                <w:sz w:val="16"/>
                <w:szCs w:val="16"/>
              </w:rPr>
            </w:pPr>
            <w:r>
              <w:rPr>
                <w:rFonts w:cstheme="minorHAnsi"/>
                <w:bCs/>
                <w:iCs/>
                <w:sz w:val="16"/>
                <w:szCs w:val="16"/>
              </w:rPr>
              <w:t>9102.983</w:t>
            </w:r>
          </w:p>
        </w:tc>
        <w:tc>
          <w:tcPr>
            <w:tcW w:w="980" w:type="dxa"/>
          </w:tcPr>
          <w:p w14:paraId="17E02DAC" w14:textId="7E116258" w:rsidR="00373308" w:rsidRPr="006F5FB2" w:rsidRDefault="00E13874" w:rsidP="00C04DFB">
            <w:pPr>
              <w:spacing w:before="60" w:after="60"/>
              <w:jc w:val="center"/>
              <w:rPr>
                <w:rFonts w:cstheme="minorHAnsi"/>
                <w:bCs/>
                <w:iCs/>
                <w:sz w:val="16"/>
                <w:szCs w:val="16"/>
              </w:rPr>
            </w:pPr>
            <w:r>
              <w:rPr>
                <w:rFonts w:cstheme="minorHAnsi"/>
                <w:bCs/>
                <w:iCs/>
                <w:sz w:val="16"/>
                <w:szCs w:val="16"/>
              </w:rPr>
              <w:t>-0.516</w:t>
            </w:r>
          </w:p>
        </w:tc>
        <w:tc>
          <w:tcPr>
            <w:tcW w:w="979" w:type="dxa"/>
          </w:tcPr>
          <w:p w14:paraId="0E44D210" w14:textId="79D964E3" w:rsidR="00373308" w:rsidRPr="006F5FB2" w:rsidRDefault="00E13874" w:rsidP="00C04DFB">
            <w:pPr>
              <w:spacing w:before="60" w:after="60"/>
              <w:jc w:val="center"/>
              <w:rPr>
                <w:rFonts w:cstheme="minorHAnsi"/>
                <w:bCs/>
                <w:iCs/>
                <w:sz w:val="16"/>
                <w:szCs w:val="16"/>
              </w:rPr>
            </w:pPr>
            <w:r>
              <w:rPr>
                <w:rFonts w:cstheme="minorHAnsi"/>
                <w:bCs/>
                <w:iCs/>
                <w:sz w:val="16"/>
                <w:szCs w:val="16"/>
              </w:rPr>
              <w:t>1.124</w:t>
            </w:r>
          </w:p>
        </w:tc>
      </w:tr>
      <w:tr w:rsidR="00373308" w:rsidRPr="006F5FB2" w14:paraId="28DDCDC6" w14:textId="77777777" w:rsidTr="00C04DFB">
        <w:trPr>
          <w:trHeight w:val="318"/>
        </w:trPr>
        <w:tc>
          <w:tcPr>
            <w:tcW w:w="3458" w:type="dxa"/>
          </w:tcPr>
          <w:p w14:paraId="61DAD755" w14:textId="77777777" w:rsidR="00373308" w:rsidRPr="006F5FB2" w:rsidRDefault="00373308" w:rsidP="00C04DFB">
            <w:pPr>
              <w:spacing w:before="60" w:after="60"/>
              <w:jc w:val="center"/>
              <w:rPr>
                <w:rFonts w:cstheme="minorHAnsi"/>
                <w:bCs/>
                <w:iCs/>
                <w:sz w:val="16"/>
                <w:szCs w:val="16"/>
              </w:rPr>
            </w:pPr>
            <w:r w:rsidRPr="006F5FB2">
              <w:rPr>
                <w:rFonts w:cstheme="minorHAnsi"/>
                <w:bCs/>
                <w:iCs/>
                <w:sz w:val="16"/>
                <w:szCs w:val="16"/>
              </w:rPr>
              <w:t>Real GDP ($ 201</w:t>
            </w:r>
            <w:r>
              <w:rPr>
                <w:rFonts w:cstheme="minorHAnsi"/>
                <w:bCs/>
                <w:iCs/>
                <w:sz w:val="16"/>
                <w:szCs w:val="16"/>
              </w:rPr>
              <w:t>1</w:t>
            </w:r>
            <w:r w:rsidRPr="006F5FB2">
              <w:rPr>
                <w:rFonts w:cstheme="minorHAnsi"/>
                <w:bCs/>
                <w:iCs/>
                <w:sz w:val="16"/>
                <w:szCs w:val="16"/>
              </w:rPr>
              <w:t>)</w:t>
            </w:r>
          </w:p>
        </w:tc>
        <w:tc>
          <w:tcPr>
            <w:tcW w:w="906" w:type="dxa"/>
          </w:tcPr>
          <w:p w14:paraId="2383C7FA" w14:textId="2DF3ED1F" w:rsidR="00373308" w:rsidRPr="00743E7D" w:rsidRDefault="00373308" w:rsidP="00C04DFB">
            <w:pPr>
              <w:spacing w:before="60" w:after="60"/>
              <w:jc w:val="center"/>
              <w:rPr>
                <w:rFonts w:cstheme="minorHAnsi"/>
                <w:bCs/>
                <w:iCs/>
                <w:sz w:val="16"/>
                <w:szCs w:val="16"/>
                <w:lang w:val="en-AU"/>
              </w:rPr>
            </w:pPr>
            <w:r w:rsidRPr="00743E7D">
              <w:rPr>
                <w:rFonts w:cstheme="minorHAnsi"/>
                <w:bCs/>
                <w:iCs/>
                <w:sz w:val="16"/>
                <w:szCs w:val="16"/>
                <w:lang w:val="en-AU"/>
              </w:rPr>
              <w:t>0.9</w:t>
            </w:r>
            <w:r w:rsidR="00DB1AE4">
              <w:rPr>
                <w:rFonts w:cstheme="minorHAnsi"/>
                <w:bCs/>
                <w:iCs/>
                <w:sz w:val="16"/>
                <w:szCs w:val="16"/>
                <w:lang w:val="en-AU"/>
              </w:rPr>
              <w:t>6</w:t>
            </w:r>
            <w:r w:rsidR="00282257">
              <w:rPr>
                <w:rFonts w:cstheme="minorHAnsi"/>
                <w:bCs/>
                <w:iCs/>
                <w:sz w:val="16"/>
                <w:szCs w:val="16"/>
                <w:lang w:val="en-AU"/>
              </w:rPr>
              <w:t>5</w:t>
            </w:r>
          </w:p>
        </w:tc>
        <w:tc>
          <w:tcPr>
            <w:tcW w:w="979" w:type="dxa"/>
          </w:tcPr>
          <w:p w14:paraId="119B7693" w14:textId="0B33FF87" w:rsidR="00373308" w:rsidRPr="008636E7" w:rsidRDefault="00373308" w:rsidP="00C04DFB">
            <w:pPr>
              <w:spacing w:before="60" w:after="60"/>
              <w:jc w:val="center"/>
              <w:rPr>
                <w:rFonts w:cstheme="minorHAnsi"/>
                <w:bCs/>
                <w:iCs/>
                <w:sz w:val="16"/>
                <w:szCs w:val="16"/>
                <w:lang w:val="en-AU"/>
              </w:rPr>
            </w:pPr>
            <w:r w:rsidRPr="00743E7D">
              <w:rPr>
                <w:rFonts w:cstheme="minorHAnsi"/>
                <w:bCs/>
                <w:iCs/>
                <w:sz w:val="16"/>
                <w:szCs w:val="16"/>
                <w:lang w:val="en-AU"/>
              </w:rPr>
              <w:t>-0.0</w:t>
            </w:r>
            <w:r w:rsidR="00282257">
              <w:rPr>
                <w:rFonts w:cstheme="minorHAnsi"/>
                <w:bCs/>
                <w:iCs/>
                <w:sz w:val="16"/>
                <w:szCs w:val="16"/>
                <w:lang w:val="en-AU"/>
              </w:rPr>
              <w:t>67</w:t>
            </w:r>
          </w:p>
        </w:tc>
        <w:tc>
          <w:tcPr>
            <w:tcW w:w="986" w:type="dxa"/>
          </w:tcPr>
          <w:p w14:paraId="14209416" w14:textId="2AAC0F3B" w:rsidR="00373308" w:rsidRPr="006F5FB2" w:rsidRDefault="00142C62" w:rsidP="00C04DFB">
            <w:pPr>
              <w:spacing w:before="60" w:after="60"/>
              <w:jc w:val="center"/>
              <w:rPr>
                <w:rFonts w:cstheme="minorHAnsi"/>
                <w:bCs/>
                <w:iCs/>
                <w:sz w:val="16"/>
                <w:szCs w:val="16"/>
                <w:lang w:val="en-AU"/>
              </w:rPr>
            </w:pPr>
            <w:r>
              <w:rPr>
                <w:rFonts w:cstheme="minorHAnsi"/>
                <w:bCs/>
                <w:iCs/>
                <w:sz w:val="16"/>
                <w:szCs w:val="16"/>
                <w:lang w:val="en-AU"/>
              </w:rPr>
              <w:t>0.1</w:t>
            </w:r>
            <w:r w:rsidR="005C261B">
              <w:rPr>
                <w:rFonts w:cstheme="minorHAnsi"/>
                <w:bCs/>
                <w:iCs/>
                <w:sz w:val="16"/>
                <w:szCs w:val="16"/>
                <w:lang w:val="en-AU"/>
              </w:rPr>
              <w:t>98</w:t>
            </w:r>
          </w:p>
        </w:tc>
        <w:tc>
          <w:tcPr>
            <w:tcW w:w="991" w:type="dxa"/>
          </w:tcPr>
          <w:p w14:paraId="40DDC9B0" w14:textId="06FA89D2" w:rsidR="00373308" w:rsidRPr="006F5FB2" w:rsidRDefault="00142C62" w:rsidP="00C04DFB">
            <w:pPr>
              <w:spacing w:before="60" w:after="60"/>
              <w:jc w:val="center"/>
              <w:rPr>
                <w:rFonts w:cstheme="minorHAnsi"/>
                <w:bCs/>
                <w:iCs/>
                <w:sz w:val="16"/>
                <w:szCs w:val="16"/>
                <w:lang w:val="en-AU"/>
              </w:rPr>
            </w:pPr>
            <w:r>
              <w:rPr>
                <w:rFonts w:cstheme="minorHAnsi"/>
                <w:bCs/>
                <w:iCs/>
                <w:sz w:val="16"/>
                <w:szCs w:val="16"/>
                <w:lang w:val="en-AU"/>
              </w:rPr>
              <w:t>0.143</w:t>
            </w:r>
          </w:p>
        </w:tc>
        <w:tc>
          <w:tcPr>
            <w:tcW w:w="980" w:type="dxa"/>
          </w:tcPr>
          <w:p w14:paraId="178F3989" w14:textId="4A5975A0" w:rsidR="00373308" w:rsidRPr="006F5FB2" w:rsidRDefault="00142C62" w:rsidP="00C04DFB">
            <w:pPr>
              <w:spacing w:before="60" w:after="60"/>
              <w:jc w:val="center"/>
              <w:rPr>
                <w:rFonts w:cstheme="minorHAnsi"/>
                <w:bCs/>
                <w:iCs/>
                <w:sz w:val="16"/>
                <w:szCs w:val="16"/>
                <w:lang w:val="en-AU"/>
              </w:rPr>
            </w:pPr>
            <w:r>
              <w:rPr>
                <w:rFonts w:cstheme="minorHAnsi"/>
                <w:bCs/>
                <w:iCs/>
                <w:sz w:val="16"/>
                <w:szCs w:val="16"/>
                <w:lang w:val="en-AU"/>
              </w:rPr>
              <w:t>-1.</w:t>
            </w:r>
            <w:r w:rsidR="005C261B">
              <w:rPr>
                <w:rFonts w:cstheme="minorHAnsi"/>
                <w:bCs/>
                <w:iCs/>
                <w:sz w:val="16"/>
                <w:szCs w:val="16"/>
                <w:lang w:val="en-AU"/>
              </w:rPr>
              <w:t>162</w:t>
            </w:r>
          </w:p>
        </w:tc>
        <w:tc>
          <w:tcPr>
            <w:tcW w:w="979" w:type="dxa"/>
          </w:tcPr>
          <w:p w14:paraId="6C9EF304" w14:textId="02A7111D" w:rsidR="00373308" w:rsidRPr="006F5FB2" w:rsidRDefault="00B1099B" w:rsidP="00C04DFB">
            <w:pPr>
              <w:spacing w:before="60" w:after="60"/>
              <w:jc w:val="center"/>
              <w:rPr>
                <w:rFonts w:cstheme="minorHAnsi"/>
                <w:bCs/>
                <w:iCs/>
                <w:sz w:val="16"/>
                <w:szCs w:val="16"/>
                <w:lang w:val="en-AU"/>
              </w:rPr>
            </w:pPr>
            <w:r>
              <w:rPr>
                <w:rFonts w:cstheme="minorHAnsi"/>
                <w:bCs/>
                <w:iCs/>
                <w:sz w:val="16"/>
                <w:szCs w:val="16"/>
                <w:lang w:val="en-AU"/>
              </w:rPr>
              <w:t>2.5</w:t>
            </w:r>
            <w:r w:rsidR="005C261B">
              <w:rPr>
                <w:rFonts w:cstheme="minorHAnsi"/>
                <w:bCs/>
                <w:iCs/>
                <w:sz w:val="16"/>
                <w:szCs w:val="16"/>
                <w:lang w:val="en-AU"/>
              </w:rPr>
              <w:t>34</w:t>
            </w:r>
          </w:p>
        </w:tc>
      </w:tr>
      <w:tr w:rsidR="00373308" w:rsidRPr="006F5FB2" w14:paraId="192845F4" w14:textId="77777777" w:rsidTr="00C04DFB">
        <w:tc>
          <w:tcPr>
            <w:tcW w:w="3458" w:type="dxa"/>
          </w:tcPr>
          <w:p w14:paraId="602BFF5E" w14:textId="77777777" w:rsidR="00373308" w:rsidRPr="006F5FB2" w:rsidRDefault="00373308" w:rsidP="00C04DFB">
            <w:pPr>
              <w:spacing w:before="60" w:after="60"/>
              <w:jc w:val="center"/>
              <w:rPr>
                <w:rFonts w:cstheme="minorHAnsi"/>
                <w:bCs/>
                <w:iCs/>
                <w:sz w:val="16"/>
                <w:szCs w:val="16"/>
              </w:rPr>
            </w:pPr>
            <w:r>
              <w:rPr>
                <w:rFonts w:cstheme="minorHAnsi"/>
                <w:bCs/>
                <w:iCs/>
                <w:sz w:val="16"/>
                <w:szCs w:val="16"/>
              </w:rPr>
              <w:t>Total i</w:t>
            </w:r>
            <w:r w:rsidRPr="006F5FB2">
              <w:rPr>
                <w:rFonts w:cstheme="minorHAnsi"/>
                <w:bCs/>
                <w:iCs/>
                <w:sz w:val="16"/>
                <w:szCs w:val="16"/>
              </w:rPr>
              <w:t>nvestment ($)</w:t>
            </w:r>
          </w:p>
        </w:tc>
        <w:tc>
          <w:tcPr>
            <w:tcW w:w="906" w:type="dxa"/>
          </w:tcPr>
          <w:p w14:paraId="12F09C35" w14:textId="1195155B" w:rsidR="00373308" w:rsidRPr="006F5FB2" w:rsidRDefault="00373308" w:rsidP="00C04DFB">
            <w:pPr>
              <w:spacing w:before="60" w:after="60"/>
              <w:jc w:val="center"/>
              <w:rPr>
                <w:rFonts w:cstheme="minorHAnsi"/>
                <w:bCs/>
                <w:iCs/>
                <w:sz w:val="16"/>
                <w:szCs w:val="16"/>
              </w:rPr>
            </w:pPr>
            <w:r w:rsidRPr="003775AD">
              <w:rPr>
                <w:rFonts w:cstheme="minorHAnsi"/>
                <w:bCs/>
                <w:iCs/>
                <w:sz w:val="16"/>
                <w:szCs w:val="16"/>
              </w:rPr>
              <w:t>0.</w:t>
            </w:r>
            <w:r w:rsidR="0054639E">
              <w:rPr>
                <w:rFonts w:cstheme="minorHAnsi"/>
                <w:bCs/>
                <w:iCs/>
                <w:sz w:val="16"/>
                <w:szCs w:val="16"/>
              </w:rPr>
              <w:t>806</w:t>
            </w:r>
          </w:p>
        </w:tc>
        <w:tc>
          <w:tcPr>
            <w:tcW w:w="979" w:type="dxa"/>
          </w:tcPr>
          <w:p w14:paraId="33A555AD" w14:textId="722B1DDC" w:rsidR="00373308" w:rsidRPr="006F5FB2" w:rsidRDefault="004371FC" w:rsidP="00C04DFB">
            <w:pPr>
              <w:spacing w:before="60" w:after="60"/>
              <w:jc w:val="center"/>
              <w:rPr>
                <w:rFonts w:cstheme="minorHAnsi"/>
                <w:bCs/>
                <w:iCs/>
                <w:sz w:val="16"/>
                <w:szCs w:val="16"/>
              </w:rPr>
            </w:pPr>
            <w:r>
              <w:rPr>
                <w:rFonts w:cstheme="minorHAnsi"/>
                <w:bCs/>
                <w:iCs/>
                <w:sz w:val="16"/>
                <w:szCs w:val="16"/>
              </w:rPr>
              <w:t>-39743716</w:t>
            </w:r>
          </w:p>
        </w:tc>
        <w:tc>
          <w:tcPr>
            <w:tcW w:w="986" w:type="dxa"/>
          </w:tcPr>
          <w:p w14:paraId="68D49F11" w14:textId="5E2867CF" w:rsidR="00373308" w:rsidRPr="006F5FB2" w:rsidRDefault="004371FC" w:rsidP="00C04DFB">
            <w:pPr>
              <w:spacing w:before="60" w:after="60"/>
              <w:jc w:val="center"/>
              <w:rPr>
                <w:rFonts w:cstheme="minorHAnsi"/>
                <w:bCs/>
                <w:iCs/>
                <w:sz w:val="16"/>
                <w:szCs w:val="16"/>
              </w:rPr>
            </w:pPr>
            <w:r>
              <w:rPr>
                <w:rFonts w:cstheme="minorHAnsi"/>
                <w:bCs/>
                <w:iCs/>
                <w:sz w:val="16"/>
                <w:szCs w:val="16"/>
              </w:rPr>
              <w:t>216406706</w:t>
            </w:r>
          </w:p>
        </w:tc>
        <w:tc>
          <w:tcPr>
            <w:tcW w:w="991" w:type="dxa"/>
          </w:tcPr>
          <w:p w14:paraId="3FE74B7B" w14:textId="43FB84FE" w:rsidR="00373308" w:rsidRPr="006F5FB2" w:rsidRDefault="004371FC" w:rsidP="00C04DFB">
            <w:pPr>
              <w:spacing w:before="60" w:after="60"/>
              <w:jc w:val="center"/>
              <w:rPr>
                <w:rFonts w:cstheme="minorHAnsi"/>
                <w:bCs/>
                <w:iCs/>
                <w:sz w:val="16"/>
                <w:szCs w:val="16"/>
              </w:rPr>
            </w:pPr>
            <w:r>
              <w:rPr>
                <w:rFonts w:cstheme="minorHAnsi"/>
                <w:bCs/>
                <w:iCs/>
                <w:sz w:val="16"/>
                <w:szCs w:val="16"/>
              </w:rPr>
              <w:t>168171589</w:t>
            </w:r>
          </w:p>
        </w:tc>
        <w:tc>
          <w:tcPr>
            <w:tcW w:w="980" w:type="dxa"/>
          </w:tcPr>
          <w:p w14:paraId="274794A3" w14:textId="110ACB6A" w:rsidR="00373308" w:rsidRPr="006F5FB2" w:rsidRDefault="004371FC" w:rsidP="00C04DFB">
            <w:pPr>
              <w:spacing w:before="60" w:after="60"/>
              <w:jc w:val="center"/>
              <w:rPr>
                <w:rFonts w:cstheme="minorHAnsi"/>
                <w:bCs/>
                <w:iCs/>
                <w:sz w:val="16"/>
                <w:szCs w:val="16"/>
              </w:rPr>
            </w:pPr>
            <w:r>
              <w:rPr>
                <w:rFonts w:cstheme="minorHAnsi"/>
                <w:bCs/>
                <w:iCs/>
                <w:sz w:val="16"/>
                <w:szCs w:val="16"/>
              </w:rPr>
              <w:t>-5.0</w:t>
            </w:r>
            <w:r w:rsidR="006B29BA">
              <w:rPr>
                <w:rFonts w:cstheme="minorHAnsi"/>
                <w:bCs/>
                <w:iCs/>
                <w:sz w:val="16"/>
                <w:szCs w:val="16"/>
              </w:rPr>
              <w:t>13</w:t>
            </w:r>
          </w:p>
        </w:tc>
        <w:tc>
          <w:tcPr>
            <w:tcW w:w="979" w:type="dxa"/>
          </w:tcPr>
          <w:p w14:paraId="001DFAB9" w14:textId="271C5D03" w:rsidR="00373308" w:rsidRPr="006F5FB2" w:rsidRDefault="006B29BA" w:rsidP="00C04DFB">
            <w:pPr>
              <w:spacing w:before="60" w:after="60"/>
              <w:jc w:val="center"/>
              <w:rPr>
                <w:rFonts w:cstheme="minorHAnsi"/>
                <w:bCs/>
                <w:iCs/>
                <w:sz w:val="16"/>
                <w:szCs w:val="16"/>
              </w:rPr>
            </w:pPr>
            <w:r>
              <w:rPr>
                <w:rFonts w:cstheme="minorHAnsi"/>
                <w:bCs/>
                <w:iCs/>
                <w:sz w:val="16"/>
                <w:szCs w:val="16"/>
              </w:rPr>
              <w:t>20.614</w:t>
            </w:r>
          </w:p>
        </w:tc>
      </w:tr>
      <w:tr w:rsidR="00373308" w:rsidRPr="006F5FB2" w14:paraId="6F2C6937" w14:textId="77777777" w:rsidTr="00C04DFB">
        <w:tc>
          <w:tcPr>
            <w:tcW w:w="3458" w:type="dxa"/>
          </w:tcPr>
          <w:p w14:paraId="391064B4" w14:textId="77777777" w:rsidR="00373308" w:rsidRDefault="00373308" w:rsidP="00C04DFB">
            <w:pPr>
              <w:spacing w:before="60" w:after="60"/>
              <w:jc w:val="center"/>
              <w:rPr>
                <w:rFonts w:cstheme="minorHAnsi"/>
                <w:bCs/>
                <w:iCs/>
                <w:sz w:val="16"/>
                <w:szCs w:val="16"/>
              </w:rPr>
            </w:pPr>
            <w:r>
              <w:rPr>
                <w:rFonts w:cstheme="minorHAnsi"/>
                <w:bCs/>
                <w:iCs/>
                <w:sz w:val="16"/>
                <w:szCs w:val="16"/>
              </w:rPr>
              <w:t>Employment (persons)</w:t>
            </w:r>
          </w:p>
        </w:tc>
        <w:tc>
          <w:tcPr>
            <w:tcW w:w="906" w:type="dxa"/>
          </w:tcPr>
          <w:p w14:paraId="44F4250A" w14:textId="26185CA3" w:rsidR="00373308" w:rsidRPr="003775AD" w:rsidRDefault="00373308" w:rsidP="00C04DFB">
            <w:pPr>
              <w:spacing w:before="60" w:after="60"/>
              <w:jc w:val="center"/>
              <w:rPr>
                <w:rFonts w:cstheme="minorHAnsi"/>
                <w:bCs/>
                <w:iCs/>
                <w:sz w:val="16"/>
                <w:szCs w:val="16"/>
              </w:rPr>
            </w:pPr>
            <w:r w:rsidRPr="003775AD">
              <w:rPr>
                <w:rFonts w:cstheme="minorHAnsi"/>
                <w:bCs/>
                <w:iCs/>
                <w:sz w:val="16"/>
                <w:szCs w:val="16"/>
              </w:rPr>
              <w:t>0.9</w:t>
            </w:r>
            <w:r w:rsidR="00F876D1">
              <w:rPr>
                <w:rFonts w:cstheme="minorHAnsi"/>
                <w:bCs/>
                <w:iCs/>
                <w:sz w:val="16"/>
                <w:szCs w:val="16"/>
              </w:rPr>
              <w:t>46</w:t>
            </w:r>
          </w:p>
        </w:tc>
        <w:tc>
          <w:tcPr>
            <w:tcW w:w="979" w:type="dxa"/>
          </w:tcPr>
          <w:p w14:paraId="653DBFE8" w14:textId="251E3E57" w:rsidR="00373308" w:rsidRPr="003775AD" w:rsidRDefault="00F876D1" w:rsidP="00C04DFB">
            <w:pPr>
              <w:spacing w:before="60" w:after="60"/>
              <w:jc w:val="center"/>
              <w:rPr>
                <w:rFonts w:cstheme="minorHAnsi"/>
                <w:bCs/>
                <w:iCs/>
                <w:sz w:val="16"/>
                <w:szCs w:val="16"/>
              </w:rPr>
            </w:pPr>
            <w:r>
              <w:rPr>
                <w:rFonts w:cstheme="minorHAnsi"/>
                <w:bCs/>
                <w:iCs/>
                <w:sz w:val="16"/>
                <w:szCs w:val="16"/>
              </w:rPr>
              <w:t>-7212.71</w:t>
            </w:r>
          </w:p>
        </w:tc>
        <w:tc>
          <w:tcPr>
            <w:tcW w:w="986" w:type="dxa"/>
          </w:tcPr>
          <w:p w14:paraId="0CF807DE" w14:textId="4E90CA06" w:rsidR="00373308" w:rsidRPr="003775AD" w:rsidRDefault="00F876D1" w:rsidP="00C04DFB">
            <w:pPr>
              <w:spacing w:before="60" w:after="60"/>
              <w:jc w:val="center"/>
              <w:rPr>
                <w:rFonts w:cstheme="minorHAnsi"/>
                <w:bCs/>
                <w:iCs/>
                <w:sz w:val="16"/>
                <w:szCs w:val="16"/>
              </w:rPr>
            </w:pPr>
            <w:r>
              <w:rPr>
                <w:rFonts w:cstheme="minorHAnsi"/>
                <w:bCs/>
                <w:iCs/>
                <w:sz w:val="16"/>
                <w:szCs w:val="16"/>
              </w:rPr>
              <w:t>10856</w:t>
            </w:r>
            <w:r w:rsidR="005C0CC2">
              <w:rPr>
                <w:rFonts w:cstheme="minorHAnsi"/>
                <w:bCs/>
                <w:iCs/>
                <w:sz w:val="16"/>
                <w:szCs w:val="16"/>
              </w:rPr>
              <w:t>.19</w:t>
            </w:r>
          </w:p>
        </w:tc>
        <w:tc>
          <w:tcPr>
            <w:tcW w:w="991" w:type="dxa"/>
          </w:tcPr>
          <w:p w14:paraId="2252884C" w14:textId="5CB4DAD1" w:rsidR="00373308" w:rsidRPr="003775AD" w:rsidRDefault="005C0CC2" w:rsidP="00C04DFB">
            <w:pPr>
              <w:spacing w:before="60" w:after="60"/>
              <w:jc w:val="center"/>
              <w:rPr>
                <w:rFonts w:cstheme="minorHAnsi"/>
                <w:bCs/>
                <w:iCs/>
                <w:sz w:val="16"/>
                <w:szCs w:val="16"/>
              </w:rPr>
            </w:pPr>
            <w:r>
              <w:rPr>
                <w:rFonts w:cstheme="minorHAnsi"/>
                <w:bCs/>
                <w:iCs/>
                <w:sz w:val="16"/>
                <w:szCs w:val="16"/>
              </w:rPr>
              <w:t>8832.37</w:t>
            </w:r>
          </w:p>
        </w:tc>
        <w:tc>
          <w:tcPr>
            <w:tcW w:w="980" w:type="dxa"/>
          </w:tcPr>
          <w:p w14:paraId="53438B5F" w14:textId="0909BC98" w:rsidR="00373308" w:rsidRPr="003775AD" w:rsidRDefault="005C0CC2" w:rsidP="00C04DFB">
            <w:pPr>
              <w:spacing w:before="60" w:after="60"/>
              <w:jc w:val="center"/>
              <w:rPr>
                <w:rFonts w:cstheme="minorHAnsi"/>
                <w:bCs/>
                <w:iCs/>
                <w:sz w:val="16"/>
                <w:szCs w:val="16"/>
              </w:rPr>
            </w:pPr>
            <w:r>
              <w:rPr>
                <w:rFonts w:cstheme="minorHAnsi"/>
                <w:bCs/>
                <w:iCs/>
                <w:sz w:val="16"/>
                <w:szCs w:val="16"/>
              </w:rPr>
              <w:t>-2.341</w:t>
            </w:r>
          </w:p>
        </w:tc>
        <w:tc>
          <w:tcPr>
            <w:tcW w:w="979" w:type="dxa"/>
          </w:tcPr>
          <w:p w14:paraId="6146AB74" w14:textId="67814EE1" w:rsidR="00373308" w:rsidRPr="003775AD" w:rsidRDefault="005C0CC2" w:rsidP="00C04DFB">
            <w:pPr>
              <w:spacing w:before="60" w:after="60"/>
              <w:jc w:val="center"/>
              <w:rPr>
                <w:rFonts w:cstheme="minorHAnsi"/>
                <w:bCs/>
                <w:iCs/>
                <w:sz w:val="16"/>
                <w:szCs w:val="16"/>
              </w:rPr>
            </w:pPr>
            <w:r>
              <w:rPr>
                <w:rFonts w:cstheme="minorHAnsi"/>
                <w:bCs/>
                <w:iCs/>
                <w:sz w:val="16"/>
                <w:szCs w:val="16"/>
              </w:rPr>
              <w:t>2.821</w:t>
            </w:r>
          </w:p>
        </w:tc>
      </w:tr>
      <w:tr w:rsidR="00373308" w:rsidRPr="006F5FB2" w14:paraId="6E2B009A" w14:textId="77777777" w:rsidTr="00C04DFB">
        <w:trPr>
          <w:trHeight w:val="279"/>
        </w:trPr>
        <w:tc>
          <w:tcPr>
            <w:tcW w:w="3458" w:type="dxa"/>
          </w:tcPr>
          <w:p w14:paraId="15CD4849" w14:textId="77777777" w:rsidR="00373308" w:rsidRPr="006F5FB2" w:rsidRDefault="00373308" w:rsidP="00C04DFB">
            <w:pPr>
              <w:spacing w:before="60" w:after="60"/>
              <w:jc w:val="center"/>
              <w:rPr>
                <w:rFonts w:cstheme="minorHAnsi"/>
                <w:bCs/>
                <w:iCs/>
                <w:sz w:val="16"/>
                <w:szCs w:val="16"/>
              </w:rPr>
            </w:pPr>
            <w:r w:rsidRPr="006F5FB2">
              <w:rPr>
                <w:rFonts w:cstheme="minorHAnsi"/>
                <w:bCs/>
                <w:iCs/>
                <w:sz w:val="16"/>
                <w:szCs w:val="16"/>
              </w:rPr>
              <w:t>Government Expenditure ($)</w:t>
            </w:r>
          </w:p>
        </w:tc>
        <w:tc>
          <w:tcPr>
            <w:tcW w:w="906" w:type="dxa"/>
          </w:tcPr>
          <w:p w14:paraId="7F5AE22C" w14:textId="002C3832" w:rsidR="00373308" w:rsidRPr="006F5FB2" w:rsidRDefault="00373308" w:rsidP="00C04DFB">
            <w:pPr>
              <w:spacing w:before="60" w:after="60"/>
              <w:jc w:val="center"/>
              <w:rPr>
                <w:rFonts w:cstheme="minorHAnsi"/>
                <w:bCs/>
                <w:iCs/>
                <w:sz w:val="16"/>
                <w:szCs w:val="16"/>
              </w:rPr>
            </w:pPr>
            <w:r w:rsidRPr="00883D5C">
              <w:rPr>
                <w:rFonts w:cstheme="minorHAnsi"/>
                <w:bCs/>
                <w:iCs/>
                <w:sz w:val="16"/>
                <w:szCs w:val="16"/>
              </w:rPr>
              <w:t>0.99</w:t>
            </w:r>
            <w:r w:rsidR="00C9552C">
              <w:rPr>
                <w:rFonts w:cstheme="minorHAnsi"/>
                <w:bCs/>
                <w:iCs/>
                <w:sz w:val="16"/>
                <w:szCs w:val="16"/>
              </w:rPr>
              <w:t>7</w:t>
            </w:r>
          </w:p>
        </w:tc>
        <w:tc>
          <w:tcPr>
            <w:tcW w:w="979" w:type="dxa"/>
          </w:tcPr>
          <w:p w14:paraId="5CA3A107" w14:textId="528D6742" w:rsidR="00373308" w:rsidRPr="006F5FB2" w:rsidRDefault="00373308" w:rsidP="00C04DFB">
            <w:pPr>
              <w:spacing w:before="60" w:after="60"/>
              <w:jc w:val="center"/>
              <w:rPr>
                <w:rFonts w:cstheme="minorHAnsi"/>
                <w:bCs/>
                <w:iCs/>
                <w:sz w:val="16"/>
                <w:szCs w:val="16"/>
              </w:rPr>
            </w:pPr>
            <w:r w:rsidRPr="00883D5C">
              <w:rPr>
                <w:rFonts w:cstheme="minorHAnsi"/>
                <w:bCs/>
                <w:iCs/>
                <w:sz w:val="16"/>
                <w:szCs w:val="16"/>
              </w:rPr>
              <w:t>0.01</w:t>
            </w:r>
            <w:r w:rsidR="00C9552C">
              <w:rPr>
                <w:rFonts w:cstheme="minorHAnsi"/>
                <w:bCs/>
                <w:iCs/>
                <w:sz w:val="16"/>
                <w:szCs w:val="16"/>
              </w:rPr>
              <w:t>11</w:t>
            </w:r>
          </w:p>
        </w:tc>
        <w:tc>
          <w:tcPr>
            <w:tcW w:w="986" w:type="dxa"/>
          </w:tcPr>
          <w:p w14:paraId="0C656AE1" w14:textId="2BE3F16D" w:rsidR="00373308" w:rsidRPr="00CF2024" w:rsidRDefault="00C9552C" w:rsidP="00C04DFB">
            <w:pPr>
              <w:spacing w:before="60" w:after="60"/>
              <w:jc w:val="center"/>
              <w:rPr>
                <w:rFonts w:cstheme="minorHAnsi"/>
                <w:bCs/>
                <w:iCs/>
                <w:sz w:val="16"/>
                <w:szCs w:val="16"/>
                <w:lang w:val="en-AU"/>
              </w:rPr>
            </w:pPr>
            <w:r>
              <w:rPr>
                <w:rFonts w:cstheme="minorHAnsi"/>
                <w:bCs/>
                <w:iCs/>
                <w:sz w:val="16"/>
                <w:szCs w:val="16"/>
                <w:lang w:val="en-AU"/>
              </w:rPr>
              <w:t>0.038</w:t>
            </w:r>
          </w:p>
        </w:tc>
        <w:tc>
          <w:tcPr>
            <w:tcW w:w="991" w:type="dxa"/>
          </w:tcPr>
          <w:p w14:paraId="29C1EB58" w14:textId="548E667C" w:rsidR="00373308" w:rsidRPr="00CF2024" w:rsidRDefault="00C9552C" w:rsidP="00C04DFB">
            <w:pPr>
              <w:spacing w:before="60" w:after="60"/>
              <w:jc w:val="center"/>
              <w:rPr>
                <w:rFonts w:cstheme="minorHAnsi"/>
                <w:bCs/>
                <w:iCs/>
                <w:sz w:val="16"/>
                <w:szCs w:val="16"/>
                <w:lang w:val="en-AU"/>
              </w:rPr>
            </w:pPr>
            <w:r>
              <w:rPr>
                <w:rFonts w:cstheme="minorHAnsi"/>
                <w:bCs/>
                <w:iCs/>
                <w:sz w:val="16"/>
                <w:szCs w:val="16"/>
                <w:lang w:val="en-AU"/>
              </w:rPr>
              <w:t>0.032</w:t>
            </w:r>
          </w:p>
        </w:tc>
        <w:tc>
          <w:tcPr>
            <w:tcW w:w="980" w:type="dxa"/>
          </w:tcPr>
          <w:p w14:paraId="0F6E4BE4" w14:textId="1D7E0A57" w:rsidR="00373308" w:rsidRPr="00CF2024" w:rsidRDefault="00C9552C" w:rsidP="00C04DFB">
            <w:pPr>
              <w:spacing w:before="60" w:after="60"/>
              <w:jc w:val="center"/>
              <w:rPr>
                <w:rFonts w:cstheme="minorHAnsi"/>
                <w:bCs/>
                <w:iCs/>
                <w:sz w:val="16"/>
                <w:szCs w:val="16"/>
                <w:lang w:val="en-AU"/>
              </w:rPr>
            </w:pPr>
            <w:r>
              <w:rPr>
                <w:rFonts w:cstheme="minorHAnsi"/>
                <w:bCs/>
                <w:iCs/>
                <w:sz w:val="16"/>
                <w:szCs w:val="16"/>
                <w:lang w:val="en-AU"/>
              </w:rPr>
              <w:t>0.8</w:t>
            </w:r>
            <w:r w:rsidR="009D7AA2">
              <w:rPr>
                <w:rFonts w:cstheme="minorHAnsi"/>
                <w:bCs/>
                <w:iCs/>
                <w:sz w:val="16"/>
                <w:szCs w:val="16"/>
                <w:lang w:val="en-AU"/>
              </w:rPr>
              <w:t>30</w:t>
            </w:r>
          </w:p>
        </w:tc>
        <w:tc>
          <w:tcPr>
            <w:tcW w:w="979" w:type="dxa"/>
          </w:tcPr>
          <w:p w14:paraId="156210CB" w14:textId="578C73DD" w:rsidR="00373308" w:rsidRPr="00CF2024" w:rsidRDefault="009D7AA2" w:rsidP="00C04DFB">
            <w:pPr>
              <w:spacing w:before="60" w:after="60"/>
              <w:jc w:val="center"/>
              <w:rPr>
                <w:rFonts w:cstheme="minorHAnsi"/>
                <w:bCs/>
                <w:iCs/>
                <w:sz w:val="16"/>
                <w:szCs w:val="16"/>
                <w:lang w:val="en-AU"/>
              </w:rPr>
            </w:pPr>
            <w:r>
              <w:rPr>
                <w:rFonts w:cstheme="minorHAnsi"/>
                <w:bCs/>
                <w:iCs/>
                <w:sz w:val="16"/>
                <w:szCs w:val="16"/>
                <w:lang w:val="en-AU"/>
              </w:rPr>
              <w:t>2.667</w:t>
            </w:r>
          </w:p>
        </w:tc>
      </w:tr>
      <w:tr w:rsidR="00373308" w:rsidRPr="006F5FB2" w14:paraId="7FF056F5" w14:textId="77777777" w:rsidTr="00C04DFB">
        <w:trPr>
          <w:trHeight w:val="279"/>
        </w:trPr>
        <w:tc>
          <w:tcPr>
            <w:tcW w:w="3458" w:type="dxa"/>
          </w:tcPr>
          <w:p w14:paraId="02C31161" w14:textId="77777777" w:rsidR="00373308" w:rsidRPr="006F5FB2" w:rsidRDefault="00373308" w:rsidP="00C04DFB">
            <w:pPr>
              <w:spacing w:before="60" w:after="60"/>
              <w:jc w:val="center"/>
              <w:rPr>
                <w:rFonts w:cstheme="minorHAnsi"/>
                <w:bCs/>
                <w:iCs/>
                <w:sz w:val="16"/>
                <w:szCs w:val="16"/>
              </w:rPr>
            </w:pPr>
            <w:r>
              <w:rPr>
                <w:rFonts w:cstheme="minorHAnsi"/>
                <w:bCs/>
                <w:iCs/>
                <w:sz w:val="16"/>
                <w:szCs w:val="16"/>
              </w:rPr>
              <w:t>Government Revenue ($)</w:t>
            </w:r>
          </w:p>
        </w:tc>
        <w:tc>
          <w:tcPr>
            <w:tcW w:w="906" w:type="dxa"/>
          </w:tcPr>
          <w:p w14:paraId="107E6C6A" w14:textId="7DF973DE" w:rsidR="00373308" w:rsidRPr="006F5FB2" w:rsidRDefault="00373308" w:rsidP="00C04DFB">
            <w:pPr>
              <w:spacing w:before="60" w:after="60"/>
              <w:jc w:val="center"/>
              <w:rPr>
                <w:rFonts w:cstheme="minorHAnsi"/>
                <w:bCs/>
                <w:iCs/>
                <w:sz w:val="16"/>
                <w:szCs w:val="16"/>
              </w:rPr>
            </w:pPr>
            <w:r w:rsidRPr="00015E94">
              <w:rPr>
                <w:rFonts w:cstheme="minorHAnsi"/>
                <w:bCs/>
                <w:iCs/>
                <w:sz w:val="16"/>
                <w:szCs w:val="16"/>
              </w:rPr>
              <w:t>0.99</w:t>
            </w:r>
            <w:r w:rsidR="009D7AA2">
              <w:rPr>
                <w:rFonts w:cstheme="minorHAnsi"/>
                <w:bCs/>
                <w:iCs/>
                <w:sz w:val="16"/>
                <w:szCs w:val="16"/>
              </w:rPr>
              <w:t>7</w:t>
            </w:r>
          </w:p>
        </w:tc>
        <w:tc>
          <w:tcPr>
            <w:tcW w:w="979" w:type="dxa"/>
          </w:tcPr>
          <w:p w14:paraId="5D11DE7F" w14:textId="0E7A6345" w:rsidR="00373308" w:rsidRPr="006F5FB2" w:rsidRDefault="003E654A" w:rsidP="00C04DFB">
            <w:pPr>
              <w:spacing w:before="60" w:after="60"/>
              <w:jc w:val="center"/>
              <w:rPr>
                <w:rFonts w:cstheme="minorHAnsi"/>
                <w:bCs/>
                <w:iCs/>
                <w:sz w:val="16"/>
                <w:szCs w:val="16"/>
              </w:rPr>
            </w:pPr>
            <w:r>
              <w:rPr>
                <w:rFonts w:cstheme="minorHAnsi"/>
                <w:bCs/>
                <w:iCs/>
                <w:sz w:val="16"/>
                <w:szCs w:val="16"/>
              </w:rPr>
              <w:t>3136009</w:t>
            </w:r>
          </w:p>
        </w:tc>
        <w:tc>
          <w:tcPr>
            <w:tcW w:w="986" w:type="dxa"/>
          </w:tcPr>
          <w:p w14:paraId="1191A3A1" w14:textId="0AAF30B9" w:rsidR="00373308" w:rsidRPr="00CF2024" w:rsidRDefault="003E654A" w:rsidP="00C04DFB">
            <w:pPr>
              <w:spacing w:before="60" w:after="60"/>
              <w:jc w:val="center"/>
              <w:rPr>
                <w:rFonts w:cstheme="minorHAnsi"/>
                <w:bCs/>
                <w:iCs/>
                <w:sz w:val="16"/>
                <w:szCs w:val="16"/>
                <w:lang w:val="en-AU"/>
              </w:rPr>
            </w:pPr>
            <w:r>
              <w:rPr>
                <w:rFonts w:cstheme="minorHAnsi"/>
                <w:bCs/>
                <w:iCs/>
                <w:sz w:val="16"/>
                <w:szCs w:val="16"/>
                <w:lang w:val="en-AU"/>
              </w:rPr>
              <w:t>33876807</w:t>
            </w:r>
          </w:p>
        </w:tc>
        <w:tc>
          <w:tcPr>
            <w:tcW w:w="991" w:type="dxa"/>
          </w:tcPr>
          <w:p w14:paraId="1B3F03C6" w14:textId="515E2810" w:rsidR="00373308" w:rsidRPr="00CF2024" w:rsidRDefault="003E654A" w:rsidP="00C04DFB">
            <w:pPr>
              <w:spacing w:before="60" w:after="60"/>
              <w:jc w:val="center"/>
              <w:rPr>
                <w:rFonts w:cstheme="minorHAnsi"/>
                <w:bCs/>
                <w:iCs/>
                <w:sz w:val="16"/>
                <w:szCs w:val="16"/>
                <w:lang w:val="en-AU"/>
              </w:rPr>
            </w:pPr>
            <w:r>
              <w:rPr>
                <w:rFonts w:cstheme="minorHAnsi"/>
                <w:bCs/>
                <w:iCs/>
                <w:sz w:val="16"/>
                <w:szCs w:val="16"/>
                <w:lang w:val="en-AU"/>
              </w:rPr>
              <w:t>27472002</w:t>
            </w:r>
          </w:p>
        </w:tc>
        <w:tc>
          <w:tcPr>
            <w:tcW w:w="980" w:type="dxa"/>
          </w:tcPr>
          <w:p w14:paraId="5B8083D1" w14:textId="279F5DE1" w:rsidR="00373308" w:rsidRPr="00CF2024" w:rsidRDefault="00EE091B" w:rsidP="00C04DFB">
            <w:pPr>
              <w:spacing w:before="60" w:after="60"/>
              <w:jc w:val="center"/>
              <w:rPr>
                <w:rFonts w:cstheme="minorHAnsi"/>
                <w:bCs/>
                <w:iCs/>
                <w:sz w:val="16"/>
                <w:szCs w:val="16"/>
                <w:lang w:val="en-AU"/>
              </w:rPr>
            </w:pPr>
            <w:r>
              <w:rPr>
                <w:rFonts w:cstheme="minorHAnsi"/>
                <w:bCs/>
                <w:iCs/>
                <w:sz w:val="16"/>
                <w:szCs w:val="16"/>
                <w:lang w:val="en-AU"/>
              </w:rPr>
              <w:t>0.064</w:t>
            </w:r>
          </w:p>
        </w:tc>
        <w:tc>
          <w:tcPr>
            <w:tcW w:w="979" w:type="dxa"/>
          </w:tcPr>
          <w:p w14:paraId="6C4DCE4D" w14:textId="26876313" w:rsidR="00373308" w:rsidRPr="00CF2024" w:rsidRDefault="00EE091B" w:rsidP="00C04DFB">
            <w:pPr>
              <w:spacing w:before="60" w:after="60"/>
              <w:jc w:val="center"/>
              <w:rPr>
                <w:rFonts w:cstheme="minorHAnsi"/>
                <w:bCs/>
                <w:iCs/>
                <w:sz w:val="16"/>
                <w:szCs w:val="16"/>
                <w:lang w:val="en-AU"/>
              </w:rPr>
            </w:pPr>
            <w:r>
              <w:rPr>
                <w:rFonts w:cstheme="minorHAnsi"/>
                <w:bCs/>
                <w:iCs/>
                <w:sz w:val="16"/>
                <w:szCs w:val="16"/>
                <w:lang w:val="en-AU"/>
              </w:rPr>
              <w:t>2.770</w:t>
            </w:r>
          </w:p>
        </w:tc>
      </w:tr>
      <w:tr w:rsidR="00373308" w:rsidRPr="006F5FB2" w14:paraId="61C0DFF3" w14:textId="77777777" w:rsidTr="00C04DFB">
        <w:tc>
          <w:tcPr>
            <w:tcW w:w="3458" w:type="dxa"/>
          </w:tcPr>
          <w:p w14:paraId="4244DFED" w14:textId="47349116" w:rsidR="00373308" w:rsidRPr="006F5FB2" w:rsidRDefault="00373308" w:rsidP="00C04DFB">
            <w:pPr>
              <w:spacing w:before="60" w:after="60"/>
              <w:jc w:val="center"/>
              <w:rPr>
                <w:rFonts w:cstheme="minorHAnsi"/>
                <w:bCs/>
                <w:iCs/>
                <w:sz w:val="16"/>
                <w:szCs w:val="16"/>
              </w:rPr>
            </w:pPr>
            <w:r>
              <w:rPr>
                <w:rFonts w:cstheme="minorHAnsi"/>
                <w:bCs/>
                <w:iCs/>
                <w:sz w:val="16"/>
                <w:szCs w:val="16"/>
              </w:rPr>
              <w:t xml:space="preserve">Renewable </w:t>
            </w:r>
            <w:r w:rsidR="002A0C5E">
              <w:rPr>
                <w:rFonts w:cstheme="minorHAnsi"/>
                <w:bCs/>
                <w:iCs/>
                <w:sz w:val="16"/>
                <w:szCs w:val="16"/>
              </w:rPr>
              <w:t>energy generation</w:t>
            </w:r>
            <w:r w:rsidRPr="006F5FB2">
              <w:rPr>
                <w:rFonts w:cstheme="minorHAnsi"/>
                <w:bCs/>
                <w:iCs/>
                <w:sz w:val="16"/>
                <w:szCs w:val="16"/>
              </w:rPr>
              <w:t xml:space="preserve"> (</w:t>
            </w:r>
            <w:r w:rsidR="002A0C5E">
              <w:rPr>
                <w:rFonts w:cstheme="minorHAnsi"/>
                <w:bCs/>
                <w:iCs/>
                <w:sz w:val="16"/>
                <w:szCs w:val="16"/>
              </w:rPr>
              <w:t>Bkwh</w:t>
            </w:r>
            <w:r w:rsidRPr="006F5FB2">
              <w:rPr>
                <w:rFonts w:cstheme="minorHAnsi"/>
                <w:bCs/>
                <w:iCs/>
                <w:sz w:val="16"/>
                <w:szCs w:val="16"/>
              </w:rPr>
              <w:t>)</w:t>
            </w:r>
          </w:p>
        </w:tc>
        <w:tc>
          <w:tcPr>
            <w:tcW w:w="906" w:type="dxa"/>
          </w:tcPr>
          <w:p w14:paraId="674F68BA" w14:textId="2AB809AC" w:rsidR="00373308" w:rsidRPr="006F5FB2" w:rsidRDefault="00373308" w:rsidP="00C04DFB">
            <w:pPr>
              <w:spacing w:before="60" w:after="60"/>
              <w:jc w:val="center"/>
              <w:rPr>
                <w:rFonts w:cstheme="minorHAnsi"/>
                <w:bCs/>
                <w:iCs/>
                <w:sz w:val="16"/>
                <w:szCs w:val="16"/>
              </w:rPr>
            </w:pPr>
            <w:r w:rsidRPr="003775AD">
              <w:rPr>
                <w:rFonts w:cstheme="minorHAnsi"/>
                <w:bCs/>
                <w:iCs/>
                <w:sz w:val="16"/>
                <w:szCs w:val="16"/>
              </w:rPr>
              <w:t>0.</w:t>
            </w:r>
            <w:r w:rsidR="002A0C5E">
              <w:rPr>
                <w:rFonts w:cstheme="minorHAnsi"/>
                <w:bCs/>
                <w:iCs/>
                <w:sz w:val="16"/>
                <w:szCs w:val="16"/>
              </w:rPr>
              <w:t>9</w:t>
            </w:r>
            <w:r w:rsidR="00B35ABA">
              <w:rPr>
                <w:rFonts w:cstheme="minorHAnsi"/>
                <w:bCs/>
                <w:iCs/>
                <w:sz w:val="16"/>
                <w:szCs w:val="16"/>
              </w:rPr>
              <w:t>25</w:t>
            </w:r>
          </w:p>
        </w:tc>
        <w:tc>
          <w:tcPr>
            <w:tcW w:w="979" w:type="dxa"/>
          </w:tcPr>
          <w:p w14:paraId="6C719B68" w14:textId="37172B1C" w:rsidR="00373308" w:rsidRPr="006F5FB2" w:rsidRDefault="00B35ABA" w:rsidP="00C04DFB">
            <w:pPr>
              <w:spacing w:before="60" w:after="60"/>
              <w:jc w:val="center"/>
              <w:rPr>
                <w:rFonts w:cstheme="minorHAnsi"/>
                <w:bCs/>
                <w:iCs/>
                <w:sz w:val="16"/>
                <w:szCs w:val="16"/>
              </w:rPr>
            </w:pPr>
            <w:r>
              <w:rPr>
                <w:rFonts w:cstheme="minorHAnsi"/>
                <w:bCs/>
                <w:iCs/>
                <w:sz w:val="16"/>
                <w:szCs w:val="16"/>
              </w:rPr>
              <w:t>-0.008</w:t>
            </w:r>
          </w:p>
        </w:tc>
        <w:tc>
          <w:tcPr>
            <w:tcW w:w="986" w:type="dxa"/>
          </w:tcPr>
          <w:p w14:paraId="5D63DDF0" w14:textId="1DB16699" w:rsidR="00373308" w:rsidRPr="006F5FB2" w:rsidRDefault="00B35ABA" w:rsidP="00C04DFB">
            <w:pPr>
              <w:spacing w:before="60" w:after="60"/>
              <w:jc w:val="center"/>
              <w:rPr>
                <w:rFonts w:cstheme="minorHAnsi"/>
                <w:bCs/>
                <w:iCs/>
                <w:sz w:val="16"/>
                <w:szCs w:val="16"/>
              </w:rPr>
            </w:pPr>
            <w:r>
              <w:rPr>
                <w:rFonts w:cstheme="minorHAnsi"/>
                <w:bCs/>
                <w:iCs/>
                <w:sz w:val="16"/>
                <w:szCs w:val="16"/>
              </w:rPr>
              <w:t>0.017</w:t>
            </w:r>
          </w:p>
        </w:tc>
        <w:tc>
          <w:tcPr>
            <w:tcW w:w="991" w:type="dxa"/>
          </w:tcPr>
          <w:p w14:paraId="5B463573" w14:textId="7F66C24E" w:rsidR="00373308" w:rsidRPr="006F5FB2" w:rsidRDefault="00B35ABA" w:rsidP="00C04DFB">
            <w:pPr>
              <w:spacing w:before="60" w:after="60"/>
              <w:jc w:val="center"/>
              <w:rPr>
                <w:rFonts w:cstheme="minorHAnsi"/>
                <w:bCs/>
                <w:iCs/>
                <w:sz w:val="16"/>
                <w:szCs w:val="16"/>
              </w:rPr>
            </w:pPr>
            <w:r>
              <w:rPr>
                <w:rFonts w:cstheme="minorHAnsi"/>
                <w:bCs/>
                <w:iCs/>
                <w:sz w:val="16"/>
                <w:szCs w:val="16"/>
              </w:rPr>
              <w:t>0.01</w:t>
            </w:r>
          </w:p>
        </w:tc>
        <w:tc>
          <w:tcPr>
            <w:tcW w:w="980" w:type="dxa"/>
          </w:tcPr>
          <w:p w14:paraId="2F7D60E2" w14:textId="6BB6E847" w:rsidR="00373308" w:rsidRPr="006F5FB2" w:rsidRDefault="00B35ABA" w:rsidP="00C04DFB">
            <w:pPr>
              <w:spacing w:before="60" w:after="60"/>
              <w:jc w:val="center"/>
              <w:rPr>
                <w:rFonts w:cstheme="minorHAnsi"/>
                <w:bCs/>
                <w:iCs/>
                <w:sz w:val="16"/>
                <w:szCs w:val="16"/>
              </w:rPr>
            </w:pPr>
            <w:r>
              <w:rPr>
                <w:rFonts w:cstheme="minorHAnsi"/>
                <w:bCs/>
                <w:iCs/>
                <w:sz w:val="16"/>
                <w:szCs w:val="16"/>
              </w:rPr>
              <w:t>-1.929</w:t>
            </w:r>
          </w:p>
        </w:tc>
        <w:tc>
          <w:tcPr>
            <w:tcW w:w="979" w:type="dxa"/>
          </w:tcPr>
          <w:p w14:paraId="77FA8B59" w14:textId="52C1AC13" w:rsidR="00373308" w:rsidRPr="006F5FB2" w:rsidRDefault="00B35ABA" w:rsidP="00C04DFB">
            <w:pPr>
              <w:spacing w:before="60" w:after="60"/>
              <w:jc w:val="center"/>
              <w:rPr>
                <w:rFonts w:cstheme="minorHAnsi"/>
                <w:bCs/>
                <w:iCs/>
                <w:sz w:val="16"/>
                <w:szCs w:val="16"/>
              </w:rPr>
            </w:pPr>
            <w:r>
              <w:rPr>
                <w:rFonts w:cstheme="minorHAnsi"/>
                <w:bCs/>
                <w:iCs/>
                <w:sz w:val="16"/>
                <w:szCs w:val="16"/>
              </w:rPr>
              <w:t>2.341</w:t>
            </w:r>
          </w:p>
        </w:tc>
      </w:tr>
      <w:tr w:rsidR="009C77CD" w:rsidRPr="006F5FB2" w14:paraId="22DFA75E" w14:textId="77777777" w:rsidTr="00C04DFB">
        <w:tc>
          <w:tcPr>
            <w:tcW w:w="3458" w:type="dxa"/>
          </w:tcPr>
          <w:p w14:paraId="3A19DF33" w14:textId="01D86BB2" w:rsidR="009C77CD" w:rsidRDefault="009C77CD" w:rsidP="00C04DFB">
            <w:pPr>
              <w:spacing w:before="60" w:after="60"/>
              <w:jc w:val="center"/>
              <w:rPr>
                <w:rFonts w:cstheme="minorHAnsi"/>
                <w:bCs/>
                <w:iCs/>
                <w:sz w:val="16"/>
                <w:szCs w:val="16"/>
              </w:rPr>
            </w:pPr>
            <w:r>
              <w:rPr>
                <w:rFonts w:cstheme="minorHAnsi"/>
                <w:bCs/>
                <w:iCs/>
                <w:sz w:val="16"/>
                <w:szCs w:val="16"/>
              </w:rPr>
              <w:t>Infrastructure (roads, km)</w:t>
            </w:r>
          </w:p>
        </w:tc>
        <w:tc>
          <w:tcPr>
            <w:tcW w:w="906" w:type="dxa"/>
          </w:tcPr>
          <w:p w14:paraId="0D94705C" w14:textId="7671DBCE" w:rsidR="009C77CD" w:rsidRPr="003775AD" w:rsidRDefault="009C77CD" w:rsidP="00C04DFB">
            <w:pPr>
              <w:spacing w:before="60" w:after="60"/>
              <w:jc w:val="center"/>
              <w:rPr>
                <w:rFonts w:cstheme="minorHAnsi"/>
                <w:bCs/>
                <w:iCs/>
                <w:sz w:val="16"/>
                <w:szCs w:val="16"/>
              </w:rPr>
            </w:pPr>
            <w:r>
              <w:rPr>
                <w:rFonts w:cstheme="minorHAnsi"/>
                <w:bCs/>
                <w:iCs/>
                <w:sz w:val="16"/>
                <w:szCs w:val="16"/>
              </w:rPr>
              <w:t>0.8</w:t>
            </w:r>
            <w:r w:rsidR="006F3072">
              <w:rPr>
                <w:rFonts w:cstheme="minorHAnsi"/>
                <w:bCs/>
                <w:iCs/>
                <w:sz w:val="16"/>
                <w:szCs w:val="16"/>
              </w:rPr>
              <w:t>59</w:t>
            </w:r>
          </w:p>
        </w:tc>
        <w:tc>
          <w:tcPr>
            <w:tcW w:w="979" w:type="dxa"/>
          </w:tcPr>
          <w:p w14:paraId="12A7422E" w14:textId="0B446F05" w:rsidR="009C77CD" w:rsidRDefault="006F3072" w:rsidP="00C04DFB">
            <w:pPr>
              <w:spacing w:before="60" w:after="60"/>
              <w:jc w:val="center"/>
              <w:rPr>
                <w:rFonts w:cstheme="minorHAnsi"/>
                <w:bCs/>
                <w:iCs/>
                <w:sz w:val="16"/>
                <w:szCs w:val="16"/>
              </w:rPr>
            </w:pPr>
            <w:r>
              <w:rPr>
                <w:rFonts w:cstheme="minorHAnsi"/>
                <w:bCs/>
                <w:iCs/>
                <w:sz w:val="16"/>
                <w:szCs w:val="16"/>
              </w:rPr>
              <w:t>79.172</w:t>
            </w:r>
          </w:p>
        </w:tc>
        <w:tc>
          <w:tcPr>
            <w:tcW w:w="986" w:type="dxa"/>
          </w:tcPr>
          <w:p w14:paraId="35A2A080" w14:textId="33CD4098" w:rsidR="009C77CD" w:rsidRDefault="006F3072" w:rsidP="00C04DFB">
            <w:pPr>
              <w:spacing w:before="60" w:after="60"/>
              <w:jc w:val="center"/>
              <w:rPr>
                <w:rFonts w:cstheme="minorHAnsi"/>
                <w:bCs/>
                <w:iCs/>
                <w:sz w:val="16"/>
                <w:szCs w:val="16"/>
              </w:rPr>
            </w:pPr>
            <w:r>
              <w:rPr>
                <w:rFonts w:cstheme="minorHAnsi"/>
                <w:bCs/>
                <w:iCs/>
                <w:sz w:val="16"/>
                <w:szCs w:val="16"/>
              </w:rPr>
              <w:t>102.132</w:t>
            </w:r>
          </w:p>
        </w:tc>
        <w:tc>
          <w:tcPr>
            <w:tcW w:w="991" w:type="dxa"/>
          </w:tcPr>
          <w:p w14:paraId="3AF41469" w14:textId="36A1EB07" w:rsidR="009C77CD" w:rsidRDefault="006F3072" w:rsidP="00C04DFB">
            <w:pPr>
              <w:spacing w:before="60" w:after="60"/>
              <w:jc w:val="center"/>
              <w:rPr>
                <w:rFonts w:cstheme="minorHAnsi"/>
                <w:bCs/>
                <w:iCs/>
                <w:sz w:val="16"/>
                <w:szCs w:val="16"/>
              </w:rPr>
            </w:pPr>
            <w:r>
              <w:rPr>
                <w:rFonts w:cstheme="minorHAnsi"/>
                <w:bCs/>
                <w:iCs/>
                <w:sz w:val="16"/>
                <w:szCs w:val="16"/>
              </w:rPr>
              <w:t>88.395</w:t>
            </w:r>
          </w:p>
        </w:tc>
        <w:tc>
          <w:tcPr>
            <w:tcW w:w="980" w:type="dxa"/>
          </w:tcPr>
          <w:p w14:paraId="40BFC5AE" w14:textId="58E522D1" w:rsidR="009C77CD" w:rsidRDefault="006F3072" w:rsidP="00C04DFB">
            <w:pPr>
              <w:spacing w:before="60" w:after="60"/>
              <w:jc w:val="center"/>
              <w:rPr>
                <w:rFonts w:cstheme="minorHAnsi"/>
                <w:bCs/>
                <w:iCs/>
                <w:sz w:val="16"/>
                <w:szCs w:val="16"/>
              </w:rPr>
            </w:pPr>
            <w:r>
              <w:rPr>
                <w:rFonts w:cstheme="minorHAnsi"/>
                <w:bCs/>
                <w:iCs/>
                <w:sz w:val="16"/>
                <w:szCs w:val="16"/>
              </w:rPr>
              <w:t>4.6</w:t>
            </w:r>
            <w:r w:rsidR="00725BD3">
              <w:rPr>
                <w:rFonts w:cstheme="minorHAnsi"/>
                <w:bCs/>
                <w:iCs/>
                <w:sz w:val="16"/>
                <w:szCs w:val="16"/>
              </w:rPr>
              <w:t>47</w:t>
            </w:r>
          </w:p>
        </w:tc>
        <w:tc>
          <w:tcPr>
            <w:tcW w:w="979" w:type="dxa"/>
          </w:tcPr>
          <w:p w14:paraId="180F6D45" w14:textId="1D4BC929" w:rsidR="009C77CD" w:rsidRDefault="00725BD3" w:rsidP="00C04DFB">
            <w:pPr>
              <w:spacing w:before="60" w:after="60"/>
              <w:jc w:val="center"/>
              <w:rPr>
                <w:rFonts w:cstheme="minorHAnsi"/>
                <w:bCs/>
                <w:iCs/>
                <w:sz w:val="16"/>
                <w:szCs w:val="16"/>
              </w:rPr>
            </w:pPr>
            <w:r>
              <w:rPr>
                <w:rFonts w:cstheme="minorHAnsi"/>
                <w:bCs/>
                <w:iCs/>
                <w:sz w:val="16"/>
                <w:szCs w:val="16"/>
              </w:rPr>
              <w:t>5.172</w:t>
            </w:r>
          </w:p>
        </w:tc>
      </w:tr>
      <w:tr w:rsidR="00373308" w:rsidRPr="006F5FB2" w14:paraId="2EF43139" w14:textId="77777777" w:rsidTr="00C04DFB">
        <w:tc>
          <w:tcPr>
            <w:tcW w:w="3458" w:type="dxa"/>
          </w:tcPr>
          <w:p w14:paraId="3F5C489E" w14:textId="77777777" w:rsidR="00373308" w:rsidRPr="006F5FB2" w:rsidRDefault="00373308" w:rsidP="00C04DFB">
            <w:pPr>
              <w:spacing w:before="60" w:after="60"/>
              <w:jc w:val="center"/>
              <w:rPr>
                <w:rFonts w:cstheme="minorHAnsi"/>
                <w:bCs/>
                <w:iCs/>
                <w:sz w:val="16"/>
                <w:szCs w:val="16"/>
              </w:rPr>
            </w:pPr>
            <w:r>
              <w:rPr>
                <w:rFonts w:cstheme="minorHAnsi"/>
                <w:bCs/>
                <w:iCs/>
                <w:sz w:val="16"/>
                <w:szCs w:val="16"/>
              </w:rPr>
              <w:t>CO2 emissions</w:t>
            </w:r>
            <w:r w:rsidRPr="006F5FB2">
              <w:rPr>
                <w:rFonts w:cstheme="minorHAnsi"/>
                <w:bCs/>
                <w:iCs/>
                <w:sz w:val="16"/>
                <w:szCs w:val="16"/>
              </w:rPr>
              <w:t xml:space="preserve"> (excl LULUCF) (tons)</w:t>
            </w:r>
          </w:p>
        </w:tc>
        <w:tc>
          <w:tcPr>
            <w:tcW w:w="906" w:type="dxa"/>
          </w:tcPr>
          <w:p w14:paraId="525A98FC" w14:textId="56EC2FB7" w:rsidR="00373308" w:rsidRPr="003775AD" w:rsidRDefault="00373308" w:rsidP="00C04DFB">
            <w:pPr>
              <w:spacing w:before="60" w:after="60"/>
              <w:jc w:val="center"/>
              <w:rPr>
                <w:rFonts w:cstheme="minorHAnsi"/>
                <w:bCs/>
                <w:iCs/>
                <w:sz w:val="16"/>
                <w:szCs w:val="16"/>
              </w:rPr>
            </w:pPr>
            <w:r w:rsidRPr="003775AD">
              <w:rPr>
                <w:rFonts w:cstheme="minorHAnsi"/>
                <w:bCs/>
                <w:iCs/>
                <w:sz w:val="16"/>
                <w:szCs w:val="16"/>
              </w:rPr>
              <w:t>0.4</w:t>
            </w:r>
            <w:r w:rsidR="00860DBE">
              <w:rPr>
                <w:rFonts w:cstheme="minorHAnsi"/>
                <w:bCs/>
                <w:iCs/>
                <w:sz w:val="16"/>
                <w:szCs w:val="16"/>
              </w:rPr>
              <w:t>93</w:t>
            </w:r>
          </w:p>
        </w:tc>
        <w:tc>
          <w:tcPr>
            <w:tcW w:w="979" w:type="dxa"/>
          </w:tcPr>
          <w:p w14:paraId="78ABCF3D" w14:textId="22347B1A" w:rsidR="00373308" w:rsidRPr="00EB0575" w:rsidRDefault="00D0236F" w:rsidP="00C04DFB">
            <w:pPr>
              <w:spacing w:before="60" w:after="60"/>
              <w:jc w:val="center"/>
              <w:rPr>
                <w:rFonts w:cstheme="minorHAnsi"/>
                <w:bCs/>
                <w:iCs/>
                <w:sz w:val="16"/>
                <w:szCs w:val="16"/>
                <w:lang w:val="en-AU"/>
              </w:rPr>
            </w:pPr>
            <w:r>
              <w:rPr>
                <w:rFonts w:cstheme="minorHAnsi"/>
                <w:bCs/>
                <w:iCs/>
                <w:sz w:val="16"/>
                <w:szCs w:val="16"/>
                <w:lang w:val="en-AU"/>
              </w:rPr>
              <w:t>-0.266</w:t>
            </w:r>
          </w:p>
        </w:tc>
        <w:tc>
          <w:tcPr>
            <w:tcW w:w="986" w:type="dxa"/>
          </w:tcPr>
          <w:p w14:paraId="723A533D" w14:textId="577E5697" w:rsidR="00373308" w:rsidRPr="00EB0575" w:rsidRDefault="00D0236F" w:rsidP="00C04DFB">
            <w:pPr>
              <w:spacing w:before="60" w:after="60"/>
              <w:jc w:val="center"/>
              <w:rPr>
                <w:rFonts w:cstheme="minorHAnsi"/>
                <w:bCs/>
                <w:iCs/>
                <w:sz w:val="16"/>
                <w:szCs w:val="16"/>
                <w:lang w:val="en-AU"/>
              </w:rPr>
            </w:pPr>
            <w:r>
              <w:rPr>
                <w:rFonts w:cstheme="minorHAnsi"/>
                <w:bCs/>
                <w:iCs/>
                <w:sz w:val="16"/>
                <w:szCs w:val="16"/>
                <w:lang w:val="en-AU"/>
              </w:rPr>
              <w:t>0.533</w:t>
            </w:r>
          </w:p>
        </w:tc>
        <w:tc>
          <w:tcPr>
            <w:tcW w:w="991" w:type="dxa"/>
          </w:tcPr>
          <w:p w14:paraId="42984392" w14:textId="6A98B7CD" w:rsidR="00373308" w:rsidRPr="00EB0575" w:rsidRDefault="00D0236F" w:rsidP="00C04DFB">
            <w:pPr>
              <w:spacing w:before="60" w:after="60"/>
              <w:jc w:val="center"/>
              <w:rPr>
                <w:rFonts w:cstheme="minorHAnsi"/>
                <w:bCs/>
                <w:iCs/>
                <w:sz w:val="16"/>
                <w:szCs w:val="16"/>
                <w:lang w:val="en-AU"/>
              </w:rPr>
            </w:pPr>
            <w:r>
              <w:rPr>
                <w:rFonts w:cstheme="minorHAnsi"/>
                <w:bCs/>
                <w:iCs/>
                <w:sz w:val="16"/>
                <w:szCs w:val="16"/>
                <w:lang w:val="en-AU"/>
              </w:rPr>
              <w:t>0.384</w:t>
            </w:r>
          </w:p>
        </w:tc>
        <w:tc>
          <w:tcPr>
            <w:tcW w:w="980" w:type="dxa"/>
          </w:tcPr>
          <w:p w14:paraId="66650DFB" w14:textId="2045C4FC" w:rsidR="00373308" w:rsidRPr="00EB0575" w:rsidRDefault="00D0236F" w:rsidP="00C04DFB">
            <w:pPr>
              <w:spacing w:before="60" w:after="60"/>
              <w:jc w:val="center"/>
              <w:rPr>
                <w:rFonts w:cstheme="minorHAnsi"/>
                <w:bCs/>
                <w:iCs/>
                <w:sz w:val="16"/>
                <w:szCs w:val="16"/>
                <w:lang w:val="en-AU"/>
              </w:rPr>
            </w:pPr>
            <w:r>
              <w:rPr>
                <w:rFonts w:cstheme="minorHAnsi"/>
                <w:bCs/>
                <w:iCs/>
                <w:sz w:val="16"/>
                <w:szCs w:val="16"/>
                <w:lang w:val="en-AU"/>
              </w:rPr>
              <w:t>-18.591</w:t>
            </w:r>
          </w:p>
        </w:tc>
        <w:tc>
          <w:tcPr>
            <w:tcW w:w="979" w:type="dxa"/>
          </w:tcPr>
          <w:p w14:paraId="4DD63D22" w14:textId="2A44339F" w:rsidR="00373308" w:rsidRPr="00EB0575" w:rsidRDefault="00D0236F" w:rsidP="00C04DFB">
            <w:pPr>
              <w:spacing w:before="60" w:after="60"/>
              <w:jc w:val="center"/>
              <w:rPr>
                <w:rFonts w:cstheme="minorHAnsi"/>
                <w:bCs/>
                <w:iCs/>
                <w:sz w:val="16"/>
                <w:szCs w:val="16"/>
                <w:lang w:val="en-AU"/>
              </w:rPr>
            </w:pPr>
            <w:r>
              <w:rPr>
                <w:rFonts w:cstheme="minorHAnsi"/>
                <w:bCs/>
                <w:iCs/>
                <w:sz w:val="16"/>
                <w:szCs w:val="16"/>
                <w:lang w:val="en-AU"/>
              </w:rPr>
              <w:t>24.930</w:t>
            </w:r>
          </w:p>
        </w:tc>
      </w:tr>
      <w:tr w:rsidR="00373308" w:rsidRPr="006F5FB2" w14:paraId="4D866F01" w14:textId="77777777" w:rsidTr="00C04DFB">
        <w:tc>
          <w:tcPr>
            <w:tcW w:w="3458" w:type="dxa"/>
          </w:tcPr>
          <w:p w14:paraId="69111273" w14:textId="77777777" w:rsidR="00373308" w:rsidRPr="006F5FB2" w:rsidRDefault="00373308" w:rsidP="00C04DFB">
            <w:pPr>
              <w:spacing w:before="60" w:after="60"/>
              <w:jc w:val="center"/>
              <w:rPr>
                <w:rFonts w:cstheme="minorHAnsi"/>
                <w:bCs/>
                <w:iCs/>
                <w:sz w:val="16"/>
                <w:szCs w:val="16"/>
              </w:rPr>
            </w:pPr>
            <w:r>
              <w:rPr>
                <w:rFonts w:cstheme="minorHAnsi"/>
                <w:bCs/>
                <w:iCs/>
                <w:sz w:val="16"/>
                <w:szCs w:val="16"/>
              </w:rPr>
              <w:t>Average l</w:t>
            </w:r>
            <w:r w:rsidRPr="006F5FB2">
              <w:rPr>
                <w:rFonts w:cstheme="minorHAnsi"/>
                <w:bCs/>
                <w:iCs/>
                <w:sz w:val="16"/>
                <w:szCs w:val="16"/>
              </w:rPr>
              <w:t>ife expectancy (years)</w:t>
            </w:r>
          </w:p>
        </w:tc>
        <w:tc>
          <w:tcPr>
            <w:tcW w:w="906" w:type="dxa"/>
          </w:tcPr>
          <w:p w14:paraId="4EFDAF33" w14:textId="3CEF425E" w:rsidR="00373308" w:rsidRPr="006F5FB2" w:rsidRDefault="00373308" w:rsidP="00C04DFB">
            <w:pPr>
              <w:spacing w:before="60" w:after="60"/>
              <w:jc w:val="center"/>
              <w:rPr>
                <w:rFonts w:cstheme="minorHAnsi"/>
                <w:bCs/>
                <w:iCs/>
                <w:sz w:val="16"/>
                <w:szCs w:val="16"/>
              </w:rPr>
            </w:pPr>
            <w:r w:rsidRPr="003775AD">
              <w:rPr>
                <w:rFonts w:cstheme="minorHAnsi"/>
                <w:bCs/>
                <w:iCs/>
                <w:sz w:val="16"/>
                <w:szCs w:val="16"/>
              </w:rPr>
              <w:t>0.</w:t>
            </w:r>
            <w:r w:rsidR="005A6285">
              <w:rPr>
                <w:rFonts w:cstheme="minorHAnsi"/>
                <w:bCs/>
                <w:iCs/>
                <w:sz w:val="16"/>
                <w:szCs w:val="16"/>
              </w:rPr>
              <w:t>67</w:t>
            </w:r>
            <w:r w:rsidR="00BA6D84">
              <w:rPr>
                <w:rFonts w:cstheme="minorHAnsi"/>
                <w:bCs/>
                <w:iCs/>
                <w:sz w:val="16"/>
                <w:szCs w:val="16"/>
              </w:rPr>
              <w:t>2</w:t>
            </w:r>
          </w:p>
        </w:tc>
        <w:tc>
          <w:tcPr>
            <w:tcW w:w="979" w:type="dxa"/>
          </w:tcPr>
          <w:p w14:paraId="7537272B" w14:textId="15E02BCC" w:rsidR="00373308" w:rsidRPr="006F5FB2" w:rsidRDefault="00BA6D84" w:rsidP="00C04DFB">
            <w:pPr>
              <w:spacing w:before="60" w:after="60"/>
              <w:jc w:val="center"/>
              <w:rPr>
                <w:rFonts w:cstheme="minorHAnsi"/>
                <w:bCs/>
                <w:iCs/>
                <w:sz w:val="16"/>
                <w:szCs w:val="16"/>
              </w:rPr>
            </w:pPr>
            <w:r>
              <w:rPr>
                <w:rFonts w:cstheme="minorHAnsi"/>
                <w:bCs/>
                <w:iCs/>
                <w:sz w:val="16"/>
                <w:szCs w:val="16"/>
              </w:rPr>
              <w:t>0.451</w:t>
            </w:r>
          </w:p>
        </w:tc>
        <w:tc>
          <w:tcPr>
            <w:tcW w:w="986" w:type="dxa"/>
          </w:tcPr>
          <w:p w14:paraId="5FE68F2F" w14:textId="66FA5E3D" w:rsidR="00373308" w:rsidRPr="006F5FB2" w:rsidRDefault="00BA6D84" w:rsidP="00C04DFB">
            <w:pPr>
              <w:spacing w:before="60" w:after="60"/>
              <w:jc w:val="center"/>
              <w:rPr>
                <w:rFonts w:cstheme="minorHAnsi"/>
                <w:bCs/>
                <w:iCs/>
                <w:sz w:val="16"/>
                <w:szCs w:val="16"/>
              </w:rPr>
            </w:pPr>
            <w:r>
              <w:rPr>
                <w:rFonts w:cstheme="minorHAnsi"/>
                <w:bCs/>
                <w:iCs/>
                <w:sz w:val="16"/>
                <w:szCs w:val="16"/>
              </w:rPr>
              <w:t>0.583</w:t>
            </w:r>
          </w:p>
        </w:tc>
        <w:tc>
          <w:tcPr>
            <w:tcW w:w="991" w:type="dxa"/>
          </w:tcPr>
          <w:p w14:paraId="2B0FF3F0" w14:textId="71E210CA" w:rsidR="00373308" w:rsidRPr="006F5FB2" w:rsidRDefault="00BA6D84" w:rsidP="00C04DFB">
            <w:pPr>
              <w:spacing w:before="60" w:after="60"/>
              <w:jc w:val="center"/>
              <w:rPr>
                <w:rFonts w:cstheme="minorHAnsi"/>
                <w:bCs/>
                <w:iCs/>
                <w:sz w:val="16"/>
                <w:szCs w:val="16"/>
              </w:rPr>
            </w:pPr>
            <w:r>
              <w:rPr>
                <w:rFonts w:cstheme="minorHAnsi"/>
                <w:bCs/>
                <w:iCs/>
                <w:sz w:val="16"/>
                <w:szCs w:val="16"/>
              </w:rPr>
              <w:t>0.480</w:t>
            </w:r>
          </w:p>
        </w:tc>
        <w:tc>
          <w:tcPr>
            <w:tcW w:w="980" w:type="dxa"/>
          </w:tcPr>
          <w:p w14:paraId="1E0E0D50" w14:textId="3714538E" w:rsidR="00373308" w:rsidRPr="006F5FB2" w:rsidRDefault="00BA6D84" w:rsidP="00C04DFB">
            <w:pPr>
              <w:spacing w:before="60" w:after="60"/>
              <w:jc w:val="center"/>
              <w:rPr>
                <w:rFonts w:cstheme="minorHAnsi"/>
                <w:bCs/>
                <w:iCs/>
                <w:sz w:val="16"/>
                <w:szCs w:val="16"/>
              </w:rPr>
            </w:pPr>
            <w:r>
              <w:rPr>
                <w:rFonts w:cstheme="minorHAnsi"/>
                <w:bCs/>
                <w:iCs/>
                <w:sz w:val="16"/>
                <w:szCs w:val="16"/>
              </w:rPr>
              <w:t>0.</w:t>
            </w:r>
            <w:r w:rsidR="00AF6D46">
              <w:rPr>
                <w:rFonts w:cstheme="minorHAnsi"/>
                <w:bCs/>
                <w:iCs/>
                <w:sz w:val="16"/>
                <w:szCs w:val="16"/>
              </w:rPr>
              <w:t>682</w:t>
            </w:r>
          </w:p>
        </w:tc>
        <w:tc>
          <w:tcPr>
            <w:tcW w:w="979" w:type="dxa"/>
          </w:tcPr>
          <w:p w14:paraId="1C2188B6" w14:textId="2178911D" w:rsidR="00373308" w:rsidRPr="006F5FB2" w:rsidRDefault="00AF6D46" w:rsidP="00C04DFB">
            <w:pPr>
              <w:spacing w:before="60" w:after="60"/>
              <w:jc w:val="center"/>
              <w:rPr>
                <w:rFonts w:cstheme="minorHAnsi"/>
                <w:bCs/>
                <w:iCs/>
                <w:sz w:val="16"/>
                <w:szCs w:val="16"/>
              </w:rPr>
            </w:pPr>
            <w:r>
              <w:rPr>
                <w:rFonts w:cstheme="minorHAnsi"/>
                <w:bCs/>
                <w:iCs/>
                <w:sz w:val="16"/>
                <w:szCs w:val="16"/>
              </w:rPr>
              <w:t>0.723</w:t>
            </w:r>
          </w:p>
        </w:tc>
      </w:tr>
    </w:tbl>
    <w:p w14:paraId="7CC96277" w14:textId="77777777" w:rsidR="00373308" w:rsidRDefault="00373308">
      <w:pPr>
        <w:rPr>
          <w:b/>
          <w:caps/>
          <w:u w:val="single"/>
        </w:rPr>
      </w:pPr>
    </w:p>
    <w:p w14:paraId="619E91ED" w14:textId="71EA19FA" w:rsidR="00301544" w:rsidRDefault="00301544" w:rsidP="00301544">
      <w:pPr>
        <w:rPr>
          <w:b/>
          <w:bCs/>
          <w:caps/>
          <w:lang w:val="en-AU"/>
        </w:rPr>
      </w:pPr>
      <w:r>
        <w:rPr>
          <w:b/>
        </w:rPr>
        <w:t xml:space="preserve">SUPPLEMENTARY TABLE 4. </w:t>
      </w:r>
      <w:r w:rsidR="0038713A" w:rsidRPr="0038713A">
        <w:rPr>
          <w:b/>
          <w:bCs/>
          <w:caps/>
          <w:lang w:val="en-AU"/>
        </w:rPr>
        <w:t>Parameters and input ranges for testing the sensitivity of key assumptions</w:t>
      </w:r>
    </w:p>
    <w:tbl>
      <w:tblPr>
        <w:tblStyle w:val="TableGrid"/>
        <w:tblW w:w="0" w:type="auto"/>
        <w:tblLook w:val="04A0" w:firstRow="1" w:lastRow="0" w:firstColumn="1" w:lastColumn="0" w:noHBand="0" w:noVBand="1"/>
      </w:tblPr>
      <w:tblGrid>
        <w:gridCol w:w="1838"/>
        <w:gridCol w:w="7178"/>
      </w:tblGrid>
      <w:tr w:rsidR="005403DD" w:rsidRPr="005403DD" w14:paraId="0AF62232" w14:textId="77777777" w:rsidTr="00C04DFB">
        <w:tc>
          <w:tcPr>
            <w:tcW w:w="1838" w:type="dxa"/>
          </w:tcPr>
          <w:p w14:paraId="7886B5F8" w14:textId="77777777" w:rsidR="0093181A" w:rsidRPr="005403DD" w:rsidRDefault="0093181A" w:rsidP="00C04DFB">
            <w:pPr>
              <w:rPr>
                <w:b/>
                <w:bCs/>
                <w:sz w:val="20"/>
                <w:szCs w:val="20"/>
              </w:rPr>
            </w:pPr>
            <w:r w:rsidRPr="005403DD">
              <w:rPr>
                <w:b/>
                <w:bCs/>
                <w:sz w:val="20"/>
                <w:szCs w:val="20"/>
              </w:rPr>
              <w:t>Assumption</w:t>
            </w:r>
          </w:p>
        </w:tc>
        <w:tc>
          <w:tcPr>
            <w:tcW w:w="7178" w:type="dxa"/>
          </w:tcPr>
          <w:p w14:paraId="62FFD0B2" w14:textId="77777777" w:rsidR="0093181A" w:rsidRPr="005403DD" w:rsidRDefault="0093181A" w:rsidP="00C04DFB">
            <w:pPr>
              <w:rPr>
                <w:b/>
                <w:bCs/>
                <w:sz w:val="20"/>
                <w:szCs w:val="20"/>
              </w:rPr>
            </w:pPr>
            <w:r w:rsidRPr="005403DD">
              <w:rPr>
                <w:b/>
                <w:bCs/>
                <w:sz w:val="20"/>
                <w:szCs w:val="20"/>
              </w:rPr>
              <w:t>Sensitivity analysis input settings</w:t>
            </w:r>
          </w:p>
        </w:tc>
      </w:tr>
      <w:tr w:rsidR="005403DD" w:rsidRPr="005403DD" w14:paraId="48EDD294" w14:textId="77777777" w:rsidTr="00C04DFB">
        <w:tc>
          <w:tcPr>
            <w:tcW w:w="1838" w:type="dxa"/>
          </w:tcPr>
          <w:p w14:paraId="1F8A905D" w14:textId="77777777" w:rsidR="0093181A" w:rsidRPr="005403DD" w:rsidRDefault="0093181A" w:rsidP="00C04DFB">
            <w:pPr>
              <w:rPr>
                <w:b/>
                <w:bCs/>
                <w:sz w:val="20"/>
                <w:szCs w:val="20"/>
              </w:rPr>
            </w:pPr>
            <w:r w:rsidRPr="005403DD">
              <w:rPr>
                <w:b/>
                <w:bCs/>
                <w:sz w:val="20"/>
                <w:szCs w:val="20"/>
              </w:rPr>
              <w:t>Average gross value added (GVA) from agriculture commodities</w:t>
            </w:r>
          </w:p>
        </w:tc>
        <w:tc>
          <w:tcPr>
            <w:tcW w:w="7178" w:type="dxa"/>
          </w:tcPr>
          <w:p w14:paraId="21D0FC1B" w14:textId="05DA7E52" w:rsidR="0093181A" w:rsidRPr="005403DD" w:rsidRDefault="0093181A" w:rsidP="00C04DFB">
            <w:pPr>
              <w:rPr>
                <w:iCs/>
                <w:sz w:val="20"/>
                <w:szCs w:val="20"/>
              </w:rPr>
            </w:pPr>
            <w:r w:rsidRPr="005403DD">
              <w:rPr>
                <w:iCs/>
                <w:sz w:val="20"/>
                <w:szCs w:val="20"/>
              </w:rPr>
              <w:t xml:space="preserve">Fiji’s </w:t>
            </w:r>
            <w:r w:rsidRPr="005403DD">
              <w:rPr>
                <w:sz w:val="20"/>
                <w:szCs w:val="20"/>
              </w:rPr>
              <w:t xml:space="preserve"> major export commodities include seafood (20.3%) and raw sugar (11%) </w:t>
            </w:r>
            <w:r w:rsidRPr="005403DD">
              <w:rPr>
                <w:sz w:val="20"/>
                <w:szCs w:val="20"/>
              </w:rPr>
              <w:fldChar w:fldCharType="begin">
                <w:fldData xml:space="preserve">PEVuZE5vdGU+PENpdGU+PEF1dGhvcj5PRUM8L0F1dGhvcj48WWVhcj4yMDE3PC9ZZWFyPjxSZWNO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</w:fldData>
              </w:fldChar>
            </w:r>
            <w:r w:rsidRPr="005403DD">
              <w:rPr>
                <w:sz w:val="20"/>
                <w:szCs w:val="20"/>
              </w:rPr>
              <w:instrText xml:space="preserve"> ADDIN EN.CITE </w:instrText>
            </w:r>
            <w:r w:rsidRPr="005403DD">
              <w:rPr>
                <w:sz w:val="20"/>
                <w:szCs w:val="20"/>
              </w:rPr>
              <w:fldChar w:fldCharType="begin">
                <w:fldData xml:space="preserve">PEVuZE5vdGU+PENpdGU+PEF1dGhvcj5PRUM8L0F1dGhvcj48WWVhcj4yMDE3PC9ZZWFyPjxSZWNO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</w:fldData>
              </w:fldChar>
            </w:r>
            <w:r w:rsidRPr="005403DD">
              <w:rPr>
                <w:sz w:val="20"/>
                <w:szCs w:val="20"/>
              </w:rPr>
              <w:instrText xml:space="preserve"> ADDIN EN.CITE.DATA </w:instrText>
            </w:r>
            <w:r w:rsidRPr="005403DD">
              <w:rPr>
                <w:sz w:val="20"/>
                <w:szCs w:val="20"/>
              </w:rPr>
            </w:r>
            <w:r w:rsidRPr="005403DD">
              <w:rPr>
                <w:sz w:val="20"/>
                <w:szCs w:val="20"/>
              </w:rPr>
              <w:fldChar w:fldCharType="end"/>
            </w:r>
            <w:r w:rsidRPr="005403DD">
              <w:rPr>
                <w:sz w:val="20"/>
                <w:szCs w:val="20"/>
              </w:rPr>
            </w:r>
            <w:r w:rsidRPr="005403DD">
              <w:rPr>
                <w:sz w:val="20"/>
                <w:szCs w:val="20"/>
              </w:rPr>
              <w:fldChar w:fldCharType="separate"/>
            </w:r>
            <w:r w:rsidRPr="005403DD">
              <w:rPr>
                <w:noProof/>
                <w:sz w:val="20"/>
                <w:szCs w:val="20"/>
              </w:rPr>
              <w:t>(OEC, 2017, FBoS, 2019, Lenzen et al., 2013)</w:t>
            </w:r>
            <w:r w:rsidRPr="005403DD">
              <w:rPr>
                <w:sz w:val="20"/>
                <w:szCs w:val="20"/>
              </w:rPr>
              <w:fldChar w:fldCharType="end"/>
            </w:r>
            <w:r w:rsidRPr="005403DD">
              <w:rPr>
                <w:sz w:val="20"/>
                <w:szCs w:val="20"/>
              </w:rPr>
              <w:t xml:space="preserve">. Assumptions regarding future commodity prices used in the scenarios are based on </w:t>
            </w:r>
            <w:r w:rsidRPr="005403DD">
              <w:rPr>
                <w:sz w:val="20"/>
                <w:szCs w:val="20"/>
              </w:rPr>
              <w:fldChar w:fldCharType="begin"/>
            </w:r>
            <w:r w:rsidRPr="005403DD">
              <w:rPr>
                <w:sz w:val="20"/>
                <w:szCs w:val="20"/>
              </w:rPr>
              <w:instrText xml:space="preserve"> ADDIN EN.CITE &lt;EndNote&gt;&lt;Cite AuthorYear="1"&gt;&lt;Author&gt;OECD&lt;/Author&gt;&lt;Year&gt;2017&lt;/Year&gt;&lt;RecNum&gt;942&lt;/RecNum&gt;&lt;DisplayText&gt;OECD and FAO (2017)&lt;/DisplayText&gt;&lt;record&gt;&lt;rec-number&gt;942&lt;/rec-number&gt;&lt;foreign-keys&gt;&lt;key app="EN" db-id="9vsrvaat7fadwtesfsrpw5w5t0x5v500ef25" timestamp="1544498524"&gt;942&lt;/key&gt;&lt;/foreign-keys&gt;&lt;ref-type name="Generic"&gt;13&lt;/ref-type&gt;&lt;contributors&gt;&lt;authors&gt;&lt;author&gt;OECD,&lt;/author&gt;&lt;author&gt;FAO,&lt;/author&gt;&lt;/authors&gt;&lt;/contributors&gt;&lt;titles&gt;&lt;title&gt;OECD-FAO Agricultural Outlook 2018-2027&lt;/title&gt;&lt;/titles&gt;&lt;dates&gt;&lt;year&gt;2017&lt;/year&gt;&lt;/dates&gt;&lt;pub-location&gt;Rome, Italy&lt;/pub-location&gt;&lt;publisher&gt;Organisation for Economic Cooperation and Development and the UN Food and Agricultural Organisation.&lt;/publisher&gt;&lt;urls&gt;&lt;/urls&gt;&lt;/record&gt;&lt;/Cite&gt;&lt;/EndNote&gt;</w:instrText>
            </w:r>
            <w:r w:rsidRPr="005403DD">
              <w:rPr>
                <w:sz w:val="20"/>
                <w:szCs w:val="20"/>
              </w:rPr>
              <w:fldChar w:fldCharType="separate"/>
            </w:r>
            <w:r w:rsidRPr="005403DD">
              <w:rPr>
                <w:noProof/>
                <w:sz w:val="20"/>
                <w:szCs w:val="20"/>
              </w:rPr>
              <w:t>OECD and FAO (2017)</w:t>
            </w:r>
            <w:r w:rsidRPr="005403DD">
              <w:rPr>
                <w:sz w:val="20"/>
                <w:szCs w:val="20"/>
              </w:rPr>
              <w:fldChar w:fldCharType="end"/>
            </w:r>
            <w:r w:rsidRPr="005403DD">
              <w:rPr>
                <w:sz w:val="20"/>
                <w:szCs w:val="20"/>
              </w:rPr>
              <w:t xml:space="preserve"> and </w:t>
            </w:r>
            <w:r w:rsidRPr="005403DD">
              <w:rPr>
                <w:sz w:val="20"/>
                <w:szCs w:val="20"/>
              </w:rPr>
              <w:fldChar w:fldCharType="begin"/>
            </w:r>
            <w:r w:rsidR="00C04DFB">
              <w:rPr>
                <w:sz w:val="20"/>
                <w:szCs w:val="20"/>
              </w:rPr>
              <w:instrText xml:space="preserve"> ADDIN EN.CITE &lt;EndNote&gt;&lt;Cite AuthorYear="1"&gt;&lt;Author&gt;OECD&lt;/Author&gt;&lt;Year&gt;2019&lt;/Year&gt;&lt;RecNum&gt;1194&lt;/RecNum&gt;&lt;DisplayText&gt;OECD and FAO (2019)&lt;/DisplayText&gt;&lt;record&gt;&lt;rec-number&gt;1194&lt;/rec-number&gt;&lt;foreign-keys&gt;&lt;key app="EN" db-id="9vsrvaat7fadwtesfsrpw5w5t0x5v500ef25" timestamp="1576129199"&gt;1194&lt;/key&gt;&lt;/foreign-keys&gt;&lt;ref-type name="Generic"&gt;13&lt;/ref-type&gt;&lt;contributors&gt;&lt;authors&gt;&lt;author&gt;OECD,&lt;/author&gt;&lt;author&gt;FAO,&lt;/author&gt;&lt;/authors&gt;&lt;/contributors&gt;&lt;titles&gt;&lt;title&gt;Agricultrual Outlook 2019-2028&lt;/title&gt;&lt;/titles&gt;&lt;dates&gt;&lt;year&gt;2019&lt;/year&gt;&lt;/dates&gt;&lt;pub-location&gt;Paris&lt;/pub-location&gt;&lt;publisher&gt;OECD&lt;/publisher&gt;&lt;urls&gt;&lt;related-urls&gt;&lt;url&gt;http://www.agri-outlook.org/commodities/&lt;/url&gt;&lt;/related-urls&gt;&lt;/urls&gt;&lt;/record&gt;&lt;/Cite&gt;&lt;/EndNote&gt;</w:instrText>
            </w:r>
            <w:r w:rsidRPr="005403DD">
              <w:rPr>
                <w:sz w:val="20"/>
                <w:szCs w:val="20"/>
              </w:rPr>
              <w:fldChar w:fldCharType="separate"/>
            </w:r>
            <w:r w:rsidR="00C04DFB">
              <w:rPr>
                <w:noProof/>
                <w:sz w:val="20"/>
                <w:szCs w:val="20"/>
              </w:rPr>
              <w:t>OECD and FAO (2019)</w:t>
            </w:r>
            <w:r w:rsidRPr="005403DD">
              <w:rPr>
                <w:sz w:val="20"/>
                <w:szCs w:val="20"/>
              </w:rPr>
              <w:fldChar w:fldCharType="end"/>
            </w:r>
            <w:r w:rsidRPr="005403DD">
              <w:rPr>
                <w:sz w:val="20"/>
                <w:szCs w:val="20"/>
              </w:rPr>
              <w:t xml:space="preserve"> which project an increase in fish production by 13% and stable prices in real terms, and that sugar production will expand 14% and that real prices will increase over 2020-2023 and then follow a slight downturn.  Prices are calibrated in the model based on data for Fiji from the FAOSTAT database </w:t>
            </w:r>
            <w:r w:rsidRPr="005403DD">
              <w:rPr>
                <w:sz w:val="20"/>
                <w:szCs w:val="20"/>
              </w:rPr>
              <w:fldChar w:fldCharType="begin"/>
            </w:r>
            <w:r w:rsidRPr="005403DD">
              <w:rPr>
                <w:sz w:val="20"/>
                <w:szCs w:val="20"/>
              </w:rPr>
              <w:instrText xml:space="preserve"> ADDIN EN.CITE &lt;EndNote&gt;&lt;Cite&gt;&lt;Author&gt;FAO&lt;/Author&gt;&lt;Year&gt;2017&lt;/Year&gt;&lt;RecNum&gt;1052&lt;/RecNum&gt;&lt;DisplayText&gt;(FAO, 2017)&lt;/DisplayText&gt;&lt;record&gt;&lt;rec-number&gt;1052&lt;/rec-number&gt;&lt;foreign-keys&gt;&lt;key app="EN" db-id="9vsrvaat7fadwtesfsrpw5w5t0x5v500ef25" timestamp="1565086591"&gt;1052&lt;/key&gt;&lt;/foreign-keys&gt;&lt;ref-type name="Dataset"&gt;59&lt;/ref-type&gt;&lt;contributors&gt;&lt;authors&gt;&lt;author&gt;FAO&lt;/author&gt;&lt;/authors&gt;&lt;/contributors&gt;&lt;titles&gt;&lt;title&gt;FAOSTAT database&lt;/title&gt;&lt;/titles&gt;&lt;dates&gt;&lt;year&gt;2017&lt;/year&gt;&lt;/dates&gt;&lt;pub-location&gt;Rome, Italy&lt;/pub-location&gt;&lt;urls&gt;&lt;related-urls&gt;&lt;url&gt;http://www.fao.org/faostat/en/#data/RL&lt;/url&gt;&lt;/related-urls&gt;&lt;/urls&gt;&lt;access-date&gt;03/02/18&lt;/access-date&gt;&lt;/record&gt;&lt;/Cite&gt;&lt;/EndNote&gt;</w:instrText>
            </w:r>
            <w:r w:rsidRPr="005403DD">
              <w:rPr>
                <w:sz w:val="20"/>
                <w:szCs w:val="20"/>
              </w:rPr>
              <w:fldChar w:fldCharType="separate"/>
            </w:r>
            <w:r w:rsidRPr="005403DD">
              <w:rPr>
                <w:noProof/>
                <w:sz w:val="20"/>
                <w:szCs w:val="20"/>
              </w:rPr>
              <w:t>(FAO, 2017)</w:t>
            </w:r>
            <w:r w:rsidRPr="005403DD">
              <w:rPr>
                <w:sz w:val="20"/>
                <w:szCs w:val="20"/>
              </w:rPr>
              <w:fldChar w:fldCharType="end"/>
            </w:r>
            <w:r w:rsidRPr="005403DD">
              <w:rPr>
                <w:sz w:val="20"/>
                <w:szCs w:val="20"/>
              </w:rPr>
              <w:t>. For the SA, a plausible range was set based on timeseries data with a range set at +/-30% beyond the historic min/max values for average fish value added per ton and non-cereal crops per ton. This resulted in min/max values as follows: Fish: FJD1,355 to 5,505; Sugar: FJD61 to 218</w:t>
            </w:r>
            <w:r w:rsidR="00C04DFB">
              <w:rPr>
                <w:sz w:val="20"/>
                <w:szCs w:val="20"/>
              </w:rPr>
              <w:t>.</w:t>
            </w:r>
            <w:r w:rsidRPr="005403DD">
              <w:rPr>
                <w:sz w:val="20"/>
                <w:szCs w:val="20"/>
              </w:rPr>
              <w:t xml:space="preserve"> </w:t>
            </w:r>
            <w:r w:rsidRPr="005403DD">
              <w:rPr>
                <w:iCs/>
                <w:sz w:val="20"/>
                <w:szCs w:val="20"/>
              </w:rPr>
              <w:t>This more than adequately covered the range of assumptions used in the alternative scenarios (up to -10% change in prices)</w:t>
            </w:r>
          </w:p>
          <w:p w14:paraId="696453C0" w14:textId="77777777" w:rsidR="0093181A" w:rsidRPr="005403DD" w:rsidRDefault="0093181A" w:rsidP="00C04DFB">
            <w:pPr>
              <w:rPr>
                <w:b/>
                <w:bCs/>
                <w:sz w:val="20"/>
                <w:szCs w:val="20"/>
                <w:lang w:val="en-AU"/>
              </w:rPr>
            </w:pPr>
          </w:p>
        </w:tc>
      </w:tr>
      <w:tr w:rsidR="005403DD" w:rsidRPr="005403DD" w14:paraId="4040CC04" w14:textId="77777777" w:rsidTr="00C04DFB">
        <w:tc>
          <w:tcPr>
            <w:tcW w:w="1838" w:type="dxa"/>
          </w:tcPr>
          <w:p w14:paraId="66B44BD5" w14:textId="77777777" w:rsidR="0093181A" w:rsidRPr="005403DD" w:rsidRDefault="0093181A" w:rsidP="00C04DFB">
            <w:pPr>
              <w:rPr>
                <w:b/>
                <w:bCs/>
                <w:sz w:val="20"/>
                <w:szCs w:val="20"/>
              </w:rPr>
            </w:pPr>
            <w:r w:rsidRPr="005403DD">
              <w:rPr>
                <w:b/>
                <w:bCs/>
                <w:sz w:val="20"/>
                <w:szCs w:val="20"/>
              </w:rPr>
              <w:t>Average global temperature</w:t>
            </w:r>
          </w:p>
        </w:tc>
        <w:tc>
          <w:tcPr>
            <w:tcW w:w="7178" w:type="dxa"/>
          </w:tcPr>
          <w:p w14:paraId="2DCE22F1" w14:textId="77777777" w:rsidR="0093181A" w:rsidRPr="005403DD" w:rsidRDefault="0093181A" w:rsidP="00C04DFB">
            <w:pPr>
              <w:rPr>
                <w:iCs/>
                <w:sz w:val="20"/>
                <w:szCs w:val="20"/>
              </w:rPr>
            </w:pPr>
            <w:r w:rsidRPr="005403DD">
              <w:rPr>
                <w:iCs/>
                <w:sz w:val="20"/>
                <w:szCs w:val="20"/>
              </w:rPr>
              <w:t xml:space="preserve">The SA input range for global average temperatures was based on climate change projections included in the SSPs </w:t>
            </w:r>
            <w:r w:rsidRPr="005403DD">
              <w:rPr>
                <w:iCs/>
                <w:sz w:val="20"/>
                <w:szCs w:val="20"/>
              </w:rPr>
              <w:fldChar w:fldCharType="begin"/>
            </w:r>
            <w:r w:rsidRPr="005403DD">
              <w:rPr>
                <w:iCs/>
                <w:sz w:val="20"/>
                <w:szCs w:val="20"/>
              </w:rPr>
              <w:instrText xml:space="preserve"> ADDIN EN.CITE &lt;EndNote&gt;&lt;Cite&gt;&lt;Author&gt;Riahi&lt;/Author&gt;&lt;Year&gt;2017&lt;/Year&gt;&lt;RecNum&gt;802&lt;/RecNum&gt;&lt;DisplayText&gt;(Riahi et al., 2017)&lt;/DisplayText&gt;&lt;record&gt;&lt;rec-number&gt;802&lt;/rec-number&gt;&lt;foreign-keys&gt;&lt;key app="EN" db-id="9vsrvaat7fadwtesfsrpw5w5t0x5v500ef25" timestamp="1538912373"&gt;802&lt;/key&gt;&lt;/foreign-keys&gt;&lt;ref-type name="Journal Article"&gt;17&lt;/ref-type&gt;&lt;contributors&gt;&lt;authors&gt;&lt;author&gt;Riahi, Keywan&lt;/author&gt;&lt;author&gt;Van Vuuren, Detlef P&lt;/author&gt;&lt;author&gt;Kriegler, Elmar&lt;/author&gt;&lt;author&gt;Edmonds, Jae&lt;/author&gt;&lt;author&gt;O’neill, Brian C&lt;/author&gt;&lt;author&gt;Fujimori, Shinichiro&lt;/author&gt;&lt;author&gt;Bauer, Nico&lt;/author&gt;&lt;author&gt;Calvin, Katherine&lt;/author&gt;&lt;author&gt;Dellink, Rob&lt;/author&gt;&lt;author&gt;Fricko, Oliver&lt;/author&gt;&lt;/authors&gt;&lt;/contributors&gt;&lt;titles&gt;&lt;title&gt;The shared socioeconomic pathways and their energy, land use, and greenhouse gas emissions implications: an overview&lt;/title&gt;&lt;secondary-title&gt;Global Environmental Change&lt;/secondary-title&gt;&lt;/titles&gt;&lt;periodical&gt;&lt;full-title&gt;Global environmental change&lt;/full-title&gt;&lt;/periodical&gt;&lt;pages&gt;153-168&lt;/pages&gt;&lt;volume&gt;42&lt;/volume&gt;&lt;dates&gt;&lt;year&gt;2017&lt;/year&gt;&lt;/dates&gt;&lt;isbn&gt;0959-3780&lt;/isbn&gt;&lt;urls&gt;&lt;/urls&gt;&lt;electronic-resource-num&gt;https://doi.org/10.1016/j.gloenvcha.2016.05.009&lt;/electronic-resource-num&gt;&lt;/record&gt;&lt;/Cite&gt;&lt;/EndNote&gt;</w:instrText>
            </w:r>
            <w:r w:rsidRPr="005403DD">
              <w:rPr>
                <w:iCs/>
                <w:sz w:val="20"/>
                <w:szCs w:val="20"/>
              </w:rPr>
              <w:fldChar w:fldCharType="separate"/>
            </w:r>
            <w:r w:rsidRPr="005403DD">
              <w:rPr>
                <w:iCs/>
                <w:sz w:val="20"/>
                <w:szCs w:val="20"/>
              </w:rPr>
              <w:t>(Riahi et al., 2017)</w:t>
            </w:r>
            <w:r w:rsidRPr="005403DD">
              <w:rPr>
                <w:sz w:val="20"/>
                <w:szCs w:val="20"/>
              </w:rPr>
              <w:fldChar w:fldCharType="end"/>
            </w:r>
            <w:r w:rsidRPr="005403DD">
              <w:rPr>
                <w:iCs/>
                <w:sz w:val="20"/>
                <w:szCs w:val="20"/>
              </w:rPr>
              <w:t xml:space="preserve"> as well as CSIRO projections for Fiji </w:t>
            </w:r>
            <w:r w:rsidRPr="005403DD">
              <w:rPr>
                <w:iCs/>
                <w:sz w:val="20"/>
                <w:szCs w:val="20"/>
              </w:rPr>
              <w:fldChar w:fldCharType="begin"/>
            </w:r>
            <w:r w:rsidRPr="005403DD">
              <w:rPr>
                <w:iCs/>
                <w:sz w:val="20"/>
                <w:szCs w:val="20"/>
              </w:rPr>
              <w:instrText xml:space="preserve"> ADDIN EN.CITE &lt;EndNote&gt;&lt;Cite&gt;&lt;Author&gt;Fiji Meteorological Service&lt;/Author&gt;&lt;Year&gt;2011&lt;/Year&gt;&lt;RecNum&gt;1158&lt;/RecNum&gt;&lt;DisplayText&gt;(Fiji Meteorological Service et al., 2011)&lt;/DisplayText&gt;&lt;record&gt;&lt;rec-number&gt;1158&lt;/rec-number&gt;&lt;foreign-keys&gt;&lt;key app="EN" db-id="9vsrvaat7fadwtesfsrpw5w5t0x5v500ef25" timestamp="1574211790"&gt;1158&lt;/key&gt;&lt;/foreign-keys&gt;&lt;ref-type name="Generic"&gt;13&lt;/ref-type&gt;&lt;contributors&gt;&lt;authors&gt;&lt;author&gt;Fiji Meteorological Service,&lt;/author&gt;&lt;author&gt;Australian Bureau of Meteorology,&lt;/author&gt;&lt;author&gt;CSIRO,&lt;/author&gt;&lt;/authors&gt;&lt;/contributors&gt;&lt;titles&gt;&lt;title&gt;Current and future climate of the Fiji Islands&lt;/title&gt;&lt;/titles&gt;&lt;dates&gt;&lt;year&gt;2011&lt;/year&gt;&lt;/dates&gt;&lt;pub-location&gt;Canberra&lt;/pub-location&gt;&lt;publisher&gt;Australian Government&lt;/publisher&gt;&lt;urls&gt;&lt;/urls&gt;&lt;/record&gt;&lt;/Cite&gt;&lt;/EndNote&gt;</w:instrText>
            </w:r>
            <w:r w:rsidRPr="005403DD">
              <w:rPr>
                <w:iCs/>
                <w:sz w:val="20"/>
                <w:szCs w:val="20"/>
              </w:rPr>
              <w:fldChar w:fldCharType="separate"/>
            </w:r>
            <w:r w:rsidRPr="005403DD">
              <w:rPr>
                <w:iCs/>
                <w:noProof/>
                <w:sz w:val="20"/>
                <w:szCs w:val="20"/>
              </w:rPr>
              <w:t>(Fiji Meteorological Service et al., 2011)</w:t>
            </w:r>
            <w:r w:rsidRPr="005403DD">
              <w:rPr>
                <w:iCs/>
                <w:sz w:val="20"/>
                <w:szCs w:val="20"/>
              </w:rPr>
              <w:fldChar w:fldCharType="end"/>
            </w:r>
            <w:r w:rsidRPr="005403DD">
              <w:rPr>
                <w:iCs/>
                <w:sz w:val="20"/>
                <w:szCs w:val="20"/>
              </w:rPr>
              <w:t xml:space="preserve">. </w:t>
            </w:r>
            <w:r w:rsidRPr="005403DD">
              <w:rPr>
                <w:iCs/>
                <w:sz w:val="20"/>
                <w:szCs w:val="20"/>
                <w:lang w:val="en-AU"/>
              </w:rPr>
              <w:t xml:space="preserve">Climate results in the SSPs are based on </w:t>
            </w:r>
            <w:r w:rsidRPr="005403DD">
              <w:rPr>
                <w:iCs/>
                <w:sz w:val="20"/>
                <w:szCs w:val="20"/>
              </w:rPr>
              <w:t>MAGICC 6.8 and values range from 1.552 to 2.527</w:t>
            </w:r>
            <w:r w:rsidRPr="005403DD">
              <w:rPr>
                <w:iCs/>
                <w:sz w:val="20"/>
                <w:szCs w:val="20"/>
                <w:vertAlign w:val="superscript"/>
              </w:rPr>
              <w:t>o</w:t>
            </w:r>
            <w:r w:rsidRPr="005403DD">
              <w:rPr>
                <w:iCs/>
                <w:sz w:val="20"/>
                <w:szCs w:val="20"/>
              </w:rPr>
              <w:t>C above pre-industrial levels in 2050, while CSIRO present projections across different emissions scenarios within the range of 0.5 to 1.9C by 2055. For the purposes of the SA, min/max levels were set at 1-3</w:t>
            </w:r>
            <w:r w:rsidRPr="005403DD">
              <w:rPr>
                <w:iCs/>
                <w:sz w:val="20"/>
                <w:szCs w:val="20"/>
                <w:vertAlign w:val="superscript"/>
              </w:rPr>
              <w:t>o</w:t>
            </w:r>
            <w:r w:rsidRPr="005403DD">
              <w:rPr>
                <w:iCs/>
                <w:sz w:val="20"/>
                <w:szCs w:val="20"/>
              </w:rPr>
              <w:t xml:space="preserve">C by 2050. This range adequately captures the assumptions used in the alternative scenarios (i.e. </w:t>
            </w:r>
            <w:r w:rsidRPr="005403DD">
              <w:rPr>
                <w:iCs/>
                <w:sz w:val="20"/>
                <w:szCs w:val="20"/>
                <w:lang w:val="en-AU"/>
              </w:rPr>
              <w:t>1.558 to 2.217</w:t>
            </w:r>
            <w:r w:rsidRPr="005403DD">
              <w:rPr>
                <w:iCs/>
                <w:sz w:val="20"/>
                <w:szCs w:val="20"/>
                <w:vertAlign w:val="superscript"/>
                <w:lang w:val="en-AU"/>
              </w:rPr>
              <w:t>o</w:t>
            </w:r>
            <w:r w:rsidRPr="005403DD">
              <w:rPr>
                <w:iCs/>
                <w:sz w:val="20"/>
                <w:szCs w:val="20"/>
                <w:lang w:val="en-AU"/>
              </w:rPr>
              <w:t>C across different scenarios).</w:t>
            </w:r>
          </w:p>
          <w:p w14:paraId="581F34FE" w14:textId="77777777" w:rsidR="0093181A" w:rsidRPr="005403DD" w:rsidRDefault="0093181A" w:rsidP="00C04DFB">
            <w:pPr>
              <w:rPr>
                <w:iCs/>
                <w:sz w:val="20"/>
                <w:szCs w:val="20"/>
              </w:rPr>
            </w:pPr>
          </w:p>
        </w:tc>
      </w:tr>
      <w:tr w:rsidR="005403DD" w:rsidRPr="005403DD" w14:paraId="78B2B10A" w14:textId="77777777" w:rsidTr="00C04DFB">
        <w:tc>
          <w:tcPr>
            <w:tcW w:w="1838" w:type="dxa"/>
          </w:tcPr>
          <w:p w14:paraId="10DF83D5" w14:textId="77777777" w:rsidR="0093181A" w:rsidRPr="005403DD" w:rsidRDefault="0093181A" w:rsidP="00C04DFB">
            <w:pPr>
              <w:rPr>
                <w:b/>
                <w:bCs/>
                <w:sz w:val="20"/>
                <w:szCs w:val="20"/>
              </w:rPr>
            </w:pPr>
            <w:r w:rsidRPr="005403DD">
              <w:rPr>
                <w:b/>
                <w:bCs/>
                <w:sz w:val="20"/>
                <w:szCs w:val="20"/>
              </w:rPr>
              <w:t>Required increase in adaptation capital per degree of increase in temp</w:t>
            </w:r>
          </w:p>
        </w:tc>
        <w:tc>
          <w:tcPr>
            <w:tcW w:w="7178" w:type="dxa"/>
          </w:tcPr>
          <w:p w14:paraId="261B02FC" w14:textId="23502238" w:rsidR="0093181A" w:rsidRDefault="0093181A" w:rsidP="00AC3BA6">
            <w:pPr>
              <w:rPr>
                <w:iCs/>
                <w:sz w:val="20"/>
                <w:szCs w:val="20"/>
              </w:rPr>
            </w:pPr>
            <w:r w:rsidRPr="005403DD">
              <w:rPr>
                <w:iCs/>
                <w:sz w:val="20"/>
                <w:szCs w:val="20"/>
              </w:rPr>
              <w:t xml:space="preserve">Another key assumption in the model relates to the cost of adaptation to climate change impacts. Global studies on the costs of climate change adaptation for developing countries start at USD28 billion per annum by 2030 </w:t>
            </w:r>
            <w:r w:rsidRPr="005403DD">
              <w:rPr>
                <w:iCs/>
                <w:sz w:val="20"/>
                <w:szCs w:val="20"/>
              </w:rPr>
              <w:fldChar w:fldCharType="begin"/>
            </w:r>
            <w:r w:rsidRPr="005403DD">
              <w:rPr>
                <w:iCs/>
                <w:sz w:val="20"/>
                <w:szCs w:val="20"/>
              </w:rPr>
              <w:instrText xml:space="preserve"> ADDIN EN.CITE &lt;EndNote&gt;&lt;Cite&gt;&lt;Author&gt;UNFCCC&lt;/Author&gt;&lt;Year&gt;2007&lt;/Year&gt;&lt;RecNum&gt;1239&lt;/RecNum&gt;&lt;DisplayText&gt;(UNFCCC, 2007)&lt;/DisplayText&gt;&lt;record&gt;&lt;rec-number&gt;1239&lt;/rec-number&gt;&lt;foreign-keys&gt;&lt;key app="EN" db-id="9vsrvaat7fadwtesfsrpw5w5t0x5v500ef25" timestamp="1581519586"&gt;1239&lt;/key&gt;&lt;/foreign-keys&gt;&lt;ref-type name="Generic"&gt;13&lt;/ref-type&gt;&lt;contributors&gt;&lt;authors&gt;&lt;author&gt;UNFCCC,&lt;/author&gt;&lt;/authors&gt;&lt;/contributors&gt;&lt;titles&gt;&lt;title&gt;Investment and Financial Flows to Address Climate Change&lt;/title&gt;&lt;/titles&gt;&lt;dates&gt;&lt;year&gt;2007&lt;/year&gt;&lt;/dates&gt;&lt;pub-location&gt;Bonn&lt;/pub-location&gt;&lt;publisher&gt;United Nations Framework Convention on Climate Change&lt;/publisher&gt;&lt;urls&gt;&lt;related-urls&gt;&lt;url&gt;https://unfccc.int/resource/docs/publications/financial_flows.pdf&lt;/url&gt;&lt;/related-urls&gt;&lt;/urls&gt;&lt;/record&gt;&lt;/Cite&gt;&lt;/EndNote&gt;</w:instrText>
            </w:r>
            <w:r w:rsidRPr="005403DD">
              <w:rPr>
                <w:iCs/>
                <w:sz w:val="20"/>
                <w:szCs w:val="20"/>
              </w:rPr>
              <w:fldChar w:fldCharType="separate"/>
            </w:r>
            <w:r w:rsidRPr="005403DD">
              <w:rPr>
                <w:iCs/>
                <w:noProof/>
                <w:sz w:val="20"/>
                <w:szCs w:val="20"/>
              </w:rPr>
              <w:t>(UNFCCC, 2007)</w:t>
            </w:r>
            <w:r w:rsidRPr="005403DD">
              <w:rPr>
                <w:iCs/>
                <w:sz w:val="20"/>
                <w:szCs w:val="20"/>
              </w:rPr>
              <w:fldChar w:fldCharType="end"/>
            </w:r>
            <w:r w:rsidRPr="005403DD">
              <w:rPr>
                <w:iCs/>
                <w:sz w:val="20"/>
                <w:szCs w:val="20"/>
              </w:rPr>
              <w:t xml:space="preserve"> to around USD140 billion to USD300 billion by 2030 </w:t>
            </w:r>
            <w:r w:rsidRPr="005403DD">
              <w:rPr>
                <w:iCs/>
                <w:sz w:val="20"/>
                <w:szCs w:val="20"/>
              </w:rPr>
              <w:fldChar w:fldCharType="begin"/>
            </w:r>
            <w:r w:rsidRPr="005403DD">
              <w:rPr>
                <w:iCs/>
                <w:sz w:val="20"/>
                <w:szCs w:val="20"/>
              </w:rPr>
              <w:instrText xml:space="preserve"> ADDIN EN.CITE &lt;EndNote&gt;&lt;Cite&gt;&lt;Author&gt;UNEP&lt;/Author&gt;&lt;Year&gt;2016&lt;/Year&gt;&lt;RecNum&gt;1240&lt;/RecNum&gt;&lt;DisplayText&gt;(UNEP, 2016)&lt;/DisplayText&gt;&lt;record&gt;&lt;rec-number&gt;1240&lt;/rec-number&gt;&lt;foreign-keys&gt;&lt;key app="EN" db-id="9vsrvaat7fadwtesfsrpw5w5t0x5v500ef25" timestamp="1581519929"&gt;1240&lt;/key&gt;&lt;/foreign-keys&gt;&lt;ref-type name="Generic"&gt;13&lt;/ref-type&gt;&lt;contributors&gt;&lt;authors&gt;&lt;author&gt;UNEP,&lt;/author&gt;&lt;/authors&gt;&lt;/contributors&gt;&lt;titles&gt;&lt;title&gt;Adaptation Finance Gap Report&lt;/title&gt;&lt;/titles&gt;&lt;dates&gt;&lt;year&gt;2016&lt;/year&gt;&lt;/dates&gt;&lt;pub-location&gt;Nairobi&lt;/pub-location&gt;&lt;publisher&gt;United Nations Environment Progrmme&lt;/publisher&gt;&lt;urls&gt;&lt;related-urls&gt;&lt;url&gt;https://unepdtu.org/wp-content/uploads/2018/10/unep-gap-report-2016-web-6-6-2016.pdf&lt;/url&gt;&lt;/related-urls&gt;&lt;/urls&gt;&lt;/record&gt;&lt;/Cite&gt;&lt;/EndNote&gt;</w:instrText>
            </w:r>
            <w:r w:rsidRPr="005403DD">
              <w:rPr>
                <w:iCs/>
                <w:sz w:val="20"/>
                <w:szCs w:val="20"/>
              </w:rPr>
              <w:fldChar w:fldCharType="separate"/>
            </w:r>
            <w:r w:rsidRPr="005403DD">
              <w:rPr>
                <w:iCs/>
                <w:noProof/>
                <w:sz w:val="20"/>
                <w:szCs w:val="20"/>
              </w:rPr>
              <w:t>(UNEP, 2016)</w:t>
            </w:r>
            <w:r w:rsidRPr="005403DD">
              <w:rPr>
                <w:iCs/>
                <w:sz w:val="20"/>
                <w:szCs w:val="20"/>
              </w:rPr>
              <w:fldChar w:fldCharType="end"/>
            </w:r>
            <w:r w:rsidRPr="005403DD">
              <w:rPr>
                <w:iCs/>
                <w:sz w:val="20"/>
                <w:szCs w:val="20"/>
              </w:rPr>
              <w:t xml:space="preserve">.  Based on a rough estimate of total GDP of approximately USD47 trillion in 2030 (low and middle income countries; 4% growth rate per annum from 2018-2030) </w:t>
            </w:r>
            <w:r w:rsidRPr="005403DD">
              <w:rPr>
                <w:iCs/>
                <w:sz w:val="20"/>
                <w:szCs w:val="20"/>
              </w:rPr>
              <w:fldChar w:fldCharType="begin"/>
            </w:r>
            <w:r w:rsidRPr="005403DD">
              <w:rPr>
                <w:iCs/>
                <w:sz w:val="20"/>
                <w:szCs w:val="20"/>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iCs/>
                <w:sz w:val="20"/>
                <w:szCs w:val="20"/>
              </w:rPr>
              <w:fldChar w:fldCharType="separate"/>
            </w:r>
            <w:r w:rsidRPr="005403DD">
              <w:rPr>
                <w:iCs/>
                <w:noProof/>
                <w:sz w:val="20"/>
                <w:szCs w:val="20"/>
              </w:rPr>
              <w:t>(The World Bank, 2018)</w:t>
            </w:r>
            <w:r w:rsidRPr="005403DD">
              <w:rPr>
                <w:iCs/>
                <w:sz w:val="20"/>
                <w:szCs w:val="20"/>
              </w:rPr>
              <w:fldChar w:fldCharType="end"/>
            </w:r>
            <w:r w:rsidRPr="005403DD">
              <w:rPr>
                <w:iCs/>
                <w:sz w:val="20"/>
                <w:szCs w:val="20"/>
              </w:rPr>
              <w:t xml:space="preserve">, this would equate to between 0.06 to 0.65% GDP of developing countries in 2030.  Average temperature is projected to increase by up to 1.2C by 2030 </w:t>
            </w:r>
            <w:r w:rsidRPr="005403DD">
              <w:rPr>
                <w:iCs/>
                <w:sz w:val="20"/>
                <w:szCs w:val="20"/>
              </w:rPr>
              <w:fldChar w:fldCharType="begin"/>
            </w:r>
            <w:r w:rsidRPr="005403DD">
              <w:rPr>
                <w:iCs/>
                <w:sz w:val="20"/>
                <w:szCs w:val="20"/>
              </w:rPr>
              <w:instrText xml:space="preserve"> ADDIN EN.CITE &lt;EndNote&gt;&lt;Cite&gt;&lt;Author&gt;Fiji Meteorological Service&lt;/Author&gt;&lt;Year&gt;2011&lt;/Year&gt;&lt;RecNum&gt;1158&lt;/RecNum&gt;&lt;DisplayText&gt;(Fiji Meteorological Service et al., 2011)&lt;/DisplayText&gt;&lt;record&gt;&lt;rec-number&gt;1158&lt;/rec-number&gt;&lt;foreign-keys&gt;&lt;key app="EN" db-id="9vsrvaat7fadwtesfsrpw5w5t0x5v500ef25" timestamp="1574211790"&gt;1158&lt;/key&gt;&lt;/foreign-keys&gt;&lt;ref-type name="Generic"&gt;13&lt;/ref-type&gt;&lt;contributors&gt;&lt;authors&gt;&lt;author&gt;Fiji Meteorological Service,&lt;/author&gt;&lt;author&gt;Australian Bureau of Meteorology,&lt;/author&gt;&lt;author&gt;CSIRO,&lt;/author&gt;&lt;/authors&gt;&lt;/contributors&gt;&lt;titles&gt;&lt;title&gt;Current and future climate of the Fiji Islands&lt;/title&gt;&lt;/titles&gt;&lt;dates&gt;&lt;year&gt;2011&lt;/year&gt;&lt;/dates&gt;&lt;pub-location&gt;Canberra&lt;/pub-location&gt;&lt;publisher&gt;Australian Government&lt;/publisher&gt;&lt;urls&gt;&lt;/urls&gt;&lt;/record&gt;&lt;/Cite&gt;&lt;/EndNote&gt;</w:instrText>
            </w:r>
            <w:r w:rsidRPr="005403DD">
              <w:rPr>
                <w:iCs/>
                <w:sz w:val="20"/>
                <w:szCs w:val="20"/>
              </w:rPr>
              <w:fldChar w:fldCharType="separate"/>
            </w:r>
            <w:r w:rsidRPr="005403DD">
              <w:rPr>
                <w:iCs/>
                <w:noProof/>
                <w:sz w:val="20"/>
                <w:szCs w:val="20"/>
              </w:rPr>
              <w:t>(Fiji Meteorological Service et al., 2011)</w:t>
            </w:r>
            <w:r w:rsidRPr="005403DD">
              <w:rPr>
                <w:iCs/>
                <w:sz w:val="20"/>
                <w:szCs w:val="20"/>
              </w:rPr>
              <w:fldChar w:fldCharType="end"/>
            </w:r>
            <w:r w:rsidRPr="005403DD">
              <w:rPr>
                <w:iCs/>
                <w:sz w:val="20"/>
                <w:szCs w:val="20"/>
              </w:rPr>
              <w:t xml:space="preserve">. Fiji’s vulnerability assessment highlights projected losses of FJD500 million annually or 5% GDP from floods and cyclones, with total adaptation investment needs over ten years of FJD9.3 billion or approximately </w:t>
            </w:r>
            <w:r w:rsidRPr="005403DD">
              <w:rPr>
                <w:iCs/>
                <w:sz w:val="20"/>
                <w:szCs w:val="20"/>
              </w:rPr>
              <w:lastRenderedPageBreak/>
              <w:t xml:space="preserve">10% GDP per annum in 2020, declining to around 7% GDP per annum by 2030.  However, there is </w:t>
            </w:r>
            <w:r w:rsidR="00EF5802">
              <w:rPr>
                <w:iCs/>
                <w:sz w:val="20"/>
                <w:szCs w:val="20"/>
              </w:rPr>
              <w:t xml:space="preserve">considerable </w:t>
            </w:r>
            <w:r w:rsidRPr="005403DD">
              <w:rPr>
                <w:iCs/>
                <w:sz w:val="20"/>
                <w:szCs w:val="20"/>
              </w:rPr>
              <w:t xml:space="preserve">overlap with other development expenditure. For the SA, the min/max range was set </w:t>
            </w:r>
            <w:r w:rsidRPr="00EF5802">
              <w:rPr>
                <w:iCs/>
                <w:sz w:val="20"/>
                <w:szCs w:val="20"/>
              </w:rPr>
              <w:t xml:space="preserve">from 0.05% to </w:t>
            </w:r>
            <w:r w:rsidR="00010BA9" w:rsidRPr="00EF5802">
              <w:rPr>
                <w:iCs/>
                <w:sz w:val="20"/>
                <w:szCs w:val="20"/>
              </w:rPr>
              <w:t>2</w:t>
            </w:r>
            <w:r w:rsidRPr="00EF5802">
              <w:rPr>
                <w:iCs/>
                <w:sz w:val="20"/>
                <w:szCs w:val="20"/>
              </w:rPr>
              <w:t xml:space="preserve">% GDP per </w:t>
            </w:r>
            <w:r w:rsidR="0058299C">
              <w:rPr>
                <w:iCs/>
                <w:sz w:val="20"/>
                <w:szCs w:val="20"/>
              </w:rPr>
              <w:t>degree of warming</w:t>
            </w:r>
            <w:r w:rsidRPr="00EF5802">
              <w:rPr>
                <w:iCs/>
                <w:sz w:val="20"/>
                <w:szCs w:val="20"/>
              </w:rPr>
              <w:t xml:space="preserve"> in required capital investment. This range adequately captures the assumption used in the alternative scenarios</w:t>
            </w:r>
            <w:r w:rsidR="00AA5CF5">
              <w:rPr>
                <w:iCs/>
                <w:sz w:val="20"/>
                <w:szCs w:val="20"/>
              </w:rPr>
              <w:t xml:space="preserve"> (0.9%</w:t>
            </w:r>
            <w:r w:rsidR="0058299C">
              <w:rPr>
                <w:iCs/>
                <w:sz w:val="20"/>
                <w:szCs w:val="20"/>
              </w:rPr>
              <w:t xml:space="preserve"> GDP per degree of warming</w:t>
            </w:r>
            <w:r w:rsidR="00AA5CF5">
              <w:rPr>
                <w:iCs/>
                <w:sz w:val="20"/>
                <w:szCs w:val="20"/>
              </w:rPr>
              <w:t>)</w:t>
            </w:r>
            <w:r w:rsidR="00DC2390" w:rsidRPr="00EF5802">
              <w:rPr>
                <w:iCs/>
                <w:sz w:val="20"/>
                <w:szCs w:val="20"/>
              </w:rPr>
              <w:t>.</w:t>
            </w:r>
            <w:r w:rsidR="00DC2390">
              <w:rPr>
                <w:iCs/>
                <w:sz w:val="20"/>
                <w:szCs w:val="20"/>
              </w:rPr>
              <w:t xml:space="preserve"> </w:t>
            </w:r>
            <w:r w:rsidRPr="005403DD">
              <w:rPr>
                <w:iCs/>
                <w:sz w:val="20"/>
                <w:szCs w:val="20"/>
              </w:rPr>
              <w:t xml:space="preserve"> </w:t>
            </w:r>
          </w:p>
          <w:p w14:paraId="1A06247E" w14:textId="1894F8D7" w:rsidR="00283F52" w:rsidRPr="00283F52" w:rsidRDefault="00283F52" w:rsidP="00AC3BA6">
            <w:pPr>
              <w:rPr>
                <w:iCs/>
                <w:color w:val="FF0000"/>
                <w:sz w:val="20"/>
                <w:szCs w:val="20"/>
              </w:rPr>
            </w:pPr>
          </w:p>
        </w:tc>
      </w:tr>
      <w:tr w:rsidR="005403DD" w:rsidRPr="005403DD" w14:paraId="1CAADEC2" w14:textId="77777777" w:rsidTr="00C04DFB">
        <w:tc>
          <w:tcPr>
            <w:tcW w:w="1838" w:type="dxa"/>
          </w:tcPr>
          <w:p w14:paraId="7A3EC078" w14:textId="77777777" w:rsidR="0093181A" w:rsidRPr="005403DD" w:rsidRDefault="0093181A" w:rsidP="00C04DFB">
            <w:pPr>
              <w:rPr>
                <w:b/>
                <w:bCs/>
                <w:sz w:val="20"/>
                <w:szCs w:val="20"/>
              </w:rPr>
            </w:pPr>
            <w:r w:rsidRPr="005403DD">
              <w:rPr>
                <w:b/>
                <w:bCs/>
                <w:sz w:val="20"/>
                <w:szCs w:val="20"/>
              </w:rPr>
              <w:t>Grants</w:t>
            </w:r>
          </w:p>
        </w:tc>
        <w:tc>
          <w:tcPr>
            <w:tcW w:w="7178" w:type="dxa"/>
          </w:tcPr>
          <w:p w14:paraId="546AB4E7" w14:textId="77777777" w:rsidR="0093181A" w:rsidRPr="005403DD" w:rsidRDefault="0093181A" w:rsidP="00C04DFB">
            <w:pPr>
              <w:rPr>
                <w:iCs/>
                <w:sz w:val="20"/>
                <w:szCs w:val="20"/>
              </w:rPr>
            </w:pPr>
            <w:r w:rsidRPr="005403DD">
              <w:rPr>
                <w:iCs/>
                <w:sz w:val="20"/>
                <w:szCs w:val="20"/>
              </w:rPr>
              <w:t xml:space="preserve">Fiji as a SIDS is heavily reliant on international assistance to support development needs, including climate change action. Historic timeseries data shows that grants as a % of GDP have ranged from 1.5 to 4.7% </w:t>
            </w:r>
            <w:r w:rsidRPr="005403DD">
              <w:rPr>
                <w:iCs/>
                <w:sz w:val="20"/>
                <w:szCs w:val="20"/>
              </w:rPr>
              <w:fldChar w:fldCharType="begin"/>
            </w:r>
            <w:r w:rsidRPr="005403DD">
              <w:rPr>
                <w:iCs/>
                <w:sz w:val="20"/>
                <w:szCs w:val="20"/>
              </w:rPr>
              <w:instrText xml:space="preserve"> ADDIN EN.CITE &lt;EndNote&gt;&lt;Cite&gt;&lt;Author&gt;The World Bank&lt;/Author&gt;&lt;Year&gt;2018&lt;/Year&gt;&lt;RecNum&gt;1061&lt;/RecNum&gt;&lt;DisplayText&gt;(The World Bank, 2018)&lt;/DisplayText&gt;&lt;record&gt;&lt;rec-number&gt;1061&lt;/rec-number&gt;&lt;foreign-keys&gt;&lt;key app="EN" db-id="9vsrvaat7fadwtesfsrpw5w5t0x5v500ef25" timestamp="1565160465"&gt;1061&lt;/key&gt;&lt;/foreign-keys&gt;&lt;ref-type name="Dataset"&gt;59&lt;/ref-type&gt;&lt;contributors&gt;&lt;authors&gt;&lt;author&gt;The World Bank,&lt;/author&gt;&lt;/authors&gt;&lt;/contributors&gt;&lt;titles&gt;&lt;title&gt;World Development Indicators DataBank&lt;/title&gt;&lt;/titles&gt;&lt;dates&gt;&lt;year&gt;2018&lt;/year&gt;&lt;/dates&gt;&lt;pub-location&gt;Washington, USA&lt;/pub-location&gt;&lt;urls&gt;&lt;related-urls&gt;&lt;url&gt;https://data.worldbank.org/indicator/SP.DYN.CONU.ZS?view=chart&lt;/url&gt;&lt;/related-urls&gt;&lt;/urls&gt;&lt;access-date&gt;08/08/18&lt;/access-date&gt;&lt;/record&gt;&lt;/Cite&gt;&lt;/EndNote&gt;</w:instrText>
            </w:r>
            <w:r w:rsidRPr="005403DD">
              <w:rPr>
                <w:iCs/>
                <w:sz w:val="20"/>
                <w:szCs w:val="20"/>
              </w:rPr>
              <w:fldChar w:fldCharType="separate"/>
            </w:r>
            <w:r w:rsidRPr="005403DD">
              <w:rPr>
                <w:iCs/>
                <w:noProof/>
                <w:sz w:val="20"/>
                <w:szCs w:val="20"/>
              </w:rPr>
              <w:t>(The World Bank, 2018)</w:t>
            </w:r>
            <w:r w:rsidRPr="005403DD">
              <w:rPr>
                <w:iCs/>
                <w:sz w:val="20"/>
                <w:szCs w:val="20"/>
              </w:rPr>
              <w:fldChar w:fldCharType="end"/>
            </w:r>
            <w:r w:rsidRPr="005403DD">
              <w:rPr>
                <w:iCs/>
                <w:sz w:val="20"/>
                <w:szCs w:val="20"/>
              </w:rPr>
              <w:t>. Fiji’s national strategies foresee much greater access to international finance to address priorities such as climate change mitigation and adaptation. For the foundation scenarios, assumptions for average grants received as a % GDP from 2020-2030 remain within historic ranges.  For the high-ambition scenarios, grants range from 4.9% to 6.7% GDP per annum for ST_CLIMATE and 4.9 to 17.9% GDP in ST_SDG.  For the SA, we use min/max values of 1% to 20% which adequately capture the assumptions used in the alternative scenarios.</w:t>
            </w:r>
          </w:p>
        </w:tc>
      </w:tr>
      <w:tr w:rsidR="005403DD" w:rsidRPr="005403DD" w14:paraId="1E059E81" w14:textId="77777777" w:rsidTr="00C04DFB">
        <w:tc>
          <w:tcPr>
            <w:tcW w:w="1838" w:type="dxa"/>
          </w:tcPr>
          <w:p w14:paraId="62306DF9" w14:textId="77777777" w:rsidR="0093181A" w:rsidRPr="005403DD" w:rsidRDefault="0093181A" w:rsidP="00C04DFB">
            <w:pPr>
              <w:rPr>
                <w:b/>
                <w:bCs/>
                <w:sz w:val="20"/>
                <w:szCs w:val="20"/>
              </w:rPr>
            </w:pPr>
            <w:r w:rsidRPr="005403DD">
              <w:rPr>
                <w:b/>
                <w:bCs/>
                <w:sz w:val="20"/>
                <w:szCs w:val="20"/>
              </w:rPr>
              <w:t>Governance</w:t>
            </w:r>
          </w:p>
        </w:tc>
        <w:tc>
          <w:tcPr>
            <w:tcW w:w="7178" w:type="dxa"/>
          </w:tcPr>
          <w:p w14:paraId="76F7DDD1" w14:textId="77777777" w:rsidR="0093181A" w:rsidRPr="005403DD" w:rsidRDefault="0093181A" w:rsidP="00C04DFB">
            <w:pPr>
              <w:rPr>
                <w:iCs/>
                <w:sz w:val="20"/>
                <w:szCs w:val="20"/>
              </w:rPr>
            </w:pPr>
            <w:r w:rsidRPr="005403DD">
              <w:rPr>
                <w:iCs/>
                <w:sz w:val="20"/>
                <w:szCs w:val="20"/>
              </w:rPr>
              <w:t xml:space="preserve">Fiji’s baseline scores on the five World Bank Governance Indicators are quite low.  Assumptions around improvements in these affect scenario performance as a result of productivity and service delivery. In the model, assumptions are set based on narratives as well as historic time series data for Fiji and global comparisons </w:t>
            </w:r>
            <w:r w:rsidRPr="005403DD">
              <w:rPr>
                <w:iCs/>
                <w:sz w:val="20"/>
                <w:szCs w:val="20"/>
              </w:rPr>
              <w:fldChar w:fldCharType="begin"/>
            </w:r>
            <w:r w:rsidRPr="005403DD">
              <w:rPr>
                <w:iCs/>
                <w:sz w:val="20"/>
                <w:szCs w:val="20"/>
              </w:rPr>
              <w:instrText xml:space="preserve"> ADDIN EN.CITE &lt;EndNote&gt;&lt;Cite&gt;&lt;Author&gt;Kaufman&lt;/Author&gt;&lt;Year&gt;2016&lt;/Year&gt;&lt;RecNum&gt;1045&lt;/RecNum&gt;&lt;DisplayText&gt;(Kaufman and Kraay, 2016)&lt;/DisplayText&gt;&lt;record&gt;&lt;rec-number&gt;1045&lt;/rec-number&gt;&lt;foreign-keys&gt;&lt;key app="EN" db-id="9vsrvaat7fadwtesfsrpw5w5t0x5v500ef25" timestamp="1565084453"&gt;1045&lt;/key&gt;&lt;/foreign-keys&gt;&lt;ref-type name="Dataset"&gt;59&lt;/ref-type&gt;&lt;contributors&gt;&lt;authors&gt;&lt;author&gt;Kaufman, D&lt;/author&gt;&lt;author&gt;Kraay, A&lt;/author&gt;&lt;/authors&gt;&lt;/contributors&gt;&lt;titles&gt;&lt;title&gt;Worldwide Governance Indicators&lt;/title&gt;&lt;/titles&gt;&lt;dates&gt;&lt;year&gt;2016&lt;/year&gt;&lt;/dates&gt;&lt;pub-location&gt;Washington, USA&lt;/pub-location&gt;&lt;publisher&gt;The World Bank&lt;/publisher&gt;&lt;urls&gt;&lt;related-urls&gt;&lt;url&gt;http://info.worldbank.org/governance/wgi/index.aspx#home&lt;/url&gt;&lt;/related-urls&gt;&lt;/urls&gt;&lt;access-date&gt;11/12/17&lt;/access-date&gt;&lt;/record&gt;&lt;/Cite&gt;&lt;/EndNote&gt;</w:instrText>
            </w:r>
            <w:r w:rsidRPr="005403DD">
              <w:rPr>
                <w:iCs/>
                <w:sz w:val="20"/>
                <w:szCs w:val="20"/>
              </w:rPr>
              <w:fldChar w:fldCharType="separate"/>
            </w:r>
            <w:r w:rsidRPr="005403DD">
              <w:rPr>
                <w:iCs/>
                <w:noProof/>
                <w:sz w:val="20"/>
                <w:szCs w:val="20"/>
              </w:rPr>
              <w:t>(Kaufman and Kraay, 2016)</w:t>
            </w:r>
            <w:r w:rsidRPr="005403DD">
              <w:rPr>
                <w:iCs/>
                <w:sz w:val="20"/>
                <w:szCs w:val="20"/>
              </w:rPr>
              <w:fldChar w:fldCharType="end"/>
            </w:r>
            <w:r w:rsidRPr="005403DD">
              <w:rPr>
                <w:iCs/>
                <w:sz w:val="20"/>
                <w:szCs w:val="20"/>
              </w:rPr>
              <w:t xml:space="preserve">.  For the high ambition ST_SDG scenario, levels are set beyond historic ranges for Fiji.  We test the sensitivity the results to governance target assumptions using min/max values of -0.4 to 1.6 for all metrics, which encompasses the range of assumptions used in the alternative scenarios). </w:t>
            </w:r>
          </w:p>
        </w:tc>
      </w:tr>
    </w:tbl>
    <w:p w14:paraId="3CF39098" w14:textId="77777777" w:rsidR="0038713A" w:rsidRPr="0093181A" w:rsidRDefault="0038713A" w:rsidP="00301544">
      <w:pPr>
        <w:rPr>
          <w:b/>
          <w:bCs/>
          <w:caps/>
        </w:rPr>
      </w:pPr>
    </w:p>
    <w:p w14:paraId="4E94C500" w14:textId="77777777" w:rsidR="00373308" w:rsidRPr="00301544" w:rsidRDefault="00373308">
      <w:pPr>
        <w:rPr>
          <w:b/>
          <w:caps/>
          <w:u w:val="single"/>
          <w:lang w:val="en-AU"/>
        </w:rPr>
      </w:pPr>
    </w:p>
    <w:p w14:paraId="17B7E63B" w14:textId="54D370A1" w:rsidR="00CC6A21" w:rsidRDefault="00CC6A21">
      <w:pPr>
        <w:rPr>
          <w:b/>
          <w:caps/>
          <w:u w:val="single"/>
        </w:rPr>
      </w:pPr>
      <w:r>
        <w:rPr>
          <w:b/>
          <w:caps/>
          <w:u w:val="single"/>
        </w:rPr>
        <w:br w:type="page"/>
      </w:r>
    </w:p>
    <w:p w14:paraId="18169D96" w14:textId="3FCC3271" w:rsidR="00A9640E" w:rsidRPr="00972767" w:rsidRDefault="00A9640E" w:rsidP="00E92CE0">
      <w:pPr>
        <w:rPr>
          <w:b/>
          <w:caps/>
          <w:u w:val="single"/>
        </w:rPr>
      </w:pPr>
      <w:r w:rsidRPr="00972767">
        <w:rPr>
          <w:b/>
          <w:caps/>
          <w:u w:val="single"/>
        </w:rPr>
        <w:lastRenderedPageBreak/>
        <w:t xml:space="preserve">FIGURE </w:t>
      </w:r>
      <w:r w:rsidR="00740255" w:rsidRPr="00972767">
        <w:rPr>
          <w:b/>
          <w:caps/>
          <w:u w:val="single"/>
        </w:rPr>
        <w:t>SI.</w:t>
      </w:r>
      <w:r w:rsidRPr="00972767">
        <w:rPr>
          <w:b/>
          <w:caps/>
          <w:u w:val="single"/>
        </w:rPr>
        <w:t xml:space="preserve">1: </w:t>
      </w:r>
      <w:r w:rsidR="00D508AE" w:rsidRPr="00972767">
        <w:rPr>
          <w:b/>
          <w:caps/>
          <w:u w:val="single"/>
        </w:rPr>
        <w:t>Expenditure and revenue s</w:t>
      </w:r>
      <w:r w:rsidR="00740255" w:rsidRPr="00972767">
        <w:rPr>
          <w:b/>
          <w:caps/>
          <w:u w:val="single"/>
        </w:rPr>
        <w:t>imulations</w:t>
      </w:r>
      <w:r w:rsidR="00D508AE" w:rsidRPr="00972767">
        <w:rPr>
          <w:b/>
          <w:caps/>
          <w:u w:val="single"/>
        </w:rPr>
        <w:t xml:space="preserve"> for each scenario</w:t>
      </w:r>
      <w:r w:rsidR="00FE0E5F" w:rsidRPr="00972767">
        <w:rPr>
          <w:b/>
          <w:caps/>
          <w:u w:val="single"/>
        </w:rPr>
        <w:t xml:space="preserve"> 1990 to 2030</w:t>
      </w:r>
    </w:p>
    <w:p w14:paraId="7EE329EF" w14:textId="217E2F35" w:rsidR="00C71EB7" w:rsidRDefault="004F6E83" w:rsidP="00C71EB7">
      <w:pPr>
        <w:spacing w:after="0"/>
        <w:rPr>
          <w:b/>
          <w:bCs/>
          <w:lang w:val="en-AU"/>
        </w:rPr>
      </w:pPr>
      <w:r>
        <w:rPr>
          <w:noProof/>
        </w:rPr>
        <w:drawing>
          <wp:inline distT="0" distB="0" distL="0" distR="0" wp14:anchorId="00E5C30C" wp14:editId="33355B14">
            <wp:extent cx="5725795" cy="3209925"/>
            <wp:effectExtent l="0" t="0" r="8255" b="0"/>
            <wp:docPr id="19" name="Chart 19">
              <a:extLst xmlns:a="http://schemas.openxmlformats.org/drawingml/2006/main">
                <a:ext uri="{FF2B5EF4-FFF2-40B4-BE49-F238E27FC236}">
                  <a16:creationId xmlns:a16="http://schemas.microsoft.com/office/drawing/2014/main" id="{7DCCC819-AE8C-48D4-A092-35165E2CF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CCB187" w14:textId="605B03E8" w:rsidR="00C71EB7" w:rsidRDefault="00C71EB7" w:rsidP="00C71EB7">
      <w:pPr>
        <w:spacing w:after="0"/>
        <w:rPr>
          <w:b/>
          <w:bCs/>
          <w:lang w:val="en-AU"/>
        </w:rPr>
      </w:pPr>
      <w:r>
        <w:rPr>
          <w:b/>
          <w:bCs/>
          <w:lang w:val="en-AU"/>
        </w:rPr>
        <w:t>Figure SI.</w:t>
      </w:r>
      <w:r w:rsidR="008E30EC">
        <w:rPr>
          <w:b/>
          <w:bCs/>
          <w:lang w:val="en-AU"/>
        </w:rPr>
        <w:t>1</w:t>
      </w:r>
      <w:r w:rsidR="00A9640E">
        <w:rPr>
          <w:b/>
          <w:bCs/>
          <w:lang w:val="en-AU"/>
        </w:rPr>
        <w:t>a</w:t>
      </w:r>
      <w:r>
        <w:rPr>
          <w:b/>
          <w:bCs/>
          <w:lang w:val="en-AU"/>
        </w:rPr>
        <w:t xml:space="preserve"> Government expenditure (FJD billions)</w:t>
      </w:r>
      <w:r w:rsidR="006F0657">
        <w:rPr>
          <w:b/>
          <w:bCs/>
          <w:lang w:val="en-AU"/>
        </w:rPr>
        <w:t xml:space="preserve"> </w:t>
      </w:r>
    </w:p>
    <w:p w14:paraId="26C3840D" w14:textId="77777777" w:rsidR="00C71EB7" w:rsidRDefault="00C71EB7" w:rsidP="00C71EB7">
      <w:pPr>
        <w:spacing w:after="0"/>
        <w:rPr>
          <w:b/>
          <w:bCs/>
          <w:lang w:val="en-AU"/>
        </w:rPr>
      </w:pPr>
    </w:p>
    <w:p w14:paraId="35ADB1E0" w14:textId="3A27277A" w:rsidR="00C71EB7" w:rsidRDefault="001D3B75" w:rsidP="00C71EB7">
      <w:pPr>
        <w:spacing w:after="0"/>
        <w:rPr>
          <w:b/>
          <w:bCs/>
          <w:lang w:val="en-AU"/>
        </w:rPr>
      </w:pPr>
      <w:r>
        <w:rPr>
          <w:noProof/>
        </w:rPr>
        <w:drawing>
          <wp:inline distT="0" distB="0" distL="0" distR="0" wp14:anchorId="0B2252A2" wp14:editId="4CA1164D">
            <wp:extent cx="5731510" cy="3352800"/>
            <wp:effectExtent l="0" t="0" r="2540" b="0"/>
            <wp:docPr id="34" name="Chart 34">
              <a:extLst xmlns:a="http://schemas.openxmlformats.org/drawingml/2006/main">
                <a:ext uri="{FF2B5EF4-FFF2-40B4-BE49-F238E27FC236}">
                  <a16:creationId xmlns:a16="http://schemas.microsoft.com/office/drawing/2014/main" id="{9854529C-A99C-4C32-B38C-33CD00868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4516AC" w14:textId="0A244496" w:rsidR="00C71EB7" w:rsidRDefault="00C71EB7" w:rsidP="0088367F">
      <w:pPr>
        <w:spacing w:after="0"/>
        <w:rPr>
          <w:b/>
          <w:bCs/>
          <w:lang w:val="en-AU"/>
        </w:rPr>
      </w:pPr>
      <w:r>
        <w:rPr>
          <w:b/>
          <w:bCs/>
          <w:lang w:val="en-AU"/>
        </w:rPr>
        <w:t>Figure</w:t>
      </w:r>
      <w:r w:rsidR="008E30EC">
        <w:rPr>
          <w:b/>
          <w:bCs/>
          <w:lang w:val="en-AU"/>
        </w:rPr>
        <w:t xml:space="preserve"> SI.</w:t>
      </w:r>
      <w:r w:rsidR="00A9640E">
        <w:rPr>
          <w:b/>
          <w:bCs/>
          <w:lang w:val="en-AU"/>
        </w:rPr>
        <w:t>1b</w:t>
      </w:r>
      <w:r w:rsidR="008E30EC">
        <w:rPr>
          <w:b/>
          <w:bCs/>
          <w:lang w:val="en-AU"/>
        </w:rPr>
        <w:t xml:space="preserve"> </w:t>
      </w:r>
      <w:r>
        <w:rPr>
          <w:b/>
          <w:bCs/>
          <w:lang w:val="en-AU"/>
        </w:rPr>
        <w:t>Government expenditure as share of GDP (%)</w:t>
      </w:r>
      <w:r w:rsidR="002679A0">
        <w:rPr>
          <w:b/>
          <w:bCs/>
          <w:lang w:val="en-AU"/>
        </w:rPr>
        <w:t xml:space="preserve"> </w:t>
      </w:r>
    </w:p>
    <w:p w14:paraId="3B4C94F4" w14:textId="77777777" w:rsidR="0088367F" w:rsidRDefault="0088367F" w:rsidP="0088367F">
      <w:pPr>
        <w:spacing w:after="0"/>
        <w:rPr>
          <w:b/>
          <w:bCs/>
          <w:lang w:val="en-AU"/>
        </w:rPr>
      </w:pPr>
    </w:p>
    <w:p w14:paraId="22838FF0" w14:textId="6B3CB900" w:rsidR="00C71EB7" w:rsidRDefault="008F5024" w:rsidP="00C71EB7">
      <w:pPr>
        <w:rPr>
          <w:b/>
          <w:bCs/>
          <w:lang w:val="en-AU"/>
        </w:rPr>
      </w:pPr>
      <w:r>
        <w:rPr>
          <w:noProof/>
        </w:rPr>
        <w:lastRenderedPageBreak/>
        <w:drawing>
          <wp:inline distT="0" distB="0" distL="0" distR="0" wp14:anchorId="13921476" wp14:editId="6AB8FCA3">
            <wp:extent cx="5731510" cy="3228340"/>
            <wp:effectExtent l="0" t="0" r="2540" b="0"/>
            <wp:docPr id="35" name="Chart 35">
              <a:extLst xmlns:a="http://schemas.openxmlformats.org/drawingml/2006/main">
                <a:ext uri="{FF2B5EF4-FFF2-40B4-BE49-F238E27FC236}">
                  <a16:creationId xmlns:a16="http://schemas.microsoft.com/office/drawing/2014/main" id="{03D03C94-47C1-4E07-A9BB-52A642513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24A3D7" w14:textId="46101886" w:rsidR="00786B29" w:rsidRDefault="00C71EB7" w:rsidP="00C71EB7">
      <w:pPr>
        <w:rPr>
          <w:b/>
          <w:bCs/>
          <w:lang w:val="en-AU"/>
        </w:rPr>
      </w:pPr>
      <w:r>
        <w:rPr>
          <w:b/>
          <w:bCs/>
          <w:lang w:val="en-AU"/>
        </w:rPr>
        <w:t>Figure</w:t>
      </w:r>
      <w:r w:rsidR="008E30EC">
        <w:rPr>
          <w:b/>
          <w:bCs/>
          <w:lang w:val="en-AU"/>
        </w:rPr>
        <w:t xml:space="preserve"> SI.</w:t>
      </w:r>
      <w:r w:rsidR="00A9640E">
        <w:rPr>
          <w:b/>
          <w:bCs/>
          <w:lang w:val="en-AU"/>
        </w:rPr>
        <w:t>1c</w:t>
      </w:r>
      <w:r>
        <w:rPr>
          <w:b/>
          <w:bCs/>
          <w:lang w:val="en-AU"/>
        </w:rPr>
        <w:t xml:space="preserve"> Domestic revenue as share of GDP (%)</w:t>
      </w:r>
      <w:r w:rsidR="006F0657">
        <w:rPr>
          <w:b/>
          <w:bCs/>
          <w:lang w:val="en-AU"/>
        </w:rPr>
        <w:t xml:space="preserve"> </w:t>
      </w:r>
    </w:p>
    <w:p w14:paraId="73EBD502" w14:textId="07731D68" w:rsidR="00786B29" w:rsidRDefault="008720B1" w:rsidP="00C71EB7">
      <w:pPr>
        <w:rPr>
          <w:b/>
          <w:bCs/>
          <w:lang w:val="en-AU"/>
        </w:rPr>
      </w:pPr>
      <w:r>
        <w:rPr>
          <w:noProof/>
        </w:rPr>
        <w:drawing>
          <wp:inline distT="0" distB="0" distL="0" distR="0" wp14:anchorId="663BDE8B" wp14:editId="70154A05">
            <wp:extent cx="5731510" cy="3223895"/>
            <wp:effectExtent l="0" t="0" r="2540" b="14605"/>
            <wp:docPr id="36" name="Chart 36">
              <a:extLst xmlns:a="http://schemas.openxmlformats.org/drawingml/2006/main">
                <a:ext uri="{FF2B5EF4-FFF2-40B4-BE49-F238E27FC236}">
                  <a16:creationId xmlns:a16="http://schemas.microsoft.com/office/drawing/2014/main" id="{303FB381-93F8-48DC-8A75-65565CE4A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5D0762" w14:textId="225CFF69" w:rsidR="00786B29" w:rsidRDefault="00786B29" w:rsidP="00C71EB7">
      <w:pPr>
        <w:rPr>
          <w:b/>
          <w:bCs/>
          <w:lang w:val="en-AU"/>
        </w:rPr>
      </w:pPr>
      <w:r>
        <w:rPr>
          <w:b/>
          <w:bCs/>
          <w:lang w:val="en-AU"/>
        </w:rPr>
        <w:t>Figure</w:t>
      </w:r>
      <w:r w:rsidR="00E56578">
        <w:rPr>
          <w:b/>
          <w:bCs/>
          <w:lang w:val="en-AU"/>
        </w:rPr>
        <w:t xml:space="preserve"> SI.</w:t>
      </w:r>
      <w:r w:rsidR="00740255">
        <w:rPr>
          <w:b/>
          <w:bCs/>
          <w:lang w:val="en-AU"/>
        </w:rPr>
        <w:t>1d</w:t>
      </w:r>
      <w:r>
        <w:rPr>
          <w:b/>
          <w:bCs/>
          <w:lang w:val="en-AU"/>
        </w:rPr>
        <w:t xml:space="preserve"> Domestic revenue and grants as share of GDP (%)</w:t>
      </w:r>
      <w:r w:rsidR="00E56578">
        <w:rPr>
          <w:b/>
          <w:bCs/>
          <w:lang w:val="en-AU"/>
        </w:rPr>
        <w:t xml:space="preserve"> </w:t>
      </w:r>
    </w:p>
    <w:p w14:paraId="668C6C9D" w14:textId="77777777" w:rsidR="00786B29" w:rsidRDefault="00786B29" w:rsidP="00C71EB7">
      <w:pPr>
        <w:rPr>
          <w:b/>
          <w:bCs/>
          <w:lang w:val="en-AU"/>
        </w:rPr>
      </w:pPr>
    </w:p>
    <w:p w14:paraId="252CB809" w14:textId="40E46498" w:rsidR="00C71EB7" w:rsidRDefault="00ED1FCD" w:rsidP="00C71EB7">
      <w:pPr>
        <w:rPr>
          <w:b/>
          <w:bCs/>
          <w:lang w:val="en-AU"/>
        </w:rPr>
      </w:pPr>
      <w:r>
        <w:rPr>
          <w:noProof/>
        </w:rPr>
        <w:lastRenderedPageBreak/>
        <w:drawing>
          <wp:inline distT="0" distB="0" distL="0" distR="0" wp14:anchorId="14F3FFED" wp14:editId="629A1F90">
            <wp:extent cx="5731510" cy="3220085"/>
            <wp:effectExtent l="0" t="0" r="2540" b="0"/>
            <wp:docPr id="37" name="Chart 37">
              <a:extLst xmlns:a="http://schemas.openxmlformats.org/drawingml/2006/main">
                <a:ext uri="{FF2B5EF4-FFF2-40B4-BE49-F238E27FC236}">
                  <a16:creationId xmlns:a16="http://schemas.microsoft.com/office/drawing/2014/main" id="{127ACD9B-E521-4A71-B0EF-50AB1F1A0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9D044A" w14:textId="2DB10B13" w:rsidR="00C71EB7" w:rsidRDefault="00C71EB7" w:rsidP="00C71EB7">
      <w:pPr>
        <w:spacing w:after="0"/>
        <w:rPr>
          <w:b/>
          <w:bCs/>
          <w:lang w:val="en-AU"/>
        </w:rPr>
      </w:pPr>
      <w:r>
        <w:rPr>
          <w:b/>
          <w:bCs/>
          <w:lang w:val="en-AU"/>
        </w:rPr>
        <w:t>Figure</w:t>
      </w:r>
      <w:r w:rsidR="0070218C">
        <w:rPr>
          <w:b/>
          <w:bCs/>
          <w:lang w:val="en-AU"/>
        </w:rPr>
        <w:t xml:space="preserve"> SI.1e </w:t>
      </w:r>
      <w:r w:rsidR="00CB6C99">
        <w:rPr>
          <w:b/>
          <w:bCs/>
          <w:lang w:val="en-AU"/>
        </w:rPr>
        <w:t>Total d</w:t>
      </w:r>
      <w:r>
        <w:rPr>
          <w:b/>
          <w:bCs/>
          <w:lang w:val="en-AU"/>
        </w:rPr>
        <w:t>ebt to GDP ratio (%)</w:t>
      </w:r>
      <w:r w:rsidR="00AB281A">
        <w:rPr>
          <w:b/>
          <w:bCs/>
          <w:lang w:val="en-AU"/>
        </w:rPr>
        <w:t xml:space="preserve"> </w:t>
      </w:r>
    </w:p>
    <w:p w14:paraId="7C029B1C" w14:textId="77777777" w:rsidR="00273578" w:rsidRDefault="00273578" w:rsidP="00C71EB7">
      <w:pPr>
        <w:spacing w:after="0"/>
        <w:rPr>
          <w:b/>
          <w:bCs/>
          <w:lang w:val="en-AU"/>
        </w:rPr>
      </w:pPr>
    </w:p>
    <w:p w14:paraId="4B405AAB" w14:textId="46498116" w:rsidR="00C71EB7" w:rsidRDefault="00C71EB7" w:rsidP="00E92CE0">
      <w:pPr>
        <w:pBdr>
          <w:bottom w:val="single" w:sz="6" w:space="1" w:color="auto"/>
        </w:pBdr>
        <w:rPr>
          <w:b/>
          <w:lang w:val="en-AU"/>
        </w:rPr>
      </w:pPr>
    </w:p>
    <w:p w14:paraId="0CE9F38D" w14:textId="27B6100A" w:rsidR="001E46A8" w:rsidRDefault="00AA26C9" w:rsidP="00E92CE0">
      <w:pPr>
        <w:pBdr>
          <w:bottom w:val="single" w:sz="6" w:space="1" w:color="auto"/>
        </w:pBdr>
        <w:rPr>
          <w:b/>
          <w:lang w:val="en-AU"/>
        </w:rPr>
      </w:pPr>
      <w:r>
        <w:rPr>
          <w:noProof/>
        </w:rPr>
        <w:drawing>
          <wp:inline distT="0" distB="0" distL="0" distR="0" wp14:anchorId="0E92231B" wp14:editId="73C497EE">
            <wp:extent cx="5731510" cy="3223260"/>
            <wp:effectExtent l="0" t="0" r="2540" b="0"/>
            <wp:docPr id="38" name="Chart 38">
              <a:extLst xmlns:a="http://schemas.openxmlformats.org/drawingml/2006/main">
                <a:ext uri="{FF2B5EF4-FFF2-40B4-BE49-F238E27FC236}">
                  <a16:creationId xmlns:a16="http://schemas.microsoft.com/office/drawing/2014/main" id="{FA413D76-C235-429B-8878-1BA79E507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78B251" w14:textId="2FDCAA72" w:rsidR="001E46A8" w:rsidRDefault="001E46A8" w:rsidP="00E92CE0">
      <w:pPr>
        <w:pBdr>
          <w:bottom w:val="single" w:sz="6" w:space="1" w:color="auto"/>
        </w:pBdr>
        <w:rPr>
          <w:b/>
          <w:lang w:val="en-AU"/>
        </w:rPr>
      </w:pPr>
      <w:r>
        <w:rPr>
          <w:b/>
          <w:lang w:val="en-AU"/>
        </w:rPr>
        <w:t>Figure SI1.f</w:t>
      </w:r>
      <w:r w:rsidR="00CA6B73">
        <w:rPr>
          <w:b/>
          <w:lang w:val="en-AU"/>
        </w:rPr>
        <w:t xml:space="preserve"> Total population</w:t>
      </w:r>
    </w:p>
    <w:p w14:paraId="311A3F8A" w14:textId="77777777" w:rsidR="001E46A8" w:rsidRDefault="001E46A8" w:rsidP="00E92CE0">
      <w:pPr>
        <w:pBdr>
          <w:bottom w:val="single" w:sz="6" w:space="1" w:color="auto"/>
        </w:pBdr>
        <w:rPr>
          <w:b/>
          <w:lang w:val="en-AU"/>
        </w:rPr>
      </w:pPr>
    </w:p>
    <w:p w14:paraId="4E6D74B6" w14:textId="1BF21EBA" w:rsidR="00273578" w:rsidRDefault="00273578" w:rsidP="00E92CE0">
      <w:pPr>
        <w:rPr>
          <w:b/>
          <w:lang w:val="en-AU"/>
        </w:rPr>
      </w:pPr>
    </w:p>
    <w:p w14:paraId="3291870F" w14:textId="37388EC1" w:rsidR="00764102" w:rsidRDefault="00764102" w:rsidP="00E92CE0">
      <w:pPr>
        <w:rPr>
          <w:b/>
          <w:lang w:val="en-AU"/>
        </w:rPr>
      </w:pPr>
    </w:p>
    <w:p w14:paraId="0FC94780" w14:textId="77777777" w:rsidR="00764102" w:rsidRDefault="00764102" w:rsidP="00E92CE0">
      <w:pPr>
        <w:rPr>
          <w:b/>
          <w:lang w:val="en-AU"/>
        </w:rPr>
      </w:pPr>
    </w:p>
    <w:p w14:paraId="4117F3B3" w14:textId="341324F4" w:rsidR="0070218C" w:rsidRPr="00972767" w:rsidRDefault="004F5A88" w:rsidP="00E92CE0">
      <w:pPr>
        <w:rPr>
          <w:b/>
          <w:caps/>
          <w:u w:val="single"/>
          <w:lang w:val="en-AU"/>
        </w:rPr>
      </w:pPr>
      <w:r w:rsidRPr="00972767">
        <w:rPr>
          <w:b/>
          <w:caps/>
          <w:u w:val="single"/>
          <w:lang w:val="en-AU"/>
        </w:rPr>
        <w:lastRenderedPageBreak/>
        <w:t xml:space="preserve">FIGURE SI.2: </w:t>
      </w:r>
      <w:r w:rsidR="006E0002" w:rsidRPr="00972767">
        <w:rPr>
          <w:b/>
          <w:caps/>
          <w:u w:val="single"/>
          <w:lang w:val="en-AU"/>
        </w:rPr>
        <w:t>Scenario performance on key e</w:t>
      </w:r>
      <w:r w:rsidRPr="00972767">
        <w:rPr>
          <w:b/>
          <w:caps/>
          <w:u w:val="single"/>
          <w:lang w:val="en-AU"/>
        </w:rPr>
        <w:t xml:space="preserve">conomic </w:t>
      </w:r>
      <w:r w:rsidR="006E0002" w:rsidRPr="00972767">
        <w:rPr>
          <w:b/>
          <w:caps/>
          <w:u w:val="single"/>
          <w:lang w:val="en-AU"/>
        </w:rPr>
        <w:t>indicators</w:t>
      </w:r>
      <w:r w:rsidR="00DA7A0A" w:rsidRPr="00972767">
        <w:rPr>
          <w:b/>
          <w:caps/>
          <w:u w:val="single"/>
          <w:lang w:val="en-AU"/>
        </w:rPr>
        <w:t xml:space="preserve"> (2015-2030)</w:t>
      </w:r>
    </w:p>
    <w:p w14:paraId="7446A7F4" w14:textId="3AD3341F" w:rsidR="007521E1" w:rsidRDefault="007521E1" w:rsidP="00E92CE0">
      <w:pPr>
        <w:spacing w:after="0"/>
        <w:rPr>
          <w:sz w:val="16"/>
          <w:szCs w:val="16"/>
          <w:lang w:val="en-AU"/>
        </w:rPr>
      </w:pPr>
    </w:p>
    <w:p w14:paraId="53835670" w14:textId="3F8A5580" w:rsidR="00F72CBF" w:rsidRDefault="008D3275" w:rsidP="00E92CE0">
      <w:pPr>
        <w:spacing w:after="0"/>
        <w:rPr>
          <w:sz w:val="16"/>
          <w:szCs w:val="16"/>
          <w:lang w:val="en-AU"/>
        </w:rPr>
      </w:pPr>
      <w:r>
        <w:rPr>
          <w:noProof/>
        </w:rPr>
        <w:drawing>
          <wp:inline distT="0" distB="0" distL="0" distR="0" wp14:anchorId="38FEEB23" wp14:editId="6AB3B5B4">
            <wp:extent cx="5731510" cy="3286760"/>
            <wp:effectExtent l="0" t="0" r="2540" b="8890"/>
            <wp:docPr id="1" name="Chart 1">
              <a:extLst xmlns:a="http://schemas.openxmlformats.org/drawingml/2006/main">
                <a:ext uri="{FF2B5EF4-FFF2-40B4-BE49-F238E27FC236}">
                  <a16:creationId xmlns:a16="http://schemas.microsoft.com/office/drawing/2014/main" id="{451C8B35-3CF0-4D25-9015-6770E38B4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1169D5" w14:textId="3CFCD098" w:rsidR="00E358D9" w:rsidRPr="008A49E8" w:rsidRDefault="00E358D9" w:rsidP="00E92CE0">
      <w:pPr>
        <w:spacing w:after="0"/>
        <w:rPr>
          <w:b/>
          <w:bCs/>
          <w:lang w:val="en-AU"/>
        </w:rPr>
      </w:pPr>
      <w:r w:rsidRPr="008A49E8">
        <w:rPr>
          <w:b/>
          <w:bCs/>
          <w:lang w:val="en-AU"/>
        </w:rPr>
        <w:t>Figure</w:t>
      </w:r>
      <w:r w:rsidR="009A42C0">
        <w:rPr>
          <w:b/>
          <w:bCs/>
          <w:lang w:val="en-AU"/>
        </w:rPr>
        <w:t xml:space="preserve"> SI.</w:t>
      </w:r>
      <w:r w:rsidR="00F833A4">
        <w:rPr>
          <w:b/>
          <w:bCs/>
          <w:lang w:val="en-AU"/>
        </w:rPr>
        <w:t>2a</w:t>
      </w:r>
      <w:r w:rsidRPr="008A49E8">
        <w:rPr>
          <w:b/>
          <w:bCs/>
          <w:lang w:val="en-AU"/>
        </w:rPr>
        <w:t xml:space="preserve"> </w:t>
      </w:r>
      <w:r w:rsidR="00B61928" w:rsidRPr="008A49E8">
        <w:rPr>
          <w:b/>
          <w:bCs/>
          <w:lang w:val="en-AU"/>
        </w:rPr>
        <w:t>Real GDP (Billion FJD)</w:t>
      </w:r>
    </w:p>
    <w:p w14:paraId="24FFF28A" w14:textId="5CD29FC1" w:rsidR="00B61928" w:rsidRDefault="00B61928" w:rsidP="00E92CE0">
      <w:pPr>
        <w:spacing w:after="0"/>
        <w:rPr>
          <w:sz w:val="16"/>
          <w:szCs w:val="16"/>
          <w:lang w:val="en-AU"/>
        </w:rPr>
      </w:pPr>
    </w:p>
    <w:p w14:paraId="17478BCD" w14:textId="2389C447" w:rsidR="00652FE0" w:rsidRDefault="0014185B" w:rsidP="00E92CE0">
      <w:pPr>
        <w:spacing w:after="0"/>
        <w:rPr>
          <w:sz w:val="16"/>
          <w:szCs w:val="16"/>
          <w:lang w:val="en-AU"/>
        </w:rPr>
      </w:pPr>
      <w:r>
        <w:rPr>
          <w:noProof/>
        </w:rPr>
        <w:drawing>
          <wp:inline distT="0" distB="0" distL="0" distR="0" wp14:anchorId="773BADFF" wp14:editId="33605D44">
            <wp:extent cx="5731510" cy="3228340"/>
            <wp:effectExtent l="0" t="0" r="2540" b="0"/>
            <wp:docPr id="39" name="Chart 39">
              <a:extLst xmlns:a="http://schemas.openxmlformats.org/drawingml/2006/main">
                <a:ext uri="{FF2B5EF4-FFF2-40B4-BE49-F238E27FC236}">
                  <a16:creationId xmlns:a16="http://schemas.microsoft.com/office/drawing/2014/main" id="{31CC677A-859E-4F6B-AF58-9A3E1FA6C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19A18B" w14:textId="76359DCE" w:rsidR="00652FE0" w:rsidRDefault="008A49E8" w:rsidP="00E92CE0">
      <w:pPr>
        <w:spacing w:after="0"/>
        <w:rPr>
          <w:b/>
          <w:bCs/>
          <w:lang w:val="en-AU"/>
        </w:rPr>
      </w:pPr>
      <w:r>
        <w:rPr>
          <w:b/>
          <w:bCs/>
          <w:lang w:val="en-AU"/>
        </w:rPr>
        <w:t>Figure</w:t>
      </w:r>
      <w:r w:rsidR="009A42C0">
        <w:rPr>
          <w:b/>
          <w:bCs/>
          <w:lang w:val="en-AU"/>
        </w:rPr>
        <w:t xml:space="preserve"> SI.2</w:t>
      </w:r>
      <w:r w:rsidR="00F833A4">
        <w:rPr>
          <w:b/>
          <w:bCs/>
          <w:lang w:val="en-AU"/>
        </w:rPr>
        <w:t>b</w:t>
      </w:r>
      <w:r w:rsidR="00652FE0" w:rsidRPr="008A49E8">
        <w:rPr>
          <w:b/>
          <w:bCs/>
          <w:lang w:val="en-AU"/>
        </w:rPr>
        <w:t xml:space="preserve"> Real GDP per capita (FJD)</w:t>
      </w:r>
    </w:p>
    <w:p w14:paraId="221260A1" w14:textId="3611BF6E" w:rsidR="00536CF4" w:rsidRDefault="00536CF4" w:rsidP="00E92CE0">
      <w:pPr>
        <w:spacing w:after="0"/>
        <w:rPr>
          <w:b/>
          <w:bCs/>
          <w:lang w:val="en-AU"/>
        </w:rPr>
      </w:pPr>
    </w:p>
    <w:p w14:paraId="61E9A89D" w14:textId="5BF67E14" w:rsidR="00536CF4" w:rsidRDefault="00536CF4" w:rsidP="00E92CE0">
      <w:pPr>
        <w:spacing w:after="0"/>
        <w:rPr>
          <w:b/>
          <w:bCs/>
          <w:lang w:val="en-AU"/>
        </w:rPr>
      </w:pPr>
    </w:p>
    <w:p w14:paraId="1A4FA673" w14:textId="604B260C" w:rsidR="00536CF4" w:rsidRDefault="00B910F6" w:rsidP="00E92CE0">
      <w:pPr>
        <w:spacing w:after="0"/>
        <w:rPr>
          <w:b/>
          <w:bCs/>
          <w:lang w:val="en-AU"/>
        </w:rPr>
      </w:pPr>
      <w:r>
        <w:rPr>
          <w:noProof/>
        </w:rPr>
        <w:lastRenderedPageBreak/>
        <w:drawing>
          <wp:inline distT="0" distB="0" distL="0" distR="0" wp14:anchorId="3DFF8116" wp14:editId="1F7C2C1E">
            <wp:extent cx="5731510" cy="3200400"/>
            <wp:effectExtent l="0" t="0" r="2540" b="0"/>
            <wp:docPr id="40" name="Chart 40">
              <a:extLst xmlns:a="http://schemas.openxmlformats.org/drawingml/2006/main">
                <a:ext uri="{FF2B5EF4-FFF2-40B4-BE49-F238E27FC236}">
                  <a16:creationId xmlns:a16="http://schemas.microsoft.com/office/drawing/2014/main" id="{F6AF429C-B146-4EF0-873C-400F44AA6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E8F15C" w14:textId="6388B0FC" w:rsidR="00536CF4" w:rsidRDefault="00536CF4" w:rsidP="00E92CE0">
      <w:pPr>
        <w:spacing w:after="0"/>
        <w:rPr>
          <w:b/>
          <w:bCs/>
          <w:lang w:val="en-AU"/>
        </w:rPr>
      </w:pPr>
      <w:r>
        <w:rPr>
          <w:b/>
          <w:bCs/>
          <w:lang w:val="en-AU"/>
        </w:rPr>
        <w:t>Figure</w:t>
      </w:r>
      <w:r w:rsidR="009A42C0">
        <w:rPr>
          <w:b/>
          <w:bCs/>
          <w:lang w:val="en-AU"/>
        </w:rPr>
        <w:t xml:space="preserve"> SI.</w:t>
      </w:r>
      <w:r w:rsidR="00F833A4">
        <w:rPr>
          <w:b/>
          <w:bCs/>
          <w:lang w:val="en-AU"/>
        </w:rPr>
        <w:t>2c</w:t>
      </w:r>
      <w:r>
        <w:rPr>
          <w:b/>
          <w:bCs/>
          <w:lang w:val="en-AU"/>
        </w:rPr>
        <w:t xml:space="preserve"> </w:t>
      </w:r>
      <w:r w:rsidR="00B72A73">
        <w:rPr>
          <w:b/>
          <w:bCs/>
          <w:lang w:val="en-AU"/>
        </w:rPr>
        <w:t>Real p</w:t>
      </w:r>
      <w:r>
        <w:rPr>
          <w:b/>
          <w:bCs/>
          <w:lang w:val="en-AU"/>
        </w:rPr>
        <w:t>er capita disposable income</w:t>
      </w:r>
      <w:r w:rsidR="0024610D">
        <w:rPr>
          <w:b/>
          <w:bCs/>
          <w:lang w:val="en-AU"/>
        </w:rPr>
        <w:t xml:space="preserve"> (FJD)</w:t>
      </w:r>
    </w:p>
    <w:p w14:paraId="567B32B8" w14:textId="4F55AF2F" w:rsidR="009377DC" w:rsidRDefault="009377DC" w:rsidP="00E92CE0">
      <w:pPr>
        <w:spacing w:after="0"/>
        <w:rPr>
          <w:b/>
          <w:bCs/>
          <w:lang w:val="en-AU"/>
        </w:rPr>
      </w:pPr>
    </w:p>
    <w:p w14:paraId="5D495752" w14:textId="3D862FEF" w:rsidR="009377DC" w:rsidRDefault="00A24427" w:rsidP="00E92CE0">
      <w:pPr>
        <w:spacing w:after="0"/>
        <w:rPr>
          <w:b/>
          <w:bCs/>
          <w:lang w:val="en-AU"/>
        </w:rPr>
      </w:pPr>
      <w:r>
        <w:rPr>
          <w:noProof/>
        </w:rPr>
        <w:drawing>
          <wp:inline distT="0" distB="0" distL="0" distR="0" wp14:anchorId="5FE9BB44" wp14:editId="06AE94D1">
            <wp:extent cx="5725905" cy="3240000"/>
            <wp:effectExtent l="0" t="0" r="8255" b="0"/>
            <wp:docPr id="41" name="Chart 41">
              <a:extLst xmlns:a="http://schemas.openxmlformats.org/drawingml/2006/main">
                <a:ext uri="{FF2B5EF4-FFF2-40B4-BE49-F238E27FC236}">
                  <a16:creationId xmlns:a16="http://schemas.microsoft.com/office/drawing/2014/main" id="{465D8512-6210-4144-BCA1-63792D4B8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D26F6B" w14:textId="086349B5" w:rsidR="00A44822" w:rsidRDefault="009377DC" w:rsidP="00E92CE0">
      <w:pPr>
        <w:spacing w:after="0"/>
        <w:rPr>
          <w:b/>
          <w:bCs/>
          <w:lang w:val="en-AU"/>
        </w:rPr>
      </w:pPr>
      <w:r>
        <w:rPr>
          <w:b/>
          <w:bCs/>
          <w:lang w:val="en-AU"/>
        </w:rPr>
        <w:t>Figure</w:t>
      </w:r>
      <w:r w:rsidR="009A42C0">
        <w:rPr>
          <w:b/>
          <w:bCs/>
          <w:lang w:val="en-AU"/>
        </w:rPr>
        <w:t xml:space="preserve"> SI</w:t>
      </w:r>
      <w:r>
        <w:rPr>
          <w:b/>
          <w:bCs/>
          <w:lang w:val="en-AU"/>
        </w:rPr>
        <w:t>.</w:t>
      </w:r>
      <w:r w:rsidR="0040607F">
        <w:rPr>
          <w:b/>
          <w:bCs/>
          <w:lang w:val="en-AU"/>
        </w:rPr>
        <w:t>2d</w:t>
      </w:r>
      <w:r>
        <w:rPr>
          <w:b/>
          <w:bCs/>
          <w:lang w:val="en-AU"/>
        </w:rPr>
        <w:t xml:space="preserve"> Unemployment rate (%)</w:t>
      </w:r>
    </w:p>
    <w:p w14:paraId="640F6CAF" w14:textId="3EC95DCD" w:rsidR="0082331C" w:rsidRDefault="0082331C" w:rsidP="00E92CE0">
      <w:pPr>
        <w:pBdr>
          <w:bottom w:val="single" w:sz="6" w:space="1" w:color="auto"/>
        </w:pBdr>
        <w:spacing w:after="0"/>
        <w:rPr>
          <w:b/>
          <w:bCs/>
          <w:lang w:val="en-AU"/>
        </w:rPr>
      </w:pPr>
    </w:p>
    <w:p w14:paraId="441D9702" w14:textId="1196FF3A" w:rsidR="0082331C" w:rsidRDefault="0082331C" w:rsidP="00E92CE0">
      <w:pPr>
        <w:spacing w:after="0"/>
        <w:rPr>
          <w:lang w:val="en-AU"/>
        </w:rPr>
      </w:pPr>
    </w:p>
    <w:p w14:paraId="31A308E6" w14:textId="77777777" w:rsidR="00182E59" w:rsidRDefault="00182E59" w:rsidP="00DA7A0A">
      <w:pPr>
        <w:rPr>
          <w:b/>
          <w:caps/>
          <w:lang w:val="en-AU"/>
        </w:rPr>
      </w:pPr>
    </w:p>
    <w:p w14:paraId="6ECBAE3D" w14:textId="77777777" w:rsidR="00182E59" w:rsidRDefault="00182E59" w:rsidP="00DA7A0A">
      <w:pPr>
        <w:rPr>
          <w:b/>
          <w:caps/>
          <w:lang w:val="en-AU"/>
        </w:rPr>
      </w:pPr>
    </w:p>
    <w:p w14:paraId="27CCF6C2" w14:textId="77777777" w:rsidR="003016EB" w:rsidRDefault="003016EB" w:rsidP="00DA7A0A">
      <w:pPr>
        <w:rPr>
          <w:b/>
          <w:caps/>
          <w:u w:val="single"/>
          <w:lang w:val="en-AU"/>
        </w:rPr>
      </w:pPr>
    </w:p>
    <w:p w14:paraId="4CA4E595" w14:textId="77777777" w:rsidR="003016EB" w:rsidRDefault="003016EB" w:rsidP="00DA7A0A">
      <w:pPr>
        <w:rPr>
          <w:b/>
          <w:caps/>
          <w:u w:val="single"/>
          <w:lang w:val="en-AU"/>
        </w:rPr>
      </w:pPr>
    </w:p>
    <w:p w14:paraId="7552A036" w14:textId="77777777" w:rsidR="003016EB" w:rsidRDefault="003016EB" w:rsidP="00DA7A0A">
      <w:pPr>
        <w:rPr>
          <w:b/>
          <w:caps/>
          <w:u w:val="single"/>
          <w:lang w:val="en-AU"/>
        </w:rPr>
      </w:pPr>
    </w:p>
    <w:p w14:paraId="1128F872" w14:textId="6D085FDD" w:rsidR="00DA7A0A" w:rsidRPr="00176213" w:rsidRDefault="00DA7A0A" w:rsidP="00DA7A0A">
      <w:pPr>
        <w:rPr>
          <w:b/>
          <w:caps/>
          <w:u w:val="single"/>
          <w:lang w:val="en-AU"/>
        </w:rPr>
      </w:pPr>
      <w:r w:rsidRPr="00176213">
        <w:rPr>
          <w:b/>
          <w:caps/>
          <w:u w:val="single"/>
          <w:lang w:val="en-AU"/>
        </w:rPr>
        <w:lastRenderedPageBreak/>
        <w:t>FIGURE SI.3: Scenario performance on key social indicators (2015-2030)</w:t>
      </w:r>
    </w:p>
    <w:p w14:paraId="40A4D24B" w14:textId="2B6CC987" w:rsidR="00DC6031" w:rsidRDefault="00DC6031" w:rsidP="00E92CE0">
      <w:pPr>
        <w:spacing w:after="0"/>
        <w:rPr>
          <w:b/>
          <w:bCs/>
          <w:lang w:val="en-AU"/>
        </w:rPr>
      </w:pPr>
    </w:p>
    <w:p w14:paraId="077C19BC" w14:textId="381FF55F" w:rsidR="00DC6031" w:rsidRDefault="00AA626A" w:rsidP="00E92CE0">
      <w:pPr>
        <w:spacing w:after="0"/>
        <w:rPr>
          <w:b/>
          <w:bCs/>
          <w:lang w:val="en-AU"/>
        </w:rPr>
      </w:pPr>
      <w:r>
        <w:rPr>
          <w:noProof/>
        </w:rPr>
        <w:drawing>
          <wp:inline distT="0" distB="0" distL="0" distR="0" wp14:anchorId="3D150D9C" wp14:editId="22602C29">
            <wp:extent cx="5731510" cy="3721735"/>
            <wp:effectExtent l="0" t="0" r="2540" b="0"/>
            <wp:docPr id="42" name="Chart 42">
              <a:extLst xmlns:a="http://schemas.openxmlformats.org/drawingml/2006/main">
                <a:ext uri="{FF2B5EF4-FFF2-40B4-BE49-F238E27FC236}">
                  <a16:creationId xmlns:a16="http://schemas.microsoft.com/office/drawing/2014/main" id="{BD5DB8B7-E22C-46C3-977F-5FF67DF66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0C61E9" w14:textId="7013E05A" w:rsidR="00DC6031" w:rsidRDefault="00DC6031" w:rsidP="00E92CE0">
      <w:pPr>
        <w:spacing w:after="0"/>
        <w:rPr>
          <w:b/>
          <w:bCs/>
          <w:lang w:val="en-AU"/>
        </w:rPr>
      </w:pPr>
      <w:r>
        <w:rPr>
          <w:b/>
          <w:bCs/>
          <w:lang w:val="en-AU"/>
        </w:rPr>
        <w:t>Figure</w:t>
      </w:r>
      <w:r w:rsidR="00C23118">
        <w:rPr>
          <w:b/>
          <w:bCs/>
          <w:lang w:val="en-AU"/>
        </w:rPr>
        <w:t xml:space="preserve"> SI.</w:t>
      </w:r>
      <w:r w:rsidR="00DA7A0A">
        <w:rPr>
          <w:b/>
          <w:bCs/>
          <w:lang w:val="en-AU"/>
        </w:rPr>
        <w:t>3a</w:t>
      </w:r>
      <w:r>
        <w:rPr>
          <w:b/>
          <w:bCs/>
          <w:lang w:val="en-AU"/>
        </w:rPr>
        <w:t xml:space="preserve"> Proportion of population below national poverty line (%)</w:t>
      </w:r>
    </w:p>
    <w:p w14:paraId="3AB54FB4" w14:textId="0751D352" w:rsidR="008A49E8" w:rsidRDefault="008A49E8" w:rsidP="00E92CE0">
      <w:pPr>
        <w:spacing w:after="0"/>
        <w:rPr>
          <w:b/>
          <w:bCs/>
          <w:lang w:val="en-AU"/>
        </w:rPr>
      </w:pPr>
    </w:p>
    <w:p w14:paraId="47EC0754" w14:textId="44E1F6DC" w:rsidR="008A49E8" w:rsidRDefault="008A49E8" w:rsidP="00E92CE0">
      <w:pPr>
        <w:spacing w:after="0"/>
        <w:rPr>
          <w:b/>
          <w:bCs/>
          <w:lang w:val="en-AU"/>
        </w:rPr>
      </w:pPr>
    </w:p>
    <w:p w14:paraId="2BC82B7E" w14:textId="33C4DA96" w:rsidR="008A49E8" w:rsidRDefault="006942FC" w:rsidP="00E92CE0">
      <w:pPr>
        <w:spacing w:after="0"/>
        <w:rPr>
          <w:b/>
          <w:bCs/>
          <w:lang w:val="en-AU"/>
        </w:rPr>
      </w:pPr>
      <w:r>
        <w:rPr>
          <w:noProof/>
        </w:rPr>
        <w:drawing>
          <wp:inline distT="0" distB="0" distL="0" distR="0" wp14:anchorId="22027FAA" wp14:editId="182E3197">
            <wp:extent cx="5731510" cy="3228340"/>
            <wp:effectExtent l="0" t="0" r="2540" b="0"/>
            <wp:docPr id="43" name="Chart 43">
              <a:extLst xmlns:a="http://schemas.openxmlformats.org/drawingml/2006/main">
                <a:ext uri="{FF2B5EF4-FFF2-40B4-BE49-F238E27FC236}">
                  <a16:creationId xmlns:a16="http://schemas.microsoft.com/office/drawing/2014/main" id="{E73991CB-7982-4314-B512-FA455BA2A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820376" w14:textId="38AF3481" w:rsidR="00DC6031" w:rsidRDefault="00DC6031" w:rsidP="00DC6031">
      <w:pPr>
        <w:spacing w:after="0"/>
        <w:rPr>
          <w:b/>
          <w:bCs/>
          <w:lang w:val="en-AU"/>
        </w:rPr>
      </w:pPr>
      <w:r>
        <w:rPr>
          <w:b/>
          <w:bCs/>
          <w:lang w:val="en-AU"/>
        </w:rPr>
        <w:t>Figure</w:t>
      </w:r>
      <w:r w:rsidR="00DA7A0A">
        <w:rPr>
          <w:b/>
          <w:bCs/>
          <w:lang w:val="en-AU"/>
        </w:rPr>
        <w:t xml:space="preserve"> SI.3b </w:t>
      </w:r>
      <w:r w:rsidR="002E4504">
        <w:rPr>
          <w:b/>
          <w:bCs/>
          <w:lang w:val="en-AU"/>
        </w:rPr>
        <w:t>Gini coefficient</w:t>
      </w:r>
    </w:p>
    <w:p w14:paraId="18E2F3E1" w14:textId="55B2C6F8" w:rsidR="00867396" w:rsidRDefault="00867396" w:rsidP="00DC6031">
      <w:pPr>
        <w:spacing w:after="0"/>
        <w:rPr>
          <w:b/>
          <w:bCs/>
          <w:lang w:val="en-AU"/>
        </w:rPr>
      </w:pPr>
    </w:p>
    <w:p w14:paraId="4687F5D4" w14:textId="36704276" w:rsidR="00867396" w:rsidRDefault="00867396" w:rsidP="00DC6031">
      <w:pPr>
        <w:spacing w:after="0"/>
        <w:rPr>
          <w:b/>
          <w:bCs/>
          <w:lang w:val="en-AU"/>
        </w:rPr>
      </w:pPr>
    </w:p>
    <w:p w14:paraId="0BB26A22" w14:textId="63A8C28D" w:rsidR="00867396" w:rsidRDefault="00ED6C1C" w:rsidP="00DC6031">
      <w:pPr>
        <w:spacing w:after="0"/>
        <w:rPr>
          <w:b/>
          <w:bCs/>
          <w:lang w:val="en-AU"/>
        </w:rPr>
      </w:pPr>
      <w:r>
        <w:rPr>
          <w:noProof/>
        </w:rPr>
        <w:lastRenderedPageBreak/>
        <w:drawing>
          <wp:inline distT="0" distB="0" distL="0" distR="0" wp14:anchorId="5C3C8E63" wp14:editId="5F900AE2">
            <wp:extent cx="5731510" cy="3223260"/>
            <wp:effectExtent l="0" t="0" r="2540" b="0"/>
            <wp:docPr id="44" name="Chart 44">
              <a:extLst xmlns:a="http://schemas.openxmlformats.org/drawingml/2006/main">
                <a:ext uri="{FF2B5EF4-FFF2-40B4-BE49-F238E27FC236}">
                  <a16:creationId xmlns:a16="http://schemas.microsoft.com/office/drawing/2014/main" id="{4B04C268-F508-4A30-80C8-27CCA5D0A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CD76D8" w14:textId="723D6742" w:rsidR="00867396" w:rsidRDefault="00867396" w:rsidP="00DC6031">
      <w:pPr>
        <w:spacing w:after="0"/>
        <w:rPr>
          <w:b/>
          <w:bCs/>
          <w:lang w:val="en-AU"/>
        </w:rPr>
      </w:pPr>
      <w:r>
        <w:rPr>
          <w:b/>
          <w:bCs/>
          <w:lang w:val="en-AU"/>
        </w:rPr>
        <w:t>Figure</w:t>
      </w:r>
      <w:r w:rsidR="00DA7A0A">
        <w:rPr>
          <w:b/>
          <w:bCs/>
          <w:lang w:val="en-AU"/>
        </w:rPr>
        <w:t xml:space="preserve"> SI.3</w:t>
      </w:r>
      <w:r w:rsidR="000313C6">
        <w:rPr>
          <w:b/>
          <w:bCs/>
          <w:lang w:val="en-AU"/>
        </w:rPr>
        <w:t>c</w:t>
      </w:r>
      <w:r>
        <w:rPr>
          <w:b/>
          <w:bCs/>
          <w:lang w:val="en-AU"/>
        </w:rPr>
        <w:t xml:space="preserve"> Average years of schooling</w:t>
      </w:r>
    </w:p>
    <w:p w14:paraId="3346A014" w14:textId="1D3B2258" w:rsidR="00BD66AF" w:rsidRDefault="00BD66AF" w:rsidP="00DC6031">
      <w:pPr>
        <w:spacing w:after="0"/>
        <w:rPr>
          <w:b/>
          <w:bCs/>
          <w:lang w:val="en-AU"/>
        </w:rPr>
      </w:pPr>
    </w:p>
    <w:p w14:paraId="73588D99" w14:textId="4FB10B24" w:rsidR="006E3310" w:rsidRDefault="00C0256D">
      <w:pPr>
        <w:rPr>
          <w:b/>
          <w:bCs/>
          <w:lang w:val="en-AU"/>
        </w:rPr>
      </w:pPr>
      <w:r>
        <w:rPr>
          <w:noProof/>
        </w:rPr>
        <w:drawing>
          <wp:inline distT="0" distB="0" distL="0" distR="0" wp14:anchorId="560545C9" wp14:editId="3F3ED46A">
            <wp:extent cx="5731510" cy="3208020"/>
            <wp:effectExtent l="0" t="0" r="2540" b="0"/>
            <wp:docPr id="45" name="Chart 45">
              <a:extLst xmlns:a="http://schemas.openxmlformats.org/drawingml/2006/main">
                <a:ext uri="{FF2B5EF4-FFF2-40B4-BE49-F238E27FC236}">
                  <a16:creationId xmlns:a16="http://schemas.microsoft.com/office/drawing/2014/main" id="{3F17A5BA-B51F-45AD-8CE8-38462231E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CD441D" w14:textId="11E51AC4" w:rsidR="00DA7A0A" w:rsidRDefault="001D4ABA" w:rsidP="00DA7A0A">
      <w:pPr>
        <w:pBdr>
          <w:bottom w:val="single" w:sz="6" w:space="1" w:color="auto"/>
        </w:pBdr>
        <w:spacing w:after="0"/>
        <w:rPr>
          <w:b/>
          <w:bCs/>
          <w:lang w:val="en-AU"/>
        </w:rPr>
      </w:pPr>
      <w:r>
        <w:rPr>
          <w:b/>
          <w:bCs/>
          <w:lang w:val="en-AU"/>
        </w:rPr>
        <w:t>Figure SI.3d Average life expectancy (years)</w:t>
      </w:r>
    </w:p>
    <w:p w14:paraId="36872C31" w14:textId="77777777" w:rsidR="001D4ABA" w:rsidRDefault="001D4ABA" w:rsidP="00DA7A0A">
      <w:pPr>
        <w:pBdr>
          <w:bottom w:val="single" w:sz="6" w:space="1" w:color="auto"/>
        </w:pBdr>
        <w:spacing w:after="0"/>
        <w:rPr>
          <w:b/>
          <w:bCs/>
          <w:lang w:val="en-AU"/>
        </w:rPr>
      </w:pPr>
    </w:p>
    <w:p w14:paraId="1971F392" w14:textId="77777777" w:rsidR="00DA7A0A" w:rsidRDefault="00DA7A0A" w:rsidP="00DA7A0A">
      <w:pPr>
        <w:spacing w:after="0"/>
        <w:rPr>
          <w:lang w:val="en-AU"/>
        </w:rPr>
      </w:pPr>
    </w:p>
    <w:p w14:paraId="119B6E9C" w14:textId="77777777" w:rsidR="006E4EC8" w:rsidRDefault="006E4EC8" w:rsidP="00DA7A0A">
      <w:pPr>
        <w:rPr>
          <w:b/>
          <w:caps/>
          <w:lang w:val="en-AU"/>
        </w:rPr>
      </w:pPr>
    </w:p>
    <w:p w14:paraId="70ED7AD7" w14:textId="6CF0F656" w:rsidR="006E4EC8" w:rsidRDefault="006E4EC8" w:rsidP="00DA7A0A">
      <w:pPr>
        <w:rPr>
          <w:b/>
          <w:caps/>
          <w:lang w:val="en-AU"/>
        </w:rPr>
      </w:pPr>
    </w:p>
    <w:p w14:paraId="732742F1" w14:textId="3A4820A5" w:rsidR="00C0256D" w:rsidRDefault="00C0256D" w:rsidP="00DA7A0A">
      <w:pPr>
        <w:rPr>
          <w:b/>
          <w:caps/>
          <w:lang w:val="en-AU"/>
        </w:rPr>
      </w:pPr>
    </w:p>
    <w:p w14:paraId="7C19283D" w14:textId="6C29A53E" w:rsidR="00C0256D" w:rsidRDefault="00C0256D" w:rsidP="00DA7A0A">
      <w:pPr>
        <w:rPr>
          <w:b/>
          <w:caps/>
          <w:lang w:val="en-AU"/>
        </w:rPr>
      </w:pPr>
    </w:p>
    <w:p w14:paraId="14B529BF" w14:textId="77777777" w:rsidR="00C0256D" w:rsidRDefault="00C0256D" w:rsidP="00DA7A0A">
      <w:pPr>
        <w:rPr>
          <w:b/>
          <w:caps/>
          <w:lang w:val="en-AU"/>
        </w:rPr>
      </w:pPr>
    </w:p>
    <w:p w14:paraId="4399D585" w14:textId="5C52D620" w:rsidR="00DA7A0A" w:rsidRPr="00176213" w:rsidRDefault="00DA7A0A" w:rsidP="00DA7A0A">
      <w:pPr>
        <w:rPr>
          <w:b/>
          <w:caps/>
          <w:u w:val="single"/>
          <w:lang w:val="en-AU"/>
        </w:rPr>
      </w:pPr>
      <w:r w:rsidRPr="00176213">
        <w:rPr>
          <w:b/>
          <w:caps/>
          <w:u w:val="single"/>
          <w:lang w:val="en-AU"/>
        </w:rPr>
        <w:lastRenderedPageBreak/>
        <w:t>FIGURE SI.</w:t>
      </w:r>
      <w:r w:rsidR="00207BD5" w:rsidRPr="00176213">
        <w:rPr>
          <w:b/>
          <w:caps/>
          <w:u w:val="single"/>
          <w:lang w:val="en-AU"/>
        </w:rPr>
        <w:t>4</w:t>
      </w:r>
      <w:r w:rsidRPr="00176213">
        <w:rPr>
          <w:b/>
          <w:caps/>
          <w:u w:val="single"/>
          <w:lang w:val="en-AU"/>
        </w:rPr>
        <w:t>: Scenario performance on key Environmental indicators (2015-2030)</w:t>
      </w:r>
    </w:p>
    <w:p w14:paraId="433EC203" w14:textId="77777777" w:rsidR="00DA7A0A" w:rsidRDefault="00DA7A0A" w:rsidP="00DC6031">
      <w:pPr>
        <w:spacing w:after="0"/>
        <w:rPr>
          <w:b/>
          <w:bCs/>
          <w:lang w:val="en-AU"/>
        </w:rPr>
      </w:pPr>
    </w:p>
    <w:p w14:paraId="0D8E75A9" w14:textId="5A5AA7AF" w:rsidR="00BD66AF" w:rsidRDefault="000C2382" w:rsidP="00DC6031">
      <w:pPr>
        <w:spacing w:after="0"/>
        <w:rPr>
          <w:b/>
          <w:bCs/>
          <w:lang w:val="en-AU"/>
        </w:rPr>
      </w:pPr>
      <w:r>
        <w:rPr>
          <w:noProof/>
        </w:rPr>
        <w:drawing>
          <wp:inline distT="0" distB="0" distL="0" distR="0" wp14:anchorId="62DFB8AE" wp14:editId="4E3F20F5">
            <wp:extent cx="5686425" cy="3581400"/>
            <wp:effectExtent l="0" t="0" r="0" b="0"/>
            <wp:docPr id="12" name="Chart 12">
              <a:extLst xmlns:a="http://schemas.openxmlformats.org/drawingml/2006/main">
                <a:ext uri="{FF2B5EF4-FFF2-40B4-BE49-F238E27FC236}">
                  <a16:creationId xmlns:a16="http://schemas.microsoft.com/office/drawing/2014/main" id="{542744EB-E78D-4EC3-B317-1318558E8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FB9352" w14:textId="351115C9" w:rsidR="00FB6277" w:rsidRDefault="00FB6277" w:rsidP="00DC6031">
      <w:pPr>
        <w:spacing w:after="0"/>
        <w:rPr>
          <w:b/>
          <w:bCs/>
          <w:lang w:val="en-AU"/>
        </w:rPr>
      </w:pPr>
      <w:r>
        <w:rPr>
          <w:b/>
          <w:bCs/>
          <w:lang w:val="en-AU"/>
        </w:rPr>
        <w:t>Figure</w:t>
      </w:r>
      <w:r w:rsidR="009077D4">
        <w:rPr>
          <w:b/>
          <w:bCs/>
          <w:lang w:val="en-AU"/>
        </w:rPr>
        <w:t xml:space="preserve"> </w:t>
      </w:r>
      <w:r w:rsidR="00C46A09">
        <w:rPr>
          <w:b/>
          <w:bCs/>
          <w:lang w:val="en-AU"/>
        </w:rPr>
        <w:t>SI</w:t>
      </w:r>
      <w:r w:rsidR="009077D4">
        <w:rPr>
          <w:b/>
          <w:bCs/>
          <w:lang w:val="en-AU"/>
        </w:rPr>
        <w:t>.</w:t>
      </w:r>
      <w:r w:rsidR="00C46A09">
        <w:rPr>
          <w:b/>
          <w:bCs/>
          <w:lang w:val="en-AU"/>
        </w:rPr>
        <w:t>4a</w:t>
      </w:r>
      <w:r>
        <w:rPr>
          <w:b/>
          <w:bCs/>
          <w:lang w:val="en-AU"/>
        </w:rPr>
        <w:t xml:space="preserve"> CO</w:t>
      </w:r>
      <w:r w:rsidRPr="006E4EC8">
        <w:rPr>
          <w:b/>
          <w:bCs/>
          <w:vertAlign w:val="subscript"/>
          <w:lang w:val="en-AU"/>
        </w:rPr>
        <w:t>2</w:t>
      </w:r>
      <w:r>
        <w:rPr>
          <w:b/>
          <w:bCs/>
          <w:lang w:val="en-AU"/>
        </w:rPr>
        <w:t xml:space="preserve"> emissions (Mt CO2-e)</w:t>
      </w:r>
    </w:p>
    <w:p w14:paraId="5E3D6129" w14:textId="73C53B35" w:rsidR="00FB6277" w:rsidRDefault="00FB6277" w:rsidP="00DC6031">
      <w:pPr>
        <w:spacing w:after="0"/>
        <w:rPr>
          <w:b/>
          <w:bCs/>
          <w:lang w:val="en-AU"/>
        </w:rPr>
      </w:pPr>
    </w:p>
    <w:p w14:paraId="707D4DDF" w14:textId="77777777" w:rsidR="00FB6277" w:rsidRDefault="00FB6277" w:rsidP="00DC6031">
      <w:pPr>
        <w:spacing w:after="0"/>
        <w:rPr>
          <w:b/>
          <w:bCs/>
          <w:lang w:val="en-AU"/>
        </w:rPr>
      </w:pPr>
    </w:p>
    <w:p w14:paraId="3A4DF9FA" w14:textId="3080DC47" w:rsidR="00BD66AF" w:rsidRDefault="003F603B" w:rsidP="00DC6031">
      <w:pPr>
        <w:spacing w:after="0"/>
        <w:rPr>
          <w:b/>
          <w:bCs/>
          <w:lang w:val="en-AU"/>
        </w:rPr>
      </w:pPr>
      <w:r>
        <w:rPr>
          <w:noProof/>
        </w:rPr>
        <w:drawing>
          <wp:inline distT="0" distB="0" distL="0" distR="0" wp14:anchorId="5A8F5134" wp14:editId="466546B6">
            <wp:extent cx="5731510" cy="3220720"/>
            <wp:effectExtent l="0" t="0" r="2540" b="0"/>
            <wp:docPr id="47" name="Chart 47">
              <a:extLst xmlns:a="http://schemas.openxmlformats.org/drawingml/2006/main">
                <a:ext uri="{FF2B5EF4-FFF2-40B4-BE49-F238E27FC236}">
                  <a16:creationId xmlns:a16="http://schemas.microsoft.com/office/drawing/2014/main" id="{0F503670-22FD-4D2D-A3FB-3AF0EF923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105074" w14:textId="75DEA190" w:rsidR="00BD66AF" w:rsidRDefault="00DC5527" w:rsidP="00DC6031">
      <w:pPr>
        <w:spacing w:after="0"/>
        <w:rPr>
          <w:b/>
          <w:bCs/>
          <w:lang w:val="en-AU"/>
        </w:rPr>
      </w:pPr>
      <w:r>
        <w:rPr>
          <w:b/>
          <w:bCs/>
          <w:lang w:val="en-AU"/>
        </w:rPr>
        <w:t>Figure</w:t>
      </w:r>
      <w:r w:rsidR="009077D4">
        <w:rPr>
          <w:b/>
          <w:bCs/>
          <w:lang w:val="en-AU"/>
        </w:rPr>
        <w:t xml:space="preserve"> SI.4b</w:t>
      </w:r>
      <w:r>
        <w:rPr>
          <w:b/>
          <w:bCs/>
          <w:lang w:val="en-AU"/>
        </w:rPr>
        <w:t xml:space="preserve"> Greenhouse gas emissions including land use change (Mt CO2-e)</w:t>
      </w:r>
      <w:r w:rsidR="003267D0">
        <w:rPr>
          <w:b/>
          <w:bCs/>
          <w:lang w:val="en-AU"/>
        </w:rPr>
        <w:br/>
      </w:r>
    </w:p>
    <w:p w14:paraId="0FBC24B7" w14:textId="07775BF8" w:rsidR="003267D0" w:rsidRDefault="00517FD6" w:rsidP="00DC6031">
      <w:pPr>
        <w:spacing w:after="0"/>
        <w:rPr>
          <w:b/>
          <w:bCs/>
          <w:lang w:val="en-AU"/>
        </w:rPr>
      </w:pPr>
      <w:r>
        <w:rPr>
          <w:noProof/>
        </w:rPr>
        <w:lastRenderedPageBreak/>
        <w:drawing>
          <wp:inline distT="0" distB="0" distL="0" distR="0" wp14:anchorId="090FEBAD" wp14:editId="2AEACAAB">
            <wp:extent cx="5731510" cy="3245485"/>
            <wp:effectExtent l="0" t="0" r="2540" b="0"/>
            <wp:docPr id="48" name="Chart 48">
              <a:extLst xmlns:a="http://schemas.openxmlformats.org/drawingml/2006/main">
                <a:ext uri="{FF2B5EF4-FFF2-40B4-BE49-F238E27FC236}">
                  <a16:creationId xmlns:a16="http://schemas.microsoft.com/office/drawing/2014/main" id="{C9BAA79A-C04C-44E2-B561-8FBC191A1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77AC4D" w14:textId="6F1261FD" w:rsidR="00DC6031" w:rsidRDefault="003267D0" w:rsidP="00E92CE0">
      <w:pPr>
        <w:spacing w:after="0"/>
        <w:rPr>
          <w:b/>
          <w:bCs/>
          <w:lang w:val="en-AU"/>
        </w:rPr>
      </w:pPr>
      <w:r>
        <w:rPr>
          <w:b/>
          <w:bCs/>
          <w:lang w:val="en-AU"/>
        </w:rPr>
        <w:t>Figure</w:t>
      </w:r>
      <w:r w:rsidR="009077D4">
        <w:rPr>
          <w:b/>
          <w:bCs/>
          <w:lang w:val="en-AU"/>
        </w:rPr>
        <w:t xml:space="preserve"> SI.4c</w:t>
      </w:r>
      <w:r>
        <w:rPr>
          <w:b/>
          <w:bCs/>
          <w:lang w:val="en-AU"/>
        </w:rPr>
        <w:t xml:space="preserve"> Proportion of electricity from renewable energy (%)</w:t>
      </w:r>
    </w:p>
    <w:p w14:paraId="4E32E167" w14:textId="14FC4B72" w:rsidR="00E76F12" w:rsidRDefault="00E76F12" w:rsidP="00E92CE0">
      <w:pPr>
        <w:spacing w:after="0"/>
        <w:rPr>
          <w:b/>
          <w:bCs/>
          <w:lang w:val="en-AU"/>
        </w:rPr>
      </w:pPr>
    </w:p>
    <w:p w14:paraId="2DE71D78" w14:textId="77777777" w:rsidR="0085581C" w:rsidRDefault="0085581C" w:rsidP="00E92CE0">
      <w:pPr>
        <w:spacing w:after="0"/>
        <w:rPr>
          <w:b/>
          <w:bCs/>
          <w:lang w:val="en-AU"/>
        </w:rPr>
      </w:pPr>
    </w:p>
    <w:p w14:paraId="20F7868B" w14:textId="423DD1CB" w:rsidR="00E76F12" w:rsidRDefault="00B35CE9" w:rsidP="00E92CE0">
      <w:pPr>
        <w:spacing w:after="0"/>
        <w:rPr>
          <w:b/>
          <w:bCs/>
          <w:lang w:val="en-AU"/>
        </w:rPr>
      </w:pPr>
      <w:r>
        <w:rPr>
          <w:noProof/>
        </w:rPr>
        <w:drawing>
          <wp:inline distT="0" distB="0" distL="0" distR="0" wp14:anchorId="58A623C0" wp14:editId="7E558A96">
            <wp:extent cx="5731510" cy="3220720"/>
            <wp:effectExtent l="0" t="0" r="2540" b="0"/>
            <wp:docPr id="49" name="Chart 49">
              <a:extLst xmlns:a="http://schemas.openxmlformats.org/drawingml/2006/main">
                <a:ext uri="{FF2B5EF4-FFF2-40B4-BE49-F238E27FC236}">
                  <a16:creationId xmlns:a16="http://schemas.microsoft.com/office/drawing/2014/main" id="{98CDD524-6796-4848-8281-4E827BC82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962D47" w14:textId="07680DC2" w:rsidR="00E76F12" w:rsidRDefault="00E76F12" w:rsidP="00E92CE0">
      <w:pPr>
        <w:spacing w:after="0"/>
        <w:rPr>
          <w:b/>
          <w:bCs/>
          <w:lang w:val="en-AU"/>
        </w:rPr>
      </w:pPr>
      <w:r>
        <w:rPr>
          <w:b/>
          <w:bCs/>
          <w:lang w:val="en-AU"/>
        </w:rPr>
        <w:t>Figure</w:t>
      </w:r>
      <w:r w:rsidR="009077D4">
        <w:rPr>
          <w:b/>
          <w:bCs/>
          <w:lang w:val="en-AU"/>
        </w:rPr>
        <w:t xml:space="preserve"> SI.4d</w:t>
      </w:r>
      <w:r>
        <w:rPr>
          <w:b/>
          <w:bCs/>
          <w:lang w:val="en-AU"/>
        </w:rPr>
        <w:t xml:space="preserve"> </w:t>
      </w:r>
      <w:r w:rsidR="002F60BE">
        <w:rPr>
          <w:b/>
          <w:bCs/>
          <w:lang w:val="en-AU"/>
        </w:rPr>
        <w:t>Renewable share in total final energy consumption (%)</w:t>
      </w:r>
    </w:p>
    <w:p w14:paraId="5A77E662" w14:textId="44CE2E38" w:rsidR="00FA276B" w:rsidRDefault="00FA276B" w:rsidP="00E92CE0">
      <w:pPr>
        <w:spacing w:after="0"/>
        <w:rPr>
          <w:b/>
          <w:bCs/>
          <w:lang w:val="en-AU"/>
        </w:rPr>
      </w:pPr>
    </w:p>
    <w:p w14:paraId="34CFF469" w14:textId="7EB46F2C" w:rsidR="00FA276B" w:rsidRDefault="002654AD" w:rsidP="00E92CE0">
      <w:pPr>
        <w:spacing w:after="0"/>
        <w:rPr>
          <w:b/>
          <w:bCs/>
          <w:lang w:val="en-AU"/>
        </w:rPr>
      </w:pPr>
      <w:r>
        <w:rPr>
          <w:noProof/>
        </w:rPr>
        <w:lastRenderedPageBreak/>
        <w:drawing>
          <wp:inline distT="0" distB="0" distL="0" distR="0" wp14:anchorId="6B19D741" wp14:editId="0BD97120">
            <wp:extent cx="5731510" cy="3228340"/>
            <wp:effectExtent l="0" t="0" r="2540" b="0"/>
            <wp:docPr id="50" name="Chart 50">
              <a:extLst xmlns:a="http://schemas.openxmlformats.org/drawingml/2006/main">
                <a:ext uri="{FF2B5EF4-FFF2-40B4-BE49-F238E27FC236}">
                  <a16:creationId xmlns:a16="http://schemas.microsoft.com/office/drawing/2014/main" id="{4CE24F75-DE59-4F2D-86DE-02DDA2E58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463673" w14:textId="0DFDCF0B" w:rsidR="00FA276B" w:rsidRDefault="00FA276B" w:rsidP="00E92CE0">
      <w:pPr>
        <w:spacing w:after="0"/>
        <w:rPr>
          <w:b/>
          <w:bCs/>
          <w:lang w:val="en-AU"/>
        </w:rPr>
      </w:pPr>
      <w:r>
        <w:rPr>
          <w:b/>
          <w:bCs/>
          <w:lang w:val="en-AU"/>
        </w:rPr>
        <w:t>Figure</w:t>
      </w:r>
      <w:r w:rsidR="009077D4">
        <w:rPr>
          <w:b/>
          <w:bCs/>
          <w:lang w:val="en-AU"/>
        </w:rPr>
        <w:t xml:space="preserve"> SI.4e </w:t>
      </w:r>
      <w:r>
        <w:rPr>
          <w:b/>
          <w:bCs/>
          <w:lang w:val="en-AU"/>
        </w:rPr>
        <w:t>Forest cover (%)</w:t>
      </w:r>
    </w:p>
    <w:p w14:paraId="7085337C" w14:textId="6E90191A" w:rsidR="00C875EB" w:rsidRDefault="00C875EB" w:rsidP="00E92CE0">
      <w:pPr>
        <w:spacing w:after="0"/>
        <w:rPr>
          <w:b/>
          <w:bCs/>
          <w:lang w:val="en-AU"/>
        </w:rPr>
      </w:pPr>
    </w:p>
    <w:p w14:paraId="291FDB08" w14:textId="0DA51F96" w:rsidR="00C875EB" w:rsidRDefault="000762B3" w:rsidP="00E92CE0">
      <w:pPr>
        <w:spacing w:after="0"/>
        <w:rPr>
          <w:b/>
          <w:bCs/>
          <w:lang w:val="en-AU"/>
        </w:rPr>
      </w:pPr>
      <w:r>
        <w:rPr>
          <w:noProof/>
        </w:rPr>
        <w:drawing>
          <wp:inline distT="0" distB="0" distL="0" distR="0" wp14:anchorId="12B98188" wp14:editId="180EDBC4">
            <wp:extent cx="5731510" cy="3390900"/>
            <wp:effectExtent l="0" t="0" r="2540" b="0"/>
            <wp:docPr id="51" name="Chart 51">
              <a:extLst xmlns:a="http://schemas.openxmlformats.org/drawingml/2006/main">
                <a:ext uri="{FF2B5EF4-FFF2-40B4-BE49-F238E27FC236}">
                  <a16:creationId xmlns:a16="http://schemas.microsoft.com/office/drawing/2014/main" id="{2149A4AA-FA49-423E-87E5-7038833C1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C73939" w14:textId="44629840" w:rsidR="00C875EB" w:rsidRDefault="00C875EB" w:rsidP="00E92CE0">
      <w:pPr>
        <w:spacing w:after="0"/>
        <w:rPr>
          <w:b/>
          <w:bCs/>
          <w:lang w:val="en-AU"/>
        </w:rPr>
      </w:pPr>
      <w:r>
        <w:rPr>
          <w:b/>
          <w:bCs/>
          <w:lang w:val="en-AU"/>
        </w:rPr>
        <w:t>Figure</w:t>
      </w:r>
      <w:r w:rsidR="009077D4">
        <w:rPr>
          <w:b/>
          <w:bCs/>
          <w:lang w:val="en-AU"/>
        </w:rPr>
        <w:t xml:space="preserve"> SI.4f </w:t>
      </w:r>
      <w:r>
        <w:rPr>
          <w:b/>
          <w:bCs/>
          <w:lang w:val="en-AU"/>
        </w:rPr>
        <w:t>Proportion of territorial waters protected (%)</w:t>
      </w:r>
    </w:p>
    <w:p w14:paraId="01CA892A" w14:textId="51FCC12F" w:rsidR="00EA3B37" w:rsidRDefault="00EA3B37" w:rsidP="00E92CE0">
      <w:pPr>
        <w:pBdr>
          <w:bottom w:val="single" w:sz="12" w:space="1" w:color="auto"/>
        </w:pBdr>
        <w:spacing w:after="0"/>
        <w:rPr>
          <w:b/>
          <w:bCs/>
          <w:lang w:val="en-AU"/>
        </w:rPr>
      </w:pPr>
    </w:p>
    <w:p w14:paraId="26F9D1FC" w14:textId="2F6D971E" w:rsidR="00C02250" w:rsidRDefault="00C02250">
      <w:pPr>
        <w:rPr>
          <w:lang w:val="en-AU"/>
        </w:rPr>
      </w:pPr>
    </w:p>
    <w:p w14:paraId="7A1E1E0D" w14:textId="77777777" w:rsidR="00C02250" w:rsidRDefault="00C02250">
      <w:pPr>
        <w:rPr>
          <w:b/>
          <w:bCs/>
          <w:lang w:val="en-AU"/>
        </w:rPr>
      </w:pPr>
    </w:p>
    <w:p w14:paraId="688C195E" w14:textId="4C6EF7FF" w:rsidR="00841B68" w:rsidRPr="00C02250" w:rsidRDefault="00841B68">
      <w:pPr>
        <w:rPr>
          <w:b/>
          <w:bCs/>
          <w:lang w:val="en-AU"/>
        </w:rPr>
      </w:pPr>
      <w:r w:rsidRPr="00C02250">
        <w:rPr>
          <w:b/>
          <w:bCs/>
          <w:lang w:val="en-AU"/>
        </w:rPr>
        <w:br w:type="page"/>
      </w:r>
    </w:p>
    <w:p w14:paraId="506C1055" w14:textId="77777777" w:rsidR="00B448AE" w:rsidRDefault="00B448AE">
      <w:pPr>
        <w:rPr>
          <w:b/>
          <w:bCs/>
          <w:caps/>
          <w:u w:val="single"/>
          <w:lang w:val="en-AU"/>
        </w:rPr>
      </w:pPr>
      <w:r>
        <w:rPr>
          <w:b/>
          <w:bCs/>
          <w:caps/>
          <w:u w:val="single"/>
          <w:lang w:val="en-AU"/>
        </w:rPr>
        <w:lastRenderedPageBreak/>
        <w:t>SUPPLEMENTARY FIGURE SI.5 Long-TERM Projections to 2050 – all scenarios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513"/>
        <w:gridCol w:w="4513"/>
      </w:tblGrid>
      <w:tr w:rsidR="00B448AE" w:rsidRPr="007B03ED" w14:paraId="1721BA26" w14:textId="77777777" w:rsidTr="002D67EB">
        <w:trPr>
          <w:trHeight w:val="145"/>
        </w:trPr>
        <w:tc>
          <w:tcPr>
            <w:tcW w:w="9026" w:type="dxa"/>
            <w:gridSpan w:val="2"/>
          </w:tcPr>
          <w:p w14:paraId="19817993" w14:textId="77777777" w:rsidR="00B448AE" w:rsidRPr="007B03ED" w:rsidRDefault="00B448AE" w:rsidP="002D67EB">
            <w:pPr>
              <w:pStyle w:val="Heading2"/>
              <w:spacing w:before="0"/>
              <w:jc w:val="center"/>
              <w:outlineLvl w:val="1"/>
              <w:rPr>
                <w:b/>
                <w:bCs/>
                <w:noProof/>
                <w:sz w:val="20"/>
              </w:rPr>
            </w:pPr>
            <w:r>
              <w:rPr>
                <w:b/>
                <w:bCs/>
                <w:noProof/>
                <w:sz w:val="20"/>
              </w:rPr>
              <w:drawing>
                <wp:inline distT="0" distB="0" distL="0" distR="0" wp14:anchorId="2231002F" wp14:editId="4CE0C0DF">
                  <wp:extent cx="5587153" cy="22414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8571" cy="232621"/>
                          </a:xfrm>
                          <a:prstGeom prst="rect">
                            <a:avLst/>
                          </a:prstGeom>
                          <a:noFill/>
                        </pic:spPr>
                      </pic:pic>
                    </a:graphicData>
                  </a:graphic>
                </wp:inline>
              </w:drawing>
            </w:r>
          </w:p>
        </w:tc>
      </w:tr>
      <w:tr w:rsidR="00B448AE" w14:paraId="1FF85B36" w14:textId="77777777" w:rsidTr="002D67EB">
        <w:trPr>
          <w:trHeight w:val="4195"/>
        </w:trPr>
        <w:tc>
          <w:tcPr>
            <w:tcW w:w="4513" w:type="dxa"/>
          </w:tcPr>
          <w:p w14:paraId="03EF01B3" w14:textId="77777777" w:rsidR="00B448AE" w:rsidRDefault="00B448AE" w:rsidP="002D67EB">
            <w:pPr>
              <w:pStyle w:val="Heading2"/>
              <w:outlineLvl w:val="1"/>
              <w:rPr>
                <w:lang w:val="en-AU"/>
              </w:rPr>
            </w:pPr>
            <w:r>
              <w:rPr>
                <w:noProof/>
              </w:rPr>
              <mc:AlternateContent>
                <mc:Choice Requires="wps">
                  <w:drawing>
                    <wp:anchor distT="0" distB="0" distL="114300" distR="114300" simplePos="0" relativeHeight="251659264" behindDoc="0" locked="0" layoutInCell="1" allowOverlap="1" wp14:anchorId="655414E2" wp14:editId="65B21530">
                      <wp:simplePos x="0" y="0"/>
                      <wp:positionH relativeFrom="column">
                        <wp:posOffset>17145</wp:posOffset>
                      </wp:positionH>
                      <wp:positionV relativeFrom="paragraph">
                        <wp:posOffset>2371090</wp:posOffset>
                      </wp:positionV>
                      <wp:extent cx="2766060" cy="2743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66060" cy="274320"/>
                              </a:xfrm>
                              <a:prstGeom prst="rect">
                                <a:avLst/>
                              </a:prstGeom>
                              <a:noFill/>
                              <a:ln w="6350">
                                <a:noFill/>
                              </a:ln>
                            </wps:spPr>
                            <wps:txbx>
                              <w:txbxContent>
                                <w:p w14:paraId="54854B71" w14:textId="1297075E" w:rsidR="00B448AE" w:rsidRPr="00D70A11" w:rsidRDefault="00B448AE" w:rsidP="00B448AE">
                                  <w:pPr>
                                    <w:jc w:val="center"/>
                                    <w:rPr>
                                      <w:b/>
                                      <w:bCs/>
                                    </w:rPr>
                                  </w:pPr>
                                  <w:r>
                                    <w:rPr>
                                      <w:b/>
                                      <w:bCs/>
                                    </w:rPr>
                                    <w:t>SI.5a. Real 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414E2" id="_x0000_t202" coordsize="21600,21600" o:spt="202" path="m,l,21600r21600,l21600,xe">
                      <v:stroke joinstyle="miter"/>
                      <v:path gradientshapeok="t" o:connecttype="rect"/>
                    </v:shapetype>
                    <v:shape id="Text Box 26" o:spid="_x0000_s1026" type="#_x0000_t202" style="position:absolute;margin-left:1.35pt;margin-top:186.7pt;width:217.8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" filled="f" stroked="f" strokeweight=".5pt">
                      <v:textbox>
                        <w:txbxContent>
                          <w:p w14:paraId="54854B71" w14:textId="1297075E" w:rsidR="00B448AE" w:rsidRPr="00D70A11" w:rsidRDefault="00B448AE" w:rsidP="00B448AE">
                            <w:pPr>
                              <w:jc w:val="center"/>
                              <w:rPr>
                                <w:b/>
                                <w:bCs/>
                              </w:rPr>
                            </w:pPr>
                            <w:r>
                              <w:rPr>
                                <w:b/>
                                <w:bCs/>
                              </w:rPr>
                              <w:t>SI.5a. Real GDP</w:t>
                            </w:r>
                          </w:p>
                        </w:txbxContent>
                      </v:textbox>
                    </v:shape>
                  </w:pict>
                </mc:Fallback>
              </mc:AlternateContent>
            </w:r>
            <w:r>
              <w:rPr>
                <w:noProof/>
              </w:rPr>
              <w:drawing>
                <wp:inline distT="0" distB="0" distL="0" distR="0" wp14:anchorId="7BE3D2A3" wp14:editId="6E14AF3F">
                  <wp:extent cx="2811810" cy="2304000"/>
                  <wp:effectExtent l="0" t="0" r="7620" b="1270"/>
                  <wp:docPr id="21" name="Chart 21">
                    <a:extLst xmlns:a="http://schemas.openxmlformats.org/drawingml/2006/main">
                      <a:ext uri="{FF2B5EF4-FFF2-40B4-BE49-F238E27FC236}">
                        <a16:creationId xmlns:a16="http://schemas.microsoft.com/office/drawing/2014/main" id="{E403D03F-9416-429E-B3F8-6C2B79106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13" w:type="dxa"/>
          </w:tcPr>
          <w:p w14:paraId="0320E4DB" w14:textId="77777777" w:rsidR="00B448AE" w:rsidRDefault="00B448AE" w:rsidP="002D67EB">
            <w:pPr>
              <w:pStyle w:val="Heading2"/>
              <w:outlineLvl w:val="1"/>
              <w:rPr>
                <w:lang w:val="en-AU"/>
              </w:rPr>
            </w:pPr>
            <w:r>
              <w:rPr>
                <w:noProof/>
              </w:rPr>
              <mc:AlternateContent>
                <mc:Choice Requires="wps">
                  <w:drawing>
                    <wp:anchor distT="0" distB="0" distL="114300" distR="114300" simplePos="0" relativeHeight="251660288" behindDoc="0" locked="0" layoutInCell="1" allowOverlap="1" wp14:anchorId="2A9403CA" wp14:editId="0B6238A0">
                      <wp:simplePos x="0" y="0"/>
                      <wp:positionH relativeFrom="column">
                        <wp:posOffset>10795</wp:posOffset>
                      </wp:positionH>
                      <wp:positionV relativeFrom="paragraph">
                        <wp:posOffset>2399665</wp:posOffset>
                      </wp:positionV>
                      <wp:extent cx="2720340" cy="2743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20340" cy="274320"/>
                              </a:xfrm>
                              <a:prstGeom prst="rect">
                                <a:avLst/>
                              </a:prstGeom>
                              <a:noFill/>
                              <a:ln w="6350">
                                <a:noFill/>
                              </a:ln>
                            </wps:spPr>
                            <wps:txbx>
                              <w:txbxContent>
                                <w:p w14:paraId="1B16633C" w14:textId="549C10F7" w:rsidR="00B448AE" w:rsidRPr="00D70A11" w:rsidRDefault="00B448AE" w:rsidP="00B448AE">
                                  <w:pPr>
                                    <w:jc w:val="center"/>
                                    <w:rPr>
                                      <w:b/>
                                      <w:bCs/>
                                    </w:rPr>
                                  </w:pPr>
                                  <w:r>
                                    <w:rPr>
                                      <w:b/>
                                      <w:bCs/>
                                    </w:rPr>
                                    <w:t>SI.5b. Net GHG emissions including land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03CA" id="Text Box 30" o:spid="_x0000_s1027" type="#_x0000_t202" style="position:absolute;margin-left:.85pt;margin-top:188.95pt;width:214.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" filled="f" stroked="f" strokeweight=".5pt">
                      <v:textbox>
                        <w:txbxContent>
                          <w:p w14:paraId="1B16633C" w14:textId="549C10F7" w:rsidR="00B448AE" w:rsidRPr="00D70A11" w:rsidRDefault="00B448AE" w:rsidP="00B448AE">
                            <w:pPr>
                              <w:jc w:val="center"/>
                              <w:rPr>
                                <w:b/>
                                <w:bCs/>
                              </w:rPr>
                            </w:pPr>
                            <w:r>
                              <w:rPr>
                                <w:b/>
                                <w:bCs/>
                              </w:rPr>
                              <w:t>SI.5b. Net GHG emissions including land use</w:t>
                            </w:r>
                          </w:p>
                        </w:txbxContent>
                      </v:textbox>
                    </v:shape>
                  </w:pict>
                </mc:Fallback>
              </mc:AlternateContent>
            </w:r>
            <w:r>
              <w:rPr>
                <w:noProof/>
              </w:rPr>
              <w:drawing>
                <wp:inline distT="0" distB="0" distL="0" distR="0" wp14:anchorId="5222F63D" wp14:editId="224D7122">
                  <wp:extent cx="2813715" cy="2307810"/>
                  <wp:effectExtent l="0" t="0" r="5715" b="0"/>
                  <wp:docPr id="23" name="Chart 23">
                    <a:extLst xmlns:a="http://schemas.openxmlformats.org/drawingml/2006/main">
                      <a:ext uri="{FF2B5EF4-FFF2-40B4-BE49-F238E27FC236}">
                        <a16:creationId xmlns:a16="http://schemas.microsoft.com/office/drawing/2014/main" id="{44AC93AB-145C-488B-AF01-395E2CD27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B448AE" w14:paraId="2D188EF4" w14:textId="77777777" w:rsidTr="002D67EB">
        <w:trPr>
          <w:trHeight w:val="4208"/>
        </w:trPr>
        <w:tc>
          <w:tcPr>
            <w:tcW w:w="4513" w:type="dxa"/>
          </w:tcPr>
          <w:p w14:paraId="15CFDC32" w14:textId="77777777" w:rsidR="00B448AE" w:rsidRDefault="00B448AE" w:rsidP="002D67EB">
            <w:pPr>
              <w:pStyle w:val="Heading2"/>
              <w:outlineLvl w:val="1"/>
              <w:rPr>
                <w:lang w:val="en-AU"/>
              </w:rPr>
            </w:pPr>
            <w:r>
              <w:rPr>
                <w:noProof/>
              </w:rPr>
              <mc:AlternateContent>
                <mc:Choice Requires="wps">
                  <w:drawing>
                    <wp:anchor distT="0" distB="0" distL="114300" distR="114300" simplePos="0" relativeHeight="251661312" behindDoc="0" locked="0" layoutInCell="1" allowOverlap="1" wp14:anchorId="0FF9D935" wp14:editId="7F0E6E0A">
                      <wp:simplePos x="0" y="0"/>
                      <wp:positionH relativeFrom="column">
                        <wp:posOffset>106680</wp:posOffset>
                      </wp:positionH>
                      <wp:positionV relativeFrom="paragraph">
                        <wp:posOffset>2388235</wp:posOffset>
                      </wp:positionV>
                      <wp:extent cx="2682240" cy="2743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682240" cy="274320"/>
                              </a:xfrm>
                              <a:prstGeom prst="rect">
                                <a:avLst/>
                              </a:prstGeom>
                              <a:noFill/>
                              <a:ln w="6350">
                                <a:noFill/>
                              </a:ln>
                            </wps:spPr>
                            <wps:txbx>
                              <w:txbxContent>
                                <w:p w14:paraId="5575D9BE" w14:textId="5A58F8AB" w:rsidR="00B448AE" w:rsidRPr="00B448AE" w:rsidRDefault="00B448AE" w:rsidP="00B448AE">
                                  <w:pPr>
                                    <w:jc w:val="center"/>
                                    <w:rPr>
                                      <w:b/>
                                      <w:bCs/>
                                      <w:lang w:val="es-AR"/>
                                    </w:rPr>
                                  </w:pPr>
                                  <w:r w:rsidRPr="00B448AE">
                                    <w:rPr>
                                      <w:b/>
                                      <w:bCs/>
                                      <w:lang w:val="es-AR"/>
                                    </w:rPr>
                                    <w:t xml:space="preserve">SI.5c </w:t>
                                  </w:r>
                                  <w:r w:rsidRPr="005127B3">
                                    <w:rPr>
                                      <w:b/>
                                      <w:bCs/>
                                      <w:lang w:val="es-AR"/>
                                    </w:rPr>
                                    <w:t>Per capita carbon dioxide emissions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D935" id="Text Box 31" o:spid="_x0000_s1028" type="#_x0000_t202" style="position:absolute;margin-left:8.4pt;margin-top:188.05pt;width:211.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zaMQIAAFoEAAAOAAAAZHJzL2Uyb0RvYy54bWysVFFv2jAQfp+0/2D5fQQCpS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" filled="f" stroked="f" strokeweight=".5pt">
                      <v:textbox>
                        <w:txbxContent>
                          <w:p w14:paraId="5575D9BE" w14:textId="5A58F8AB" w:rsidR="00B448AE" w:rsidRPr="00B448AE" w:rsidRDefault="00B448AE" w:rsidP="00B448AE">
                            <w:pPr>
                              <w:jc w:val="center"/>
                              <w:rPr>
                                <w:b/>
                                <w:bCs/>
                                <w:lang w:val="es-AR"/>
                              </w:rPr>
                            </w:pPr>
                            <w:r w:rsidRPr="00B448AE">
                              <w:rPr>
                                <w:b/>
                                <w:bCs/>
                                <w:lang w:val="es-AR"/>
                              </w:rPr>
                              <w:t xml:space="preserve">SI.5c </w:t>
                            </w:r>
                            <w:r w:rsidRPr="005127B3">
                              <w:rPr>
                                <w:b/>
                                <w:bCs/>
                                <w:lang w:val="es-AR"/>
                              </w:rPr>
                              <w:t>Per capita carbon dioxide emissions</w:t>
                            </w:r>
                          </w:p>
                        </w:txbxContent>
                      </v:textbox>
                    </v:shape>
                  </w:pict>
                </mc:Fallback>
              </mc:AlternateContent>
            </w:r>
            <w:r>
              <w:rPr>
                <w:noProof/>
              </w:rPr>
              <w:drawing>
                <wp:inline distT="0" distB="0" distL="0" distR="0" wp14:anchorId="67A060C7" wp14:editId="0EADA8E8">
                  <wp:extent cx="2813295" cy="2304000"/>
                  <wp:effectExtent l="0" t="0" r="6350" b="1270"/>
                  <wp:docPr id="27" name="Chart 27">
                    <a:extLst xmlns:a="http://schemas.openxmlformats.org/drawingml/2006/main">
                      <a:ext uri="{FF2B5EF4-FFF2-40B4-BE49-F238E27FC236}">
                        <a16:creationId xmlns:a16="http://schemas.microsoft.com/office/drawing/2014/main" id="{E0192755-E0A5-46A2-8D57-4DAFDCF08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513" w:type="dxa"/>
          </w:tcPr>
          <w:p w14:paraId="623F2FC5" w14:textId="77777777" w:rsidR="00B448AE" w:rsidRDefault="00B448AE" w:rsidP="002D67EB">
            <w:pPr>
              <w:pStyle w:val="Heading2"/>
              <w:outlineLvl w:val="1"/>
              <w:rPr>
                <w:lang w:val="en-AU"/>
              </w:rPr>
            </w:pPr>
            <w:r>
              <w:rPr>
                <w:noProof/>
              </w:rPr>
              <mc:AlternateContent>
                <mc:Choice Requires="wps">
                  <w:drawing>
                    <wp:anchor distT="0" distB="0" distL="114300" distR="114300" simplePos="0" relativeHeight="251662336" behindDoc="0" locked="0" layoutInCell="1" allowOverlap="1" wp14:anchorId="3735945D" wp14:editId="1D898396">
                      <wp:simplePos x="0" y="0"/>
                      <wp:positionH relativeFrom="column">
                        <wp:posOffset>25400</wp:posOffset>
                      </wp:positionH>
                      <wp:positionV relativeFrom="paragraph">
                        <wp:posOffset>2399665</wp:posOffset>
                      </wp:positionV>
                      <wp:extent cx="2720340" cy="2743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20340" cy="274320"/>
                              </a:xfrm>
                              <a:prstGeom prst="rect">
                                <a:avLst/>
                              </a:prstGeom>
                              <a:noFill/>
                              <a:ln w="6350">
                                <a:noFill/>
                              </a:ln>
                            </wps:spPr>
                            <wps:txbx>
                              <w:txbxContent>
                                <w:p w14:paraId="209152FF" w14:textId="2E86921F" w:rsidR="00B448AE" w:rsidRPr="00D70A11" w:rsidRDefault="00B448AE" w:rsidP="00B448AE">
                                  <w:pPr>
                                    <w:jc w:val="center"/>
                                    <w:rPr>
                                      <w:b/>
                                      <w:bCs/>
                                    </w:rPr>
                                  </w:pPr>
                                  <w:r>
                                    <w:rPr>
                                      <w:b/>
                                      <w:bCs/>
                                    </w:rPr>
                                    <w:t>SI.5d Overall SDG progress score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945D" id="Text Box 18" o:spid="_x0000_s1029" type="#_x0000_t202" style="position:absolute;margin-left:2pt;margin-top:188.95pt;width:214.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" filled="f" stroked="f" strokeweight=".5pt">
                      <v:textbox>
                        <w:txbxContent>
                          <w:p w14:paraId="209152FF" w14:textId="2E86921F" w:rsidR="00B448AE" w:rsidRPr="00D70A11" w:rsidRDefault="00B448AE" w:rsidP="00B448AE">
                            <w:pPr>
                              <w:jc w:val="center"/>
                              <w:rPr>
                                <w:b/>
                                <w:bCs/>
                              </w:rPr>
                            </w:pPr>
                            <w:r>
                              <w:rPr>
                                <w:b/>
                                <w:bCs/>
                              </w:rPr>
                              <w:t>SI.5d Overall SDG progress score (%)</w:t>
                            </w:r>
                          </w:p>
                        </w:txbxContent>
                      </v:textbox>
                    </v:shape>
                  </w:pict>
                </mc:Fallback>
              </mc:AlternateContent>
            </w:r>
            <w:r>
              <w:rPr>
                <w:noProof/>
              </w:rPr>
              <w:drawing>
                <wp:inline distT="0" distB="0" distL="0" distR="0" wp14:anchorId="3F89D620" wp14:editId="25E87227">
                  <wp:extent cx="2807970" cy="2303780"/>
                  <wp:effectExtent l="0" t="0" r="0" b="1270"/>
                  <wp:docPr id="32" name="Chart 32">
                    <a:extLst xmlns:a="http://schemas.openxmlformats.org/drawingml/2006/main">
                      <a:ext uri="{FF2B5EF4-FFF2-40B4-BE49-F238E27FC236}">
                        <a16:creationId xmlns:a16="http://schemas.microsoft.com/office/drawing/2014/main" id="{DFA24D99-0DC5-4B90-B619-5FB56CB64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570E23A8" w14:textId="6E1FAE3B" w:rsidR="00B448AE" w:rsidRDefault="00B448AE">
      <w:pPr>
        <w:rPr>
          <w:b/>
          <w:bCs/>
          <w:caps/>
          <w:u w:val="single"/>
          <w:lang w:val="en-AU"/>
        </w:rPr>
      </w:pPr>
      <w:r>
        <w:rPr>
          <w:b/>
          <w:bCs/>
          <w:caps/>
          <w:u w:val="single"/>
          <w:lang w:val="en-AU"/>
        </w:rPr>
        <w:br w:type="page"/>
      </w:r>
    </w:p>
    <w:p w14:paraId="78B9FC92" w14:textId="756847A1" w:rsidR="00EA3B37" w:rsidRDefault="00C27498" w:rsidP="00E92CE0">
      <w:pPr>
        <w:spacing w:after="0"/>
        <w:rPr>
          <w:b/>
          <w:bCs/>
          <w:caps/>
          <w:u w:val="single"/>
          <w:lang w:val="en-AU"/>
        </w:rPr>
      </w:pPr>
      <w:r>
        <w:rPr>
          <w:b/>
          <w:bCs/>
          <w:caps/>
          <w:u w:val="single"/>
          <w:lang w:val="en-AU"/>
        </w:rPr>
        <w:lastRenderedPageBreak/>
        <w:t xml:space="preserve">supplementary </w:t>
      </w:r>
      <w:r w:rsidR="004D183C" w:rsidRPr="00DC28F9">
        <w:rPr>
          <w:b/>
          <w:bCs/>
          <w:caps/>
          <w:u w:val="single"/>
          <w:lang w:val="en-AU"/>
        </w:rPr>
        <w:t>Figure SI.</w:t>
      </w:r>
      <w:r w:rsidR="00B448AE">
        <w:rPr>
          <w:b/>
          <w:bCs/>
          <w:caps/>
          <w:u w:val="single"/>
          <w:lang w:val="en-AU"/>
        </w:rPr>
        <w:t>6</w:t>
      </w:r>
      <w:r w:rsidR="004D183C" w:rsidRPr="00DC28F9">
        <w:rPr>
          <w:b/>
          <w:bCs/>
          <w:caps/>
          <w:u w:val="single"/>
          <w:lang w:val="en-AU"/>
        </w:rPr>
        <w:t xml:space="preserve"> Sensitivity analysis results </w:t>
      </w:r>
      <w:r w:rsidR="004C0D22" w:rsidRPr="00DC28F9">
        <w:rPr>
          <w:b/>
          <w:bCs/>
          <w:caps/>
          <w:u w:val="single"/>
          <w:lang w:val="en-AU"/>
        </w:rPr>
        <w:t>for</w:t>
      </w:r>
      <w:r w:rsidR="004D183C" w:rsidRPr="00DC28F9">
        <w:rPr>
          <w:b/>
          <w:bCs/>
          <w:caps/>
          <w:u w:val="single"/>
          <w:lang w:val="en-AU"/>
        </w:rPr>
        <w:t xml:space="preserve"> BAU scenario</w:t>
      </w:r>
      <w:r w:rsidR="004C0D22" w:rsidRPr="00DC28F9">
        <w:rPr>
          <w:b/>
          <w:bCs/>
          <w:caps/>
          <w:u w:val="single"/>
          <w:lang w:val="en-AU"/>
        </w:rPr>
        <w:t xml:space="preserve"> in 2030</w:t>
      </w:r>
    </w:p>
    <w:p w14:paraId="5BD5F549" w14:textId="77777777" w:rsidR="00D630F8" w:rsidRDefault="00D630F8" w:rsidP="00D630F8">
      <w:pPr>
        <w:spacing w:after="0"/>
        <w:rPr>
          <w:bCs/>
          <w:sz w:val="18"/>
          <w:szCs w:val="18"/>
        </w:rPr>
      </w:pPr>
      <w:r w:rsidRPr="00890996">
        <w:rPr>
          <w:rFonts w:ascii="Yu Gothic" w:eastAsia="Yu Gothic" w:hAnsi="Yu Gothic"/>
          <w:bCs/>
          <w:sz w:val="16"/>
          <w:szCs w:val="16"/>
        </w:rPr>
        <w:t xml:space="preserve">Sensitivity of results for goal scores for each of the 17 SDGs plus aggregate score for ‘All Goals’ (index scale 0 to 1, where 1 = </w:t>
      </w:r>
      <w:r>
        <w:rPr>
          <w:rFonts w:ascii="Yu Gothic" w:eastAsia="Yu Gothic" w:hAnsi="Yu Gothic"/>
          <w:bCs/>
          <w:sz w:val="16"/>
          <w:szCs w:val="16"/>
        </w:rPr>
        <w:t xml:space="preserve">100% progress or </w:t>
      </w:r>
      <w:r w:rsidRPr="00890996">
        <w:rPr>
          <w:rFonts w:ascii="Yu Gothic" w:eastAsia="Yu Gothic" w:hAnsi="Yu Gothic"/>
          <w:bCs/>
          <w:sz w:val="16"/>
          <w:szCs w:val="16"/>
        </w:rPr>
        <w:t>goal achieved). The line in the box represents the median; the edges of the box are the lower range (25</w:t>
      </w:r>
      <w:r w:rsidRPr="00890996">
        <w:rPr>
          <w:rFonts w:ascii="Yu Gothic" w:eastAsia="Yu Gothic" w:hAnsi="Yu Gothic"/>
          <w:bCs/>
          <w:sz w:val="16"/>
          <w:szCs w:val="16"/>
          <w:vertAlign w:val="superscript"/>
        </w:rPr>
        <w:t>th</w:t>
      </w:r>
      <w:r w:rsidRPr="00890996">
        <w:rPr>
          <w:rFonts w:ascii="Yu Gothic" w:eastAsia="Yu Gothic" w:hAnsi="Yu Gothic"/>
          <w:bCs/>
          <w:sz w:val="16"/>
          <w:szCs w:val="16"/>
        </w:rPr>
        <w:t xml:space="preserve"> percentile; Q1) and the upper edge (the 75</w:t>
      </w:r>
      <w:r w:rsidRPr="00890996">
        <w:rPr>
          <w:rFonts w:ascii="Yu Gothic" w:eastAsia="Yu Gothic" w:hAnsi="Yu Gothic"/>
          <w:bCs/>
          <w:sz w:val="16"/>
          <w:szCs w:val="16"/>
          <w:vertAlign w:val="superscript"/>
        </w:rPr>
        <w:t>th</w:t>
      </w:r>
      <w:r w:rsidRPr="00890996">
        <w:rPr>
          <w:rFonts w:ascii="Yu Gothic" w:eastAsia="Yu Gothic" w:hAnsi="Yu Gothic"/>
          <w:bCs/>
          <w:sz w:val="16"/>
          <w:szCs w:val="16"/>
        </w:rPr>
        <w:t xml:space="preserve"> percentile, Q3), and the whiskers extend to 1.5*(Q3-Q1). Outliers represent values beyond the whiskers (i.e. beyond 1.5*(Q3-Q1)).</w:t>
      </w:r>
      <w:r w:rsidRPr="00F462EF">
        <w:rPr>
          <w:bCs/>
          <w:sz w:val="18"/>
          <w:szCs w:val="18"/>
        </w:rPr>
        <w:t xml:space="preserve">  </w:t>
      </w:r>
    </w:p>
    <w:p w14:paraId="31523B6E" w14:textId="77777777" w:rsidR="00D630F8" w:rsidRPr="00D630F8" w:rsidRDefault="00D630F8" w:rsidP="00E92CE0">
      <w:pPr>
        <w:spacing w:after="0"/>
        <w:rPr>
          <w:b/>
          <w:bCs/>
          <w:caps/>
          <w:u w:val="single"/>
        </w:rPr>
      </w:pPr>
    </w:p>
    <w:p w14:paraId="472C50A6" w14:textId="3A2E5FF3" w:rsidR="004D183C" w:rsidRDefault="008F23C3" w:rsidP="00E92CE0">
      <w:pPr>
        <w:spacing w:after="0"/>
        <w:rPr>
          <w:b/>
          <w:bCs/>
          <w:lang w:val="en-AU"/>
        </w:rPr>
      </w:pPr>
      <w:r w:rsidRPr="008F23C3">
        <w:rPr>
          <w:b/>
          <w:bCs/>
          <w:noProof/>
        </w:rPr>
        <w:drawing>
          <wp:inline distT="0" distB="0" distL="0" distR="0" wp14:anchorId="2023CD43" wp14:editId="6D8182C4">
            <wp:extent cx="5731933" cy="2510975"/>
            <wp:effectExtent l="0" t="0" r="2540" b="3810"/>
            <wp:docPr id="4" name="Picture 3">
              <a:extLst xmlns:a="http://schemas.openxmlformats.org/drawingml/2006/main">
                <a:ext uri="{FF2B5EF4-FFF2-40B4-BE49-F238E27FC236}">
                  <a16:creationId xmlns:a16="http://schemas.microsoft.com/office/drawing/2014/main" id="{B6409620-B913-473C-8FDD-2F017632B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409620-B913-473C-8FDD-2F017632B78F}"/>
                        </a:ext>
                      </a:extLst>
                    </pic:cNvPr>
                    <pic:cNvPicPr>
                      <a:picLocks noChangeAspect="1"/>
                    </pic:cNvPicPr>
                  </pic:nvPicPr>
                  <pic:blipFill>
                    <a:blip r:embed="rId34"/>
                    <a:stretch>
                      <a:fillRect/>
                    </a:stretch>
                  </pic:blipFill>
                  <pic:spPr>
                    <a:xfrm>
                      <a:off x="0" y="0"/>
                      <a:ext cx="5731933" cy="2510975"/>
                    </a:xfrm>
                    <a:prstGeom prst="rect">
                      <a:avLst/>
                    </a:prstGeom>
                  </pic:spPr>
                </pic:pic>
              </a:graphicData>
            </a:graphic>
          </wp:inline>
        </w:drawing>
      </w:r>
    </w:p>
    <w:p w14:paraId="17D8165B" w14:textId="1FCE2A1E" w:rsidR="00D77DC7" w:rsidRDefault="00D77DC7" w:rsidP="00E92CE0">
      <w:pPr>
        <w:spacing w:after="0"/>
        <w:rPr>
          <w:b/>
          <w:bCs/>
          <w:lang w:val="en-AU"/>
        </w:rPr>
      </w:pPr>
      <w:r>
        <w:rPr>
          <w:b/>
          <w:bCs/>
          <w:lang w:val="en-AU"/>
        </w:rPr>
        <w:t xml:space="preserve">Figure </w:t>
      </w:r>
      <w:r w:rsidR="00F66A19">
        <w:rPr>
          <w:b/>
          <w:bCs/>
          <w:lang w:val="en-AU"/>
        </w:rPr>
        <w:t>SI.</w:t>
      </w:r>
      <w:r w:rsidR="00B448AE">
        <w:rPr>
          <w:b/>
          <w:bCs/>
          <w:lang w:val="en-AU"/>
        </w:rPr>
        <w:t>6</w:t>
      </w:r>
      <w:r w:rsidR="00F66A19">
        <w:rPr>
          <w:b/>
          <w:bCs/>
          <w:lang w:val="en-AU"/>
        </w:rPr>
        <w:t xml:space="preserve">a </w:t>
      </w:r>
      <w:r w:rsidR="00097E23">
        <w:rPr>
          <w:b/>
          <w:bCs/>
          <w:lang w:val="en-AU"/>
        </w:rPr>
        <w:t>BAU s</w:t>
      </w:r>
      <w:r w:rsidR="00F66A19">
        <w:rPr>
          <w:b/>
          <w:bCs/>
          <w:lang w:val="en-AU"/>
        </w:rPr>
        <w:t xml:space="preserve">ensitivity analysis results </w:t>
      </w:r>
      <w:r w:rsidR="004C0D22">
        <w:rPr>
          <w:b/>
          <w:bCs/>
          <w:lang w:val="en-AU"/>
        </w:rPr>
        <w:t>–</w:t>
      </w:r>
      <w:r w:rsidR="00F66A19">
        <w:rPr>
          <w:b/>
          <w:bCs/>
          <w:lang w:val="en-AU"/>
        </w:rPr>
        <w:t xml:space="preserve"> </w:t>
      </w:r>
      <w:r w:rsidR="00D96926">
        <w:rPr>
          <w:b/>
          <w:bCs/>
          <w:lang w:val="en-AU"/>
        </w:rPr>
        <w:t>expected a</w:t>
      </w:r>
      <w:r w:rsidR="00CD06D2">
        <w:rPr>
          <w:b/>
          <w:bCs/>
          <w:lang w:val="en-AU"/>
        </w:rPr>
        <w:t>verage t</w:t>
      </w:r>
      <w:r w:rsidR="00F66A19">
        <w:rPr>
          <w:b/>
          <w:bCs/>
          <w:lang w:val="en-AU"/>
        </w:rPr>
        <w:t>emperature</w:t>
      </w:r>
      <w:r w:rsidR="00E36E31">
        <w:rPr>
          <w:b/>
          <w:bCs/>
          <w:lang w:val="en-AU"/>
        </w:rPr>
        <w:t xml:space="preserve"> change</w:t>
      </w:r>
    </w:p>
    <w:p w14:paraId="64575F7C" w14:textId="1B12503D" w:rsidR="004C0D22" w:rsidRDefault="004C0D22" w:rsidP="00E92CE0">
      <w:pPr>
        <w:spacing w:after="0"/>
        <w:rPr>
          <w:b/>
          <w:bCs/>
          <w:lang w:val="en-AU"/>
        </w:rPr>
      </w:pPr>
    </w:p>
    <w:p w14:paraId="481B0C59" w14:textId="6E9C772F" w:rsidR="00337001" w:rsidRDefault="00021684" w:rsidP="00337001">
      <w:pPr>
        <w:spacing w:after="0"/>
        <w:rPr>
          <w:b/>
          <w:bCs/>
          <w:lang w:val="en-AU"/>
        </w:rPr>
      </w:pPr>
      <w:r w:rsidRPr="00021684">
        <w:rPr>
          <w:b/>
          <w:bCs/>
          <w:noProof/>
        </w:rPr>
        <w:drawing>
          <wp:inline distT="0" distB="0" distL="0" distR="0" wp14:anchorId="03954AED" wp14:editId="71AEC0CB">
            <wp:extent cx="5689600" cy="2740160"/>
            <wp:effectExtent l="0" t="0" r="6350" b="3175"/>
            <wp:docPr id="2" name="Picture 1">
              <a:extLst xmlns:a="http://schemas.openxmlformats.org/drawingml/2006/main">
                <a:ext uri="{FF2B5EF4-FFF2-40B4-BE49-F238E27FC236}">
                  <a16:creationId xmlns:a16="http://schemas.microsoft.com/office/drawing/2014/main" id="{55F8EF0C-E572-4573-9886-F164BD357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F8EF0C-E572-4573-9886-F164BD3579F5}"/>
                        </a:ext>
                      </a:extLst>
                    </pic:cNvPr>
                    <pic:cNvPicPr>
                      <a:picLocks noChangeAspect="1"/>
                    </pic:cNvPicPr>
                  </pic:nvPicPr>
                  <pic:blipFill>
                    <a:blip r:embed="rId35"/>
                    <a:stretch>
                      <a:fillRect/>
                    </a:stretch>
                  </pic:blipFill>
                  <pic:spPr>
                    <a:xfrm>
                      <a:off x="0" y="0"/>
                      <a:ext cx="5708116" cy="2749077"/>
                    </a:xfrm>
                    <a:prstGeom prst="rect">
                      <a:avLst/>
                    </a:prstGeom>
                  </pic:spPr>
                </pic:pic>
              </a:graphicData>
            </a:graphic>
          </wp:inline>
        </w:drawing>
      </w:r>
    </w:p>
    <w:p w14:paraId="50B597A2" w14:textId="041CDC3A" w:rsidR="00337001" w:rsidRDefault="00337001" w:rsidP="00337001">
      <w:pPr>
        <w:spacing w:after="0"/>
        <w:rPr>
          <w:b/>
          <w:bCs/>
          <w:lang w:val="en-AU"/>
        </w:rPr>
      </w:pPr>
      <w:r>
        <w:rPr>
          <w:b/>
          <w:bCs/>
          <w:lang w:val="en-AU"/>
        </w:rPr>
        <w:t>Figure SI.</w:t>
      </w:r>
      <w:r w:rsidR="00B448AE">
        <w:rPr>
          <w:b/>
          <w:bCs/>
          <w:lang w:val="en-AU"/>
        </w:rPr>
        <w:t>6</w:t>
      </w:r>
      <w:r>
        <w:rPr>
          <w:b/>
          <w:bCs/>
          <w:lang w:val="en-AU"/>
        </w:rPr>
        <w:t>b BAU sensitivity analysis results – value added per ton of fish and sugar</w:t>
      </w:r>
    </w:p>
    <w:p w14:paraId="289CE89D" w14:textId="590D30EC" w:rsidR="004C0D22" w:rsidRDefault="004C0D22" w:rsidP="00E92CE0">
      <w:pPr>
        <w:spacing w:after="0"/>
        <w:rPr>
          <w:b/>
          <w:bCs/>
          <w:lang w:val="en-AU"/>
        </w:rPr>
      </w:pPr>
    </w:p>
    <w:p w14:paraId="6A1AB49C" w14:textId="4A80C0E3" w:rsidR="004C0D22" w:rsidRDefault="00EB1EEB" w:rsidP="00E92CE0">
      <w:pPr>
        <w:spacing w:after="0"/>
        <w:rPr>
          <w:b/>
          <w:bCs/>
          <w:lang w:val="en-AU"/>
        </w:rPr>
      </w:pPr>
      <w:r w:rsidRPr="00EB1EEB">
        <w:rPr>
          <w:b/>
          <w:bCs/>
          <w:noProof/>
        </w:rPr>
        <w:lastRenderedPageBreak/>
        <w:drawing>
          <wp:inline distT="0" distB="0" distL="0" distR="0" wp14:anchorId="4874A7F8" wp14:editId="7BBF58A0">
            <wp:extent cx="5596467" cy="2452252"/>
            <wp:effectExtent l="0" t="0" r="4445" b="5715"/>
            <wp:docPr id="3" name="Picture 3">
              <a:extLst xmlns:a="http://schemas.openxmlformats.org/drawingml/2006/main">
                <a:ext uri="{FF2B5EF4-FFF2-40B4-BE49-F238E27FC236}">
                  <a16:creationId xmlns:a16="http://schemas.microsoft.com/office/drawing/2014/main" id="{82A79A3F-3804-4A0A-BE20-342F222AF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2A79A3F-3804-4A0A-BE20-342F222AFD4C}"/>
                        </a:ext>
                      </a:extLst>
                    </pic:cNvPr>
                    <pic:cNvPicPr>
                      <a:picLocks noChangeAspect="1"/>
                    </pic:cNvPicPr>
                  </pic:nvPicPr>
                  <pic:blipFill>
                    <a:blip r:embed="rId36"/>
                    <a:stretch>
                      <a:fillRect/>
                    </a:stretch>
                  </pic:blipFill>
                  <pic:spPr>
                    <a:xfrm>
                      <a:off x="0" y="0"/>
                      <a:ext cx="5606129" cy="2456486"/>
                    </a:xfrm>
                    <a:prstGeom prst="rect">
                      <a:avLst/>
                    </a:prstGeom>
                  </pic:spPr>
                </pic:pic>
              </a:graphicData>
            </a:graphic>
          </wp:inline>
        </w:drawing>
      </w:r>
    </w:p>
    <w:p w14:paraId="31B580B1" w14:textId="4E7D1DE1" w:rsidR="004C0D22" w:rsidRDefault="004C0D22" w:rsidP="004C0D22">
      <w:pPr>
        <w:spacing w:after="0"/>
        <w:rPr>
          <w:b/>
          <w:bCs/>
          <w:lang w:val="en-AU"/>
        </w:rPr>
      </w:pPr>
      <w:r>
        <w:rPr>
          <w:b/>
          <w:bCs/>
          <w:lang w:val="en-AU"/>
        </w:rPr>
        <w:t>Figure SI.</w:t>
      </w:r>
      <w:r w:rsidR="00B448AE">
        <w:rPr>
          <w:b/>
          <w:bCs/>
          <w:lang w:val="en-AU"/>
        </w:rPr>
        <w:t>6</w:t>
      </w:r>
      <w:r w:rsidR="00337001">
        <w:rPr>
          <w:b/>
          <w:bCs/>
          <w:lang w:val="en-AU"/>
        </w:rPr>
        <w:t>c</w:t>
      </w:r>
      <w:r>
        <w:rPr>
          <w:b/>
          <w:bCs/>
          <w:lang w:val="en-AU"/>
        </w:rPr>
        <w:t xml:space="preserve"> </w:t>
      </w:r>
      <w:r w:rsidR="00097E23">
        <w:rPr>
          <w:b/>
          <w:bCs/>
          <w:lang w:val="en-AU"/>
        </w:rPr>
        <w:t>BAU s</w:t>
      </w:r>
      <w:r>
        <w:rPr>
          <w:b/>
          <w:bCs/>
          <w:lang w:val="en-AU"/>
        </w:rPr>
        <w:t xml:space="preserve">ensitivity analysis results – </w:t>
      </w:r>
      <w:r w:rsidR="00EF0D9F">
        <w:rPr>
          <w:b/>
          <w:bCs/>
          <w:lang w:val="en-AU"/>
        </w:rPr>
        <w:t xml:space="preserve">estimated </w:t>
      </w:r>
      <w:r w:rsidR="00CD06D2">
        <w:rPr>
          <w:b/>
          <w:bCs/>
          <w:lang w:val="en-AU"/>
        </w:rPr>
        <w:t>cost of adaptation per degree of warming</w:t>
      </w:r>
    </w:p>
    <w:p w14:paraId="2B3A236F" w14:textId="104103FC" w:rsidR="004C0D22" w:rsidRDefault="004C0D22" w:rsidP="00E92CE0">
      <w:pPr>
        <w:spacing w:after="0"/>
        <w:rPr>
          <w:b/>
          <w:bCs/>
          <w:lang w:val="en-AU"/>
        </w:rPr>
      </w:pPr>
    </w:p>
    <w:p w14:paraId="29428196" w14:textId="1F808CB0" w:rsidR="00EF0D9F" w:rsidRDefault="00EF0D9F" w:rsidP="00E92CE0">
      <w:pPr>
        <w:spacing w:after="0"/>
        <w:rPr>
          <w:b/>
          <w:bCs/>
          <w:lang w:val="en-AU"/>
        </w:rPr>
      </w:pPr>
    </w:p>
    <w:p w14:paraId="21A20E49" w14:textId="43323F14" w:rsidR="00E75F47" w:rsidRDefault="00D91628" w:rsidP="00E92CE0">
      <w:pPr>
        <w:spacing w:after="0"/>
        <w:rPr>
          <w:b/>
          <w:bCs/>
          <w:lang w:val="en-AU"/>
        </w:rPr>
      </w:pPr>
      <w:r w:rsidRPr="00D91628">
        <w:rPr>
          <w:b/>
          <w:bCs/>
          <w:noProof/>
        </w:rPr>
        <w:drawing>
          <wp:inline distT="0" distB="0" distL="0" distR="0" wp14:anchorId="79AAB32F" wp14:editId="57168A48">
            <wp:extent cx="5560828" cy="2436019"/>
            <wp:effectExtent l="0" t="0" r="1905" b="2540"/>
            <wp:docPr id="5" name="Picture 3">
              <a:extLst xmlns:a="http://schemas.openxmlformats.org/drawingml/2006/main">
                <a:ext uri="{FF2B5EF4-FFF2-40B4-BE49-F238E27FC236}">
                  <a16:creationId xmlns:a16="http://schemas.microsoft.com/office/drawing/2014/main" id="{B6DB9FA3-4652-45AD-92DD-5E0EF24B8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DB9FA3-4652-45AD-92DD-5E0EF24B8286}"/>
                        </a:ext>
                      </a:extLst>
                    </pic:cNvPr>
                    <pic:cNvPicPr>
                      <a:picLocks noChangeAspect="1"/>
                    </pic:cNvPicPr>
                  </pic:nvPicPr>
                  <pic:blipFill>
                    <a:blip r:embed="rId37"/>
                    <a:stretch>
                      <a:fillRect/>
                    </a:stretch>
                  </pic:blipFill>
                  <pic:spPr>
                    <a:xfrm>
                      <a:off x="0" y="0"/>
                      <a:ext cx="5583143" cy="2445795"/>
                    </a:xfrm>
                    <a:prstGeom prst="rect">
                      <a:avLst/>
                    </a:prstGeom>
                  </pic:spPr>
                </pic:pic>
              </a:graphicData>
            </a:graphic>
          </wp:inline>
        </w:drawing>
      </w:r>
    </w:p>
    <w:p w14:paraId="70C1D3BB" w14:textId="09436E65" w:rsidR="00EF0D9F" w:rsidRDefault="00024BDB" w:rsidP="00E92CE0">
      <w:pPr>
        <w:spacing w:after="0"/>
        <w:rPr>
          <w:b/>
          <w:bCs/>
          <w:lang w:val="en-AU"/>
        </w:rPr>
      </w:pPr>
      <w:r>
        <w:rPr>
          <w:b/>
          <w:bCs/>
          <w:lang w:val="en-AU"/>
        </w:rPr>
        <w:t>Figure SI</w:t>
      </w:r>
      <w:r w:rsidR="00C07139">
        <w:rPr>
          <w:b/>
          <w:bCs/>
          <w:lang w:val="en-AU"/>
        </w:rPr>
        <w:t>.</w:t>
      </w:r>
      <w:r w:rsidR="00B448AE">
        <w:rPr>
          <w:b/>
          <w:bCs/>
          <w:lang w:val="en-AU"/>
        </w:rPr>
        <w:t>6</w:t>
      </w:r>
      <w:r w:rsidR="00337001">
        <w:rPr>
          <w:b/>
          <w:bCs/>
          <w:lang w:val="en-AU"/>
        </w:rPr>
        <w:t>d</w:t>
      </w:r>
      <w:r w:rsidR="00C07139">
        <w:rPr>
          <w:b/>
          <w:bCs/>
          <w:lang w:val="en-AU"/>
        </w:rPr>
        <w:t xml:space="preserve"> </w:t>
      </w:r>
      <w:r w:rsidR="00097E23">
        <w:rPr>
          <w:b/>
          <w:bCs/>
          <w:lang w:val="en-AU"/>
        </w:rPr>
        <w:t>BAU s</w:t>
      </w:r>
      <w:r w:rsidR="00C07139">
        <w:rPr>
          <w:b/>
          <w:bCs/>
          <w:lang w:val="en-AU"/>
        </w:rPr>
        <w:t xml:space="preserve">ensitivity analysis results </w:t>
      </w:r>
      <w:r w:rsidR="00E75F47">
        <w:rPr>
          <w:b/>
          <w:bCs/>
          <w:lang w:val="en-AU"/>
        </w:rPr>
        <w:t>–</w:t>
      </w:r>
      <w:r w:rsidR="00C07139">
        <w:rPr>
          <w:b/>
          <w:bCs/>
          <w:lang w:val="en-AU"/>
        </w:rPr>
        <w:t xml:space="preserve"> </w:t>
      </w:r>
      <w:r w:rsidR="00E75F47">
        <w:rPr>
          <w:b/>
          <w:bCs/>
          <w:lang w:val="en-AU"/>
        </w:rPr>
        <w:t>grants as share of GDP</w:t>
      </w:r>
    </w:p>
    <w:p w14:paraId="4DD38D47" w14:textId="47DFB07D" w:rsidR="009F6F86" w:rsidRDefault="009F6F86" w:rsidP="00E92CE0">
      <w:pPr>
        <w:spacing w:after="0"/>
        <w:rPr>
          <w:b/>
          <w:bCs/>
          <w:lang w:val="en-AU"/>
        </w:rPr>
      </w:pPr>
    </w:p>
    <w:p w14:paraId="6B828120" w14:textId="3C6B318A" w:rsidR="009F6F86" w:rsidRDefault="00D91628" w:rsidP="00E92CE0">
      <w:pPr>
        <w:spacing w:after="0"/>
        <w:rPr>
          <w:b/>
          <w:bCs/>
          <w:lang w:val="en-AU"/>
        </w:rPr>
      </w:pPr>
      <w:r w:rsidRPr="00D91628">
        <w:rPr>
          <w:b/>
          <w:bCs/>
          <w:noProof/>
        </w:rPr>
        <w:drawing>
          <wp:inline distT="0" distB="0" distL="0" distR="0" wp14:anchorId="7758496E" wp14:editId="79D69A9C">
            <wp:extent cx="5752214" cy="2519860"/>
            <wp:effectExtent l="0" t="0" r="1270" b="0"/>
            <wp:docPr id="6" name="Picture 3">
              <a:extLst xmlns:a="http://schemas.openxmlformats.org/drawingml/2006/main">
                <a:ext uri="{FF2B5EF4-FFF2-40B4-BE49-F238E27FC236}">
                  <a16:creationId xmlns:a16="http://schemas.microsoft.com/office/drawing/2014/main" id="{B52FF24A-6F1E-4A24-A0B5-BBFA6478D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52FF24A-6F1E-4A24-A0B5-BBFA6478D6D9}"/>
                        </a:ext>
                      </a:extLst>
                    </pic:cNvPr>
                    <pic:cNvPicPr>
                      <a:picLocks noChangeAspect="1"/>
                    </pic:cNvPicPr>
                  </pic:nvPicPr>
                  <pic:blipFill>
                    <a:blip r:embed="rId38"/>
                    <a:stretch>
                      <a:fillRect/>
                    </a:stretch>
                  </pic:blipFill>
                  <pic:spPr>
                    <a:xfrm>
                      <a:off x="0" y="0"/>
                      <a:ext cx="5776607" cy="2530546"/>
                    </a:xfrm>
                    <a:prstGeom prst="rect">
                      <a:avLst/>
                    </a:prstGeom>
                  </pic:spPr>
                </pic:pic>
              </a:graphicData>
            </a:graphic>
          </wp:inline>
        </w:drawing>
      </w:r>
    </w:p>
    <w:p w14:paraId="2C8E23C7" w14:textId="35664771" w:rsidR="00E00741" w:rsidRDefault="00E00741" w:rsidP="00E00741">
      <w:pPr>
        <w:spacing w:after="0"/>
        <w:rPr>
          <w:b/>
          <w:bCs/>
          <w:lang w:val="en-AU"/>
        </w:rPr>
      </w:pPr>
      <w:r>
        <w:rPr>
          <w:b/>
          <w:bCs/>
          <w:lang w:val="en-AU"/>
        </w:rPr>
        <w:t>Figure SI.</w:t>
      </w:r>
      <w:r w:rsidR="00B448AE">
        <w:rPr>
          <w:b/>
          <w:bCs/>
          <w:lang w:val="en-AU"/>
        </w:rPr>
        <w:t>6</w:t>
      </w:r>
      <w:r w:rsidR="00FB754D">
        <w:rPr>
          <w:b/>
          <w:bCs/>
          <w:lang w:val="en-AU"/>
        </w:rPr>
        <w:t>e</w:t>
      </w:r>
      <w:r>
        <w:rPr>
          <w:b/>
          <w:bCs/>
          <w:lang w:val="en-AU"/>
        </w:rPr>
        <w:t xml:space="preserve"> </w:t>
      </w:r>
      <w:r w:rsidR="00097E23">
        <w:rPr>
          <w:b/>
          <w:bCs/>
          <w:lang w:val="en-AU"/>
        </w:rPr>
        <w:t>BAU s</w:t>
      </w:r>
      <w:r>
        <w:rPr>
          <w:b/>
          <w:bCs/>
          <w:lang w:val="en-AU"/>
        </w:rPr>
        <w:t xml:space="preserve">ensitivity analysis results – </w:t>
      </w:r>
      <w:r w:rsidR="003758C7">
        <w:rPr>
          <w:b/>
          <w:bCs/>
          <w:lang w:val="en-AU"/>
        </w:rPr>
        <w:t xml:space="preserve">governance </w:t>
      </w:r>
      <w:r w:rsidR="001254DC">
        <w:rPr>
          <w:b/>
          <w:bCs/>
          <w:lang w:val="en-AU"/>
        </w:rPr>
        <w:t>parameters</w:t>
      </w:r>
    </w:p>
    <w:p w14:paraId="154EAC37" w14:textId="14BAAE77" w:rsidR="009F6F86" w:rsidRDefault="009F6F86" w:rsidP="00E92CE0">
      <w:pPr>
        <w:pBdr>
          <w:bottom w:val="single" w:sz="12" w:space="1" w:color="auto"/>
        </w:pBdr>
        <w:spacing w:after="0"/>
        <w:rPr>
          <w:b/>
          <w:bCs/>
          <w:lang w:val="en-AU"/>
        </w:rPr>
      </w:pPr>
    </w:p>
    <w:p w14:paraId="455223B7" w14:textId="77777777" w:rsidR="00C02250" w:rsidRPr="00C02250" w:rsidRDefault="00C02250" w:rsidP="00E92CE0">
      <w:pPr>
        <w:spacing w:after="0"/>
        <w:rPr>
          <w:lang w:val="en-AU"/>
        </w:rPr>
      </w:pPr>
    </w:p>
    <w:p w14:paraId="253BDB1A" w14:textId="77777777" w:rsidR="0019508E" w:rsidRDefault="0019508E" w:rsidP="00C02250">
      <w:pPr>
        <w:spacing w:after="0"/>
        <w:rPr>
          <w:b/>
          <w:bCs/>
          <w:caps/>
          <w:u w:val="single"/>
          <w:lang w:val="en-AU"/>
        </w:rPr>
      </w:pPr>
    </w:p>
    <w:p w14:paraId="1C495ADA" w14:textId="4804F389" w:rsidR="00A236A9" w:rsidRPr="005E465F" w:rsidRDefault="00C27498" w:rsidP="00E92CE0">
      <w:pPr>
        <w:spacing w:after="0"/>
        <w:rPr>
          <w:b/>
          <w:bCs/>
          <w:caps/>
          <w:u w:val="single"/>
          <w:lang w:val="en-AU"/>
        </w:rPr>
      </w:pPr>
      <w:r>
        <w:rPr>
          <w:b/>
          <w:bCs/>
          <w:caps/>
          <w:u w:val="single"/>
          <w:lang w:val="en-AU"/>
        </w:rPr>
        <w:t xml:space="preserve">supplementary </w:t>
      </w:r>
      <w:r w:rsidR="00C02250" w:rsidRPr="00DC28F9">
        <w:rPr>
          <w:b/>
          <w:bCs/>
          <w:caps/>
          <w:u w:val="single"/>
          <w:lang w:val="en-AU"/>
        </w:rPr>
        <w:t>Figure SI.</w:t>
      </w:r>
      <w:r w:rsidR="00B448AE">
        <w:rPr>
          <w:b/>
          <w:bCs/>
          <w:caps/>
          <w:u w:val="single"/>
          <w:lang w:val="en-AU"/>
        </w:rPr>
        <w:t>7</w:t>
      </w:r>
      <w:r w:rsidR="00C02250" w:rsidRPr="00DC28F9">
        <w:rPr>
          <w:b/>
          <w:bCs/>
          <w:caps/>
          <w:u w:val="single"/>
          <w:lang w:val="en-AU"/>
        </w:rPr>
        <w:t xml:space="preserve"> Sensitivity analysis results for </w:t>
      </w:r>
      <w:r w:rsidR="00097E23" w:rsidRPr="00DC28F9">
        <w:rPr>
          <w:b/>
          <w:bCs/>
          <w:caps/>
          <w:u w:val="single"/>
          <w:lang w:val="en-AU"/>
        </w:rPr>
        <w:t>‘Sustainability Transition’</w:t>
      </w:r>
      <w:r w:rsidR="00C02250" w:rsidRPr="00DC28F9">
        <w:rPr>
          <w:b/>
          <w:bCs/>
          <w:caps/>
          <w:u w:val="single"/>
          <w:lang w:val="en-AU"/>
        </w:rPr>
        <w:t xml:space="preserve"> scenario in 2030</w:t>
      </w:r>
    </w:p>
    <w:p w14:paraId="6F11A171" w14:textId="126B7087" w:rsidR="00C02250" w:rsidRDefault="00C02250" w:rsidP="00E92CE0">
      <w:pPr>
        <w:spacing w:after="0"/>
        <w:rPr>
          <w:b/>
          <w:bCs/>
          <w:lang w:val="en-AU"/>
        </w:rPr>
      </w:pPr>
    </w:p>
    <w:p w14:paraId="3EC8A3EA" w14:textId="317AE55B" w:rsidR="00C02250" w:rsidRPr="003D5A75" w:rsidRDefault="008466B3" w:rsidP="00E92CE0">
      <w:pPr>
        <w:spacing w:after="0"/>
        <w:rPr>
          <w:b/>
          <w:bCs/>
          <w:lang w:val="en-AU"/>
        </w:rPr>
      </w:pPr>
      <w:r w:rsidRPr="008466B3">
        <w:rPr>
          <w:b/>
          <w:bCs/>
          <w:noProof/>
        </w:rPr>
        <w:drawing>
          <wp:inline distT="0" distB="0" distL="0" distR="0" wp14:anchorId="52BD95EB" wp14:editId="2431B26F">
            <wp:extent cx="5731510" cy="2510790"/>
            <wp:effectExtent l="0" t="0" r="2540" b="3810"/>
            <wp:docPr id="7" name="Picture 3">
              <a:extLst xmlns:a="http://schemas.openxmlformats.org/drawingml/2006/main">
                <a:ext uri="{FF2B5EF4-FFF2-40B4-BE49-F238E27FC236}">
                  <a16:creationId xmlns:a16="http://schemas.microsoft.com/office/drawing/2014/main" id="{AD4FE8F1-4249-4EDD-A549-D736E20CD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D4FE8F1-4249-4EDD-A549-D736E20CDC94}"/>
                        </a:ext>
                      </a:extLst>
                    </pic:cNvPr>
                    <pic:cNvPicPr>
                      <a:picLocks noChangeAspect="1"/>
                    </pic:cNvPicPr>
                  </pic:nvPicPr>
                  <pic:blipFill>
                    <a:blip r:embed="rId39"/>
                    <a:stretch>
                      <a:fillRect/>
                    </a:stretch>
                  </pic:blipFill>
                  <pic:spPr>
                    <a:xfrm>
                      <a:off x="0" y="0"/>
                      <a:ext cx="5731510" cy="2510790"/>
                    </a:xfrm>
                    <a:prstGeom prst="rect">
                      <a:avLst/>
                    </a:prstGeom>
                  </pic:spPr>
                </pic:pic>
              </a:graphicData>
            </a:graphic>
          </wp:inline>
        </w:drawing>
      </w:r>
    </w:p>
    <w:p w14:paraId="62F1C390" w14:textId="6CBA65E8" w:rsidR="00097E23" w:rsidRDefault="00097E23" w:rsidP="00E92CE0">
      <w:pPr>
        <w:spacing w:after="0"/>
        <w:rPr>
          <w:b/>
          <w:bCs/>
          <w:lang w:val="en-AU"/>
        </w:rPr>
      </w:pPr>
      <w:r>
        <w:rPr>
          <w:b/>
          <w:bCs/>
          <w:lang w:val="en-AU"/>
        </w:rPr>
        <w:t>Figure SI.</w:t>
      </w:r>
      <w:r w:rsidR="00B448AE">
        <w:rPr>
          <w:b/>
          <w:bCs/>
          <w:lang w:val="en-AU"/>
        </w:rPr>
        <w:t>7</w:t>
      </w:r>
      <w:r>
        <w:rPr>
          <w:b/>
          <w:bCs/>
          <w:lang w:val="en-AU"/>
        </w:rPr>
        <w:t xml:space="preserve">a ‘ST’ sensitivity analysis results </w:t>
      </w:r>
      <w:r w:rsidR="00351021">
        <w:rPr>
          <w:b/>
          <w:bCs/>
          <w:lang w:val="en-AU"/>
        </w:rPr>
        <w:t>–</w:t>
      </w:r>
      <w:r>
        <w:rPr>
          <w:b/>
          <w:bCs/>
          <w:lang w:val="en-AU"/>
        </w:rPr>
        <w:t xml:space="preserve"> </w:t>
      </w:r>
      <w:r w:rsidR="00351021">
        <w:rPr>
          <w:b/>
          <w:bCs/>
          <w:lang w:val="en-AU"/>
        </w:rPr>
        <w:t>grants as share of GDP</w:t>
      </w:r>
    </w:p>
    <w:p w14:paraId="42ED70B4" w14:textId="2A099417" w:rsidR="00572618" w:rsidRDefault="00572618" w:rsidP="00E92CE0">
      <w:pPr>
        <w:spacing w:after="0"/>
        <w:rPr>
          <w:b/>
          <w:bCs/>
          <w:lang w:val="en-AU"/>
        </w:rPr>
      </w:pPr>
    </w:p>
    <w:p w14:paraId="4C830302" w14:textId="2289B836" w:rsidR="00572618" w:rsidRDefault="00572618" w:rsidP="00E92CE0">
      <w:pPr>
        <w:spacing w:after="0"/>
        <w:rPr>
          <w:b/>
          <w:bCs/>
          <w:lang w:val="en-AU"/>
        </w:rPr>
      </w:pPr>
    </w:p>
    <w:p w14:paraId="186CC0C4" w14:textId="3059A7E8" w:rsidR="003D5A75" w:rsidRDefault="005E13C2" w:rsidP="00E92CE0">
      <w:pPr>
        <w:spacing w:after="0"/>
        <w:rPr>
          <w:b/>
          <w:bCs/>
          <w:lang w:val="en-AU"/>
        </w:rPr>
      </w:pPr>
      <w:r w:rsidRPr="005E13C2">
        <w:rPr>
          <w:b/>
          <w:bCs/>
          <w:noProof/>
        </w:rPr>
        <w:drawing>
          <wp:inline distT="0" distB="0" distL="0" distR="0" wp14:anchorId="7A8B3A95" wp14:editId="16C49218">
            <wp:extent cx="5731510" cy="2511425"/>
            <wp:effectExtent l="0" t="0" r="2540" b="3175"/>
            <wp:docPr id="8" name="Picture 1">
              <a:extLst xmlns:a="http://schemas.openxmlformats.org/drawingml/2006/main">
                <a:ext uri="{FF2B5EF4-FFF2-40B4-BE49-F238E27FC236}">
                  <a16:creationId xmlns:a16="http://schemas.microsoft.com/office/drawing/2014/main" id="{D03D7A7D-5FE6-48AB-927C-74EBC8E78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03D7A7D-5FE6-48AB-927C-74EBC8E784C4}"/>
                        </a:ext>
                      </a:extLst>
                    </pic:cNvPr>
                    <pic:cNvPicPr>
                      <a:picLocks noChangeAspect="1"/>
                    </pic:cNvPicPr>
                  </pic:nvPicPr>
                  <pic:blipFill>
                    <a:blip r:embed="rId40"/>
                    <a:stretch>
                      <a:fillRect/>
                    </a:stretch>
                  </pic:blipFill>
                  <pic:spPr>
                    <a:xfrm>
                      <a:off x="0" y="0"/>
                      <a:ext cx="5731510" cy="2511425"/>
                    </a:xfrm>
                    <a:prstGeom prst="rect">
                      <a:avLst/>
                    </a:prstGeom>
                  </pic:spPr>
                </pic:pic>
              </a:graphicData>
            </a:graphic>
          </wp:inline>
        </w:drawing>
      </w:r>
    </w:p>
    <w:p w14:paraId="38B000A5" w14:textId="6892F24C" w:rsidR="003D5A75" w:rsidRDefault="003D5A75" w:rsidP="003D5A75">
      <w:pPr>
        <w:spacing w:after="0"/>
        <w:rPr>
          <w:b/>
          <w:bCs/>
          <w:lang w:val="en-AU"/>
        </w:rPr>
      </w:pPr>
      <w:r>
        <w:rPr>
          <w:b/>
          <w:bCs/>
          <w:lang w:val="en-AU"/>
        </w:rPr>
        <w:t>Figure SI.</w:t>
      </w:r>
      <w:r w:rsidR="00B448AE">
        <w:rPr>
          <w:b/>
          <w:bCs/>
          <w:lang w:val="en-AU"/>
        </w:rPr>
        <w:t>7</w:t>
      </w:r>
      <w:r>
        <w:rPr>
          <w:b/>
          <w:bCs/>
          <w:lang w:val="en-AU"/>
        </w:rPr>
        <w:t xml:space="preserve">b ‘ST’ sensitivity analysis results – governance </w:t>
      </w:r>
      <w:r w:rsidR="001254DC">
        <w:rPr>
          <w:b/>
          <w:bCs/>
          <w:lang w:val="en-AU"/>
        </w:rPr>
        <w:t>parameters</w:t>
      </w:r>
    </w:p>
    <w:p w14:paraId="1A83430D" w14:textId="77777777" w:rsidR="003D5A75" w:rsidRDefault="003D5A75" w:rsidP="00E92CE0">
      <w:pPr>
        <w:spacing w:after="0"/>
        <w:rPr>
          <w:b/>
          <w:bCs/>
          <w:lang w:val="en-AU"/>
        </w:rPr>
      </w:pPr>
    </w:p>
    <w:p w14:paraId="6A96615F" w14:textId="262278E4" w:rsidR="00572618" w:rsidRDefault="00572618" w:rsidP="00E92CE0">
      <w:pPr>
        <w:spacing w:after="0"/>
        <w:rPr>
          <w:b/>
          <w:bCs/>
          <w:lang w:val="en-AU"/>
        </w:rPr>
      </w:pPr>
    </w:p>
    <w:p w14:paraId="56E41D28" w14:textId="77777777" w:rsidR="0085593D" w:rsidRDefault="0085593D" w:rsidP="0085593D">
      <w:pPr>
        <w:pBdr>
          <w:bottom w:val="single" w:sz="12" w:space="1" w:color="auto"/>
        </w:pBdr>
        <w:spacing w:after="0"/>
        <w:rPr>
          <w:b/>
          <w:bCs/>
          <w:lang w:val="en-AU"/>
        </w:rPr>
      </w:pPr>
    </w:p>
    <w:p w14:paraId="083F6D96" w14:textId="77777777" w:rsidR="0085593D" w:rsidRPr="00C02250" w:rsidRDefault="0085593D" w:rsidP="0085593D">
      <w:pPr>
        <w:spacing w:after="0"/>
        <w:rPr>
          <w:lang w:val="en-AU"/>
        </w:rPr>
      </w:pPr>
    </w:p>
    <w:p w14:paraId="58E2A8F2" w14:textId="77777777" w:rsidR="002039DF" w:rsidRDefault="002039DF">
      <w:pPr>
        <w:rPr>
          <w:b/>
          <w:bCs/>
          <w:caps/>
          <w:u w:val="single"/>
          <w:lang w:val="en-AU"/>
        </w:rPr>
      </w:pPr>
      <w:r>
        <w:rPr>
          <w:b/>
          <w:bCs/>
          <w:caps/>
          <w:u w:val="single"/>
          <w:lang w:val="en-AU"/>
        </w:rPr>
        <w:br w:type="page"/>
      </w:r>
    </w:p>
    <w:p w14:paraId="045BD61B" w14:textId="33A505B3" w:rsidR="0085593D" w:rsidRPr="00DC28F9" w:rsidRDefault="00C27498" w:rsidP="0085593D">
      <w:pPr>
        <w:spacing w:after="0"/>
        <w:rPr>
          <w:b/>
          <w:bCs/>
          <w:caps/>
          <w:u w:val="single"/>
          <w:lang w:val="en-AU"/>
        </w:rPr>
      </w:pPr>
      <w:r>
        <w:rPr>
          <w:b/>
          <w:bCs/>
          <w:caps/>
          <w:u w:val="single"/>
          <w:lang w:val="en-AU"/>
        </w:rPr>
        <w:lastRenderedPageBreak/>
        <w:t xml:space="preserve">supplementary </w:t>
      </w:r>
      <w:r w:rsidR="0085593D" w:rsidRPr="00DC28F9">
        <w:rPr>
          <w:b/>
          <w:bCs/>
          <w:caps/>
          <w:u w:val="single"/>
          <w:lang w:val="en-AU"/>
        </w:rPr>
        <w:t>Figure SI.</w:t>
      </w:r>
      <w:r w:rsidR="00B448AE">
        <w:rPr>
          <w:b/>
          <w:bCs/>
          <w:caps/>
          <w:u w:val="single"/>
          <w:lang w:val="en-AU"/>
        </w:rPr>
        <w:t>8</w:t>
      </w:r>
      <w:r w:rsidR="0085593D" w:rsidRPr="00DC28F9">
        <w:rPr>
          <w:b/>
          <w:bCs/>
          <w:caps/>
          <w:u w:val="single"/>
          <w:lang w:val="en-AU"/>
        </w:rPr>
        <w:t xml:space="preserve"> Sensitivity analysis results for ‘</w:t>
      </w:r>
      <w:r w:rsidR="0085593D">
        <w:rPr>
          <w:b/>
          <w:bCs/>
          <w:caps/>
          <w:u w:val="single"/>
          <w:lang w:val="en-AU"/>
        </w:rPr>
        <w:t>ST_CLIMATE</w:t>
      </w:r>
      <w:r w:rsidR="0085593D" w:rsidRPr="00DC28F9">
        <w:rPr>
          <w:b/>
          <w:bCs/>
          <w:caps/>
          <w:u w:val="single"/>
          <w:lang w:val="en-AU"/>
        </w:rPr>
        <w:t>’ scenario in 2030</w:t>
      </w:r>
    </w:p>
    <w:p w14:paraId="13849494" w14:textId="3DB50470" w:rsidR="00572618" w:rsidRDefault="00572618" w:rsidP="00E92CE0">
      <w:pPr>
        <w:spacing w:after="0"/>
        <w:rPr>
          <w:b/>
          <w:bCs/>
          <w:lang w:val="en-AU"/>
        </w:rPr>
      </w:pPr>
    </w:p>
    <w:p w14:paraId="64782403" w14:textId="3CA5683C" w:rsidR="0085593D" w:rsidRDefault="00574A50" w:rsidP="00E92CE0">
      <w:pPr>
        <w:spacing w:after="0"/>
        <w:rPr>
          <w:b/>
          <w:bCs/>
          <w:lang w:val="en-AU"/>
        </w:rPr>
      </w:pPr>
      <w:r w:rsidRPr="00574A50">
        <w:rPr>
          <w:b/>
          <w:bCs/>
          <w:noProof/>
        </w:rPr>
        <w:drawing>
          <wp:inline distT="0" distB="0" distL="0" distR="0" wp14:anchorId="309C8D6E" wp14:editId="13E4F2E8">
            <wp:extent cx="5731510" cy="2510790"/>
            <wp:effectExtent l="0" t="0" r="2540" b="3810"/>
            <wp:docPr id="11" name="Picture 3">
              <a:extLst xmlns:a="http://schemas.openxmlformats.org/drawingml/2006/main">
                <a:ext uri="{FF2B5EF4-FFF2-40B4-BE49-F238E27FC236}">
                  <a16:creationId xmlns:a16="http://schemas.microsoft.com/office/drawing/2014/main" id="{4A953A7B-91E6-4759-A0E7-4AEBC4916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953A7B-91E6-4759-A0E7-4AEBC4916B0F}"/>
                        </a:ext>
                      </a:extLst>
                    </pic:cNvPr>
                    <pic:cNvPicPr>
                      <a:picLocks noChangeAspect="1"/>
                    </pic:cNvPicPr>
                  </pic:nvPicPr>
                  <pic:blipFill>
                    <a:blip r:embed="rId41"/>
                    <a:stretch>
                      <a:fillRect/>
                    </a:stretch>
                  </pic:blipFill>
                  <pic:spPr>
                    <a:xfrm>
                      <a:off x="0" y="0"/>
                      <a:ext cx="5731510" cy="2510790"/>
                    </a:xfrm>
                    <a:prstGeom prst="rect">
                      <a:avLst/>
                    </a:prstGeom>
                  </pic:spPr>
                </pic:pic>
              </a:graphicData>
            </a:graphic>
          </wp:inline>
        </w:drawing>
      </w:r>
    </w:p>
    <w:p w14:paraId="7C0BFA33" w14:textId="7500463F" w:rsidR="008006E7" w:rsidRDefault="008006E7" w:rsidP="008006E7">
      <w:pPr>
        <w:spacing w:after="0"/>
        <w:rPr>
          <w:b/>
          <w:bCs/>
          <w:lang w:val="en-AU"/>
        </w:rPr>
      </w:pPr>
      <w:r>
        <w:rPr>
          <w:b/>
          <w:bCs/>
          <w:lang w:val="en-AU"/>
        </w:rPr>
        <w:t>Figure SI.</w:t>
      </w:r>
      <w:r w:rsidR="00B448AE">
        <w:rPr>
          <w:b/>
          <w:bCs/>
          <w:lang w:val="en-AU"/>
        </w:rPr>
        <w:t>8</w:t>
      </w:r>
      <w:r>
        <w:rPr>
          <w:b/>
          <w:bCs/>
          <w:lang w:val="en-AU"/>
        </w:rPr>
        <w:t>a ‘ST_CLIMATE’ sensitivity analysis results – grants as share of GDP</w:t>
      </w:r>
    </w:p>
    <w:p w14:paraId="6C6707AC" w14:textId="77777777" w:rsidR="008006E7" w:rsidRDefault="008006E7" w:rsidP="008006E7">
      <w:pPr>
        <w:spacing w:after="0"/>
        <w:rPr>
          <w:b/>
          <w:bCs/>
          <w:lang w:val="en-AU"/>
        </w:rPr>
      </w:pPr>
    </w:p>
    <w:p w14:paraId="6698186D" w14:textId="77777777" w:rsidR="008006E7" w:rsidRDefault="008006E7" w:rsidP="008006E7">
      <w:pPr>
        <w:spacing w:after="0"/>
        <w:rPr>
          <w:b/>
          <w:bCs/>
          <w:lang w:val="en-AU"/>
        </w:rPr>
      </w:pPr>
    </w:p>
    <w:p w14:paraId="0AFF4C67" w14:textId="0EC08C7D" w:rsidR="008006E7" w:rsidRDefault="00F71346" w:rsidP="008006E7">
      <w:pPr>
        <w:spacing w:after="0"/>
        <w:rPr>
          <w:b/>
          <w:bCs/>
          <w:lang w:val="en-AU"/>
        </w:rPr>
      </w:pPr>
      <w:r w:rsidRPr="00F71346">
        <w:rPr>
          <w:b/>
          <w:bCs/>
          <w:noProof/>
        </w:rPr>
        <w:drawing>
          <wp:inline distT="0" distB="0" distL="0" distR="0" wp14:anchorId="0BDA6005" wp14:editId="11C773F9">
            <wp:extent cx="5731510" cy="2510790"/>
            <wp:effectExtent l="0" t="0" r="2540" b="3810"/>
            <wp:docPr id="13" name="Picture 3">
              <a:extLst xmlns:a="http://schemas.openxmlformats.org/drawingml/2006/main">
                <a:ext uri="{FF2B5EF4-FFF2-40B4-BE49-F238E27FC236}">
                  <a16:creationId xmlns:a16="http://schemas.microsoft.com/office/drawing/2014/main" id="{C0B9E532-CE30-464C-94CE-B391FA958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0B9E532-CE30-464C-94CE-B391FA958954}"/>
                        </a:ext>
                      </a:extLst>
                    </pic:cNvPr>
                    <pic:cNvPicPr>
                      <a:picLocks noChangeAspect="1"/>
                    </pic:cNvPicPr>
                  </pic:nvPicPr>
                  <pic:blipFill>
                    <a:blip r:embed="rId42"/>
                    <a:stretch>
                      <a:fillRect/>
                    </a:stretch>
                  </pic:blipFill>
                  <pic:spPr>
                    <a:xfrm>
                      <a:off x="0" y="0"/>
                      <a:ext cx="5731510" cy="2510790"/>
                    </a:xfrm>
                    <a:prstGeom prst="rect">
                      <a:avLst/>
                    </a:prstGeom>
                  </pic:spPr>
                </pic:pic>
              </a:graphicData>
            </a:graphic>
          </wp:inline>
        </w:drawing>
      </w:r>
    </w:p>
    <w:p w14:paraId="728A64EE" w14:textId="0DFCD3E8" w:rsidR="008006E7" w:rsidRDefault="008006E7" w:rsidP="008006E7">
      <w:pPr>
        <w:spacing w:after="0"/>
        <w:rPr>
          <w:b/>
          <w:bCs/>
          <w:lang w:val="en-AU"/>
        </w:rPr>
      </w:pPr>
      <w:r>
        <w:rPr>
          <w:b/>
          <w:bCs/>
          <w:lang w:val="en-AU"/>
        </w:rPr>
        <w:t>Figure SI.</w:t>
      </w:r>
      <w:r w:rsidR="00B448AE">
        <w:rPr>
          <w:b/>
          <w:bCs/>
          <w:lang w:val="en-AU"/>
        </w:rPr>
        <w:t>8</w:t>
      </w:r>
      <w:r>
        <w:rPr>
          <w:b/>
          <w:bCs/>
          <w:lang w:val="en-AU"/>
        </w:rPr>
        <w:t xml:space="preserve">b ‘ST_CLIMATE’ sensitivity analysis results – governance </w:t>
      </w:r>
      <w:r w:rsidR="001254DC">
        <w:rPr>
          <w:b/>
          <w:bCs/>
          <w:lang w:val="en-AU"/>
        </w:rPr>
        <w:t>parameters</w:t>
      </w:r>
    </w:p>
    <w:p w14:paraId="5BFB5C30" w14:textId="023D053E" w:rsidR="0085593D" w:rsidRDefault="0085593D" w:rsidP="00E92CE0">
      <w:pPr>
        <w:spacing w:after="0"/>
        <w:rPr>
          <w:b/>
          <w:bCs/>
          <w:lang w:val="en-AU"/>
        </w:rPr>
      </w:pPr>
    </w:p>
    <w:p w14:paraId="41494E4D" w14:textId="77777777" w:rsidR="00773761" w:rsidRDefault="00773761" w:rsidP="00773761">
      <w:pPr>
        <w:pBdr>
          <w:bottom w:val="single" w:sz="12" w:space="1" w:color="auto"/>
        </w:pBdr>
        <w:spacing w:after="0"/>
        <w:rPr>
          <w:b/>
          <w:bCs/>
          <w:lang w:val="en-AU"/>
        </w:rPr>
      </w:pPr>
    </w:p>
    <w:p w14:paraId="344DB9F6" w14:textId="77777777" w:rsidR="00773761" w:rsidRPr="00C02250" w:rsidRDefault="00773761" w:rsidP="00773761">
      <w:pPr>
        <w:spacing w:after="0"/>
        <w:rPr>
          <w:lang w:val="en-AU"/>
        </w:rPr>
      </w:pPr>
    </w:p>
    <w:p w14:paraId="3DAC3607" w14:textId="77777777" w:rsidR="002039DF" w:rsidRDefault="002039DF">
      <w:pPr>
        <w:rPr>
          <w:b/>
          <w:bCs/>
          <w:caps/>
          <w:u w:val="single"/>
          <w:lang w:val="en-AU"/>
        </w:rPr>
      </w:pPr>
      <w:r>
        <w:rPr>
          <w:b/>
          <w:bCs/>
          <w:caps/>
          <w:u w:val="single"/>
          <w:lang w:val="en-AU"/>
        </w:rPr>
        <w:br w:type="page"/>
      </w:r>
    </w:p>
    <w:p w14:paraId="24E3F1FA" w14:textId="18DED8B1" w:rsidR="00773761" w:rsidRPr="00DC28F9" w:rsidRDefault="00C27498" w:rsidP="00773761">
      <w:pPr>
        <w:spacing w:after="0"/>
        <w:rPr>
          <w:b/>
          <w:bCs/>
          <w:caps/>
          <w:u w:val="single"/>
          <w:lang w:val="en-AU"/>
        </w:rPr>
      </w:pPr>
      <w:r>
        <w:rPr>
          <w:b/>
          <w:bCs/>
          <w:caps/>
          <w:u w:val="single"/>
          <w:lang w:val="en-AU"/>
        </w:rPr>
        <w:lastRenderedPageBreak/>
        <w:t xml:space="preserve">supplementary </w:t>
      </w:r>
      <w:r w:rsidR="00773761" w:rsidRPr="00DC28F9">
        <w:rPr>
          <w:b/>
          <w:bCs/>
          <w:caps/>
          <w:u w:val="single"/>
          <w:lang w:val="en-AU"/>
        </w:rPr>
        <w:t>Figure SI.</w:t>
      </w:r>
      <w:r w:rsidR="00B448AE">
        <w:rPr>
          <w:b/>
          <w:bCs/>
          <w:caps/>
          <w:u w:val="single"/>
          <w:lang w:val="en-AU"/>
        </w:rPr>
        <w:t>9</w:t>
      </w:r>
      <w:r w:rsidR="00773761" w:rsidRPr="00DC28F9">
        <w:rPr>
          <w:b/>
          <w:bCs/>
          <w:caps/>
          <w:u w:val="single"/>
          <w:lang w:val="en-AU"/>
        </w:rPr>
        <w:t xml:space="preserve"> Sensitivity analysis results for ‘</w:t>
      </w:r>
      <w:r w:rsidR="00773761">
        <w:rPr>
          <w:b/>
          <w:bCs/>
          <w:caps/>
          <w:u w:val="single"/>
          <w:lang w:val="en-AU"/>
        </w:rPr>
        <w:t>ST_SDG</w:t>
      </w:r>
      <w:r w:rsidR="00773761" w:rsidRPr="00DC28F9">
        <w:rPr>
          <w:b/>
          <w:bCs/>
          <w:caps/>
          <w:u w:val="single"/>
          <w:lang w:val="en-AU"/>
        </w:rPr>
        <w:t>’ scenario in 2030</w:t>
      </w:r>
    </w:p>
    <w:p w14:paraId="79FEDBF5" w14:textId="6391BADB" w:rsidR="00773761" w:rsidRDefault="00773761" w:rsidP="00E92CE0">
      <w:pPr>
        <w:spacing w:after="0"/>
        <w:rPr>
          <w:b/>
          <w:bCs/>
          <w:lang w:val="en-AU"/>
        </w:rPr>
      </w:pPr>
    </w:p>
    <w:p w14:paraId="3FFD2ADB" w14:textId="3DB4274B" w:rsidR="009E2B60" w:rsidRDefault="009E2B60" w:rsidP="00773761">
      <w:pPr>
        <w:rPr>
          <w:b/>
          <w:bCs/>
          <w:lang w:val="en-AU"/>
        </w:rPr>
      </w:pPr>
      <w:r w:rsidRPr="009E2B60">
        <w:rPr>
          <w:b/>
          <w:bCs/>
          <w:noProof/>
        </w:rPr>
        <w:drawing>
          <wp:inline distT="0" distB="0" distL="0" distR="0" wp14:anchorId="43544C47" wp14:editId="75337166">
            <wp:extent cx="5731510" cy="2510790"/>
            <wp:effectExtent l="0" t="0" r="2540" b="3810"/>
            <wp:docPr id="16" name="Picture 3">
              <a:extLst xmlns:a="http://schemas.openxmlformats.org/drawingml/2006/main">
                <a:ext uri="{FF2B5EF4-FFF2-40B4-BE49-F238E27FC236}">
                  <a16:creationId xmlns:a16="http://schemas.microsoft.com/office/drawing/2014/main" id="{B9A22EDF-50E6-441E-861C-C206EAB23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A22EDF-50E6-441E-861C-C206EAB23576}"/>
                        </a:ext>
                      </a:extLst>
                    </pic:cNvPr>
                    <pic:cNvPicPr>
                      <a:picLocks noChangeAspect="1"/>
                    </pic:cNvPicPr>
                  </pic:nvPicPr>
                  <pic:blipFill>
                    <a:blip r:embed="rId43"/>
                    <a:stretch>
                      <a:fillRect/>
                    </a:stretch>
                  </pic:blipFill>
                  <pic:spPr>
                    <a:xfrm>
                      <a:off x="0" y="0"/>
                      <a:ext cx="5731510" cy="2510790"/>
                    </a:xfrm>
                    <a:prstGeom prst="rect">
                      <a:avLst/>
                    </a:prstGeom>
                  </pic:spPr>
                </pic:pic>
              </a:graphicData>
            </a:graphic>
          </wp:inline>
        </w:drawing>
      </w:r>
    </w:p>
    <w:p w14:paraId="646150D4" w14:textId="021BB0C4" w:rsidR="00773761" w:rsidRDefault="00773761" w:rsidP="00773761">
      <w:pPr>
        <w:spacing w:after="0"/>
        <w:rPr>
          <w:b/>
          <w:bCs/>
          <w:lang w:val="en-AU"/>
        </w:rPr>
      </w:pPr>
      <w:r>
        <w:rPr>
          <w:b/>
          <w:bCs/>
          <w:lang w:val="en-AU"/>
        </w:rPr>
        <w:t>Figure SI.</w:t>
      </w:r>
      <w:r w:rsidR="00B448AE">
        <w:rPr>
          <w:b/>
          <w:bCs/>
          <w:lang w:val="en-AU"/>
        </w:rPr>
        <w:t>9</w:t>
      </w:r>
      <w:r>
        <w:rPr>
          <w:b/>
          <w:bCs/>
          <w:lang w:val="en-AU"/>
        </w:rPr>
        <w:t>a ‘ST_SDG’ sensitivity analysis results – grants as share of GDP</w:t>
      </w:r>
    </w:p>
    <w:p w14:paraId="0ECBF32D" w14:textId="413CB920" w:rsidR="00773761" w:rsidRDefault="00773761" w:rsidP="00773761">
      <w:pPr>
        <w:spacing w:after="0"/>
        <w:rPr>
          <w:b/>
          <w:bCs/>
          <w:lang w:val="en-AU"/>
        </w:rPr>
      </w:pPr>
    </w:p>
    <w:p w14:paraId="5196C7CE" w14:textId="714284B9" w:rsidR="00773761" w:rsidRDefault="00773761" w:rsidP="00773761">
      <w:pPr>
        <w:spacing w:after="0"/>
        <w:rPr>
          <w:b/>
          <w:bCs/>
          <w:lang w:val="en-AU"/>
        </w:rPr>
      </w:pPr>
    </w:p>
    <w:p w14:paraId="5EAD9969" w14:textId="70201CBD" w:rsidR="00E22AAA" w:rsidRDefault="00E22AAA" w:rsidP="00773761">
      <w:pPr>
        <w:spacing w:after="0"/>
        <w:rPr>
          <w:b/>
          <w:bCs/>
          <w:lang w:val="en-AU"/>
        </w:rPr>
      </w:pPr>
      <w:r w:rsidRPr="00E22AAA">
        <w:rPr>
          <w:b/>
          <w:bCs/>
          <w:noProof/>
        </w:rPr>
        <w:drawing>
          <wp:inline distT="0" distB="0" distL="0" distR="0" wp14:anchorId="1AFB7B1E" wp14:editId="689FB702">
            <wp:extent cx="5731510" cy="2510790"/>
            <wp:effectExtent l="0" t="0" r="2540" b="3810"/>
            <wp:docPr id="17" name="Picture 1">
              <a:extLst xmlns:a="http://schemas.openxmlformats.org/drawingml/2006/main">
                <a:ext uri="{FF2B5EF4-FFF2-40B4-BE49-F238E27FC236}">
                  <a16:creationId xmlns:a16="http://schemas.microsoft.com/office/drawing/2014/main" id="{C23C51FC-F4E2-45BF-93C7-6B1734F5B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3C51FC-F4E2-45BF-93C7-6B1734F5B21D}"/>
                        </a:ext>
                      </a:extLst>
                    </pic:cNvPr>
                    <pic:cNvPicPr>
                      <a:picLocks noChangeAspect="1"/>
                    </pic:cNvPicPr>
                  </pic:nvPicPr>
                  <pic:blipFill>
                    <a:blip r:embed="rId44"/>
                    <a:stretch>
                      <a:fillRect/>
                    </a:stretch>
                  </pic:blipFill>
                  <pic:spPr>
                    <a:xfrm>
                      <a:off x="0" y="0"/>
                      <a:ext cx="5731510" cy="2510790"/>
                    </a:xfrm>
                    <a:prstGeom prst="rect">
                      <a:avLst/>
                    </a:prstGeom>
                  </pic:spPr>
                </pic:pic>
              </a:graphicData>
            </a:graphic>
          </wp:inline>
        </w:drawing>
      </w:r>
    </w:p>
    <w:p w14:paraId="0466B8E6" w14:textId="222A2EFB" w:rsidR="00773761" w:rsidRDefault="00773761" w:rsidP="00773761">
      <w:pPr>
        <w:spacing w:after="0"/>
        <w:rPr>
          <w:b/>
          <w:bCs/>
          <w:lang w:val="en-AU"/>
        </w:rPr>
      </w:pPr>
      <w:r>
        <w:rPr>
          <w:b/>
          <w:bCs/>
          <w:lang w:val="en-AU"/>
        </w:rPr>
        <w:t>Figure SI.</w:t>
      </w:r>
      <w:r w:rsidR="00B448AE">
        <w:rPr>
          <w:b/>
          <w:bCs/>
          <w:lang w:val="en-AU"/>
        </w:rPr>
        <w:t>9</w:t>
      </w:r>
      <w:r>
        <w:rPr>
          <w:b/>
          <w:bCs/>
          <w:lang w:val="en-AU"/>
        </w:rPr>
        <w:t>b ‘ST_SDG’ sensitivity analysis results – governance indicator score targets</w:t>
      </w:r>
    </w:p>
    <w:p w14:paraId="71910B09" w14:textId="0FB2F8B1" w:rsidR="00773761" w:rsidRDefault="00773761" w:rsidP="00773761">
      <w:pPr>
        <w:rPr>
          <w:b/>
          <w:bCs/>
          <w:lang w:val="en-AU"/>
        </w:rPr>
      </w:pPr>
    </w:p>
    <w:p w14:paraId="5FFB4B2E" w14:textId="6015A3F3" w:rsidR="002131B7" w:rsidRDefault="002131B7">
      <w:pPr>
        <w:rPr>
          <w:b/>
          <w:bCs/>
          <w:lang w:val="en-AU"/>
        </w:rPr>
      </w:pPr>
      <w:r>
        <w:rPr>
          <w:b/>
          <w:bCs/>
          <w:lang w:val="en-AU"/>
        </w:rPr>
        <w:br w:type="page"/>
      </w:r>
    </w:p>
    <w:p w14:paraId="1F10C042" w14:textId="7EE75D4A" w:rsidR="002131B7" w:rsidRPr="00DC28F9" w:rsidRDefault="002131B7" w:rsidP="002131B7">
      <w:pPr>
        <w:spacing w:after="0"/>
        <w:rPr>
          <w:b/>
          <w:bCs/>
          <w:caps/>
          <w:u w:val="single"/>
          <w:lang w:val="en-AU"/>
        </w:rPr>
      </w:pPr>
      <w:r>
        <w:rPr>
          <w:b/>
          <w:bCs/>
          <w:caps/>
          <w:u w:val="single"/>
          <w:lang w:val="en-AU"/>
        </w:rPr>
        <w:lastRenderedPageBreak/>
        <w:t xml:space="preserve">supplementary </w:t>
      </w:r>
      <w:r w:rsidRPr="00DC28F9">
        <w:rPr>
          <w:b/>
          <w:bCs/>
          <w:caps/>
          <w:u w:val="single"/>
          <w:lang w:val="en-AU"/>
        </w:rPr>
        <w:t>Figure SI.</w:t>
      </w:r>
      <w:r w:rsidR="00555099">
        <w:rPr>
          <w:b/>
          <w:bCs/>
          <w:caps/>
          <w:u w:val="single"/>
          <w:lang w:val="en-AU"/>
        </w:rPr>
        <w:t>10</w:t>
      </w:r>
      <w:r w:rsidRPr="00DC28F9">
        <w:rPr>
          <w:b/>
          <w:bCs/>
          <w:caps/>
          <w:u w:val="single"/>
          <w:lang w:val="en-AU"/>
        </w:rPr>
        <w:t xml:space="preserve"> </w:t>
      </w:r>
      <w:r w:rsidR="0064531A">
        <w:rPr>
          <w:b/>
          <w:bCs/>
          <w:caps/>
          <w:u w:val="single"/>
          <w:lang w:val="en-AU"/>
        </w:rPr>
        <w:t>Extreme conditions tests</w:t>
      </w:r>
      <w:r w:rsidRPr="00DC28F9">
        <w:rPr>
          <w:b/>
          <w:bCs/>
          <w:caps/>
          <w:u w:val="single"/>
          <w:lang w:val="en-AU"/>
        </w:rPr>
        <w:t xml:space="preserve"> for ‘</w:t>
      </w:r>
      <w:r>
        <w:rPr>
          <w:b/>
          <w:bCs/>
          <w:caps/>
          <w:u w:val="single"/>
          <w:lang w:val="en-AU"/>
        </w:rPr>
        <w:t>ST_SDG</w:t>
      </w:r>
      <w:r w:rsidRPr="00DC28F9">
        <w:rPr>
          <w:b/>
          <w:bCs/>
          <w:caps/>
          <w:u w:val="single"/>
          <w:lang w:val="en-AU"/>
        </w:rPr>
        <w:t>’ scenario in 2030</w:t>
      </w:r>
    </w:p>
    <w:p w14:paraId="393F951E" w14:textId="289A74B5" w:rsidR="001A161E" w:rsidRPr="0064531A" w:rsidRDefault="0064531A" w:rsidP="00773761">
      <w:pPr>
        <w:rPr>
          <w:lang w:val="en-AU"/>
        </w:rPr>
      </w:pPr>
      <w:r>
        <w:rPr>
          <w:lang w:val="en-AU"/>
        </w:rPr>
        <w:t xml:space="preserve">The extreme conditions tests simulated the ‘ST_SDG’ scenario maintaining all scenario settings and assumptions except the assumption for additional </w:t>
      </w:r>
      <w:r w:rsidR="00DA5DA5">
        <w:rPr>
          <w:lang w:val="en-AU"/>
        </w:rPr>
        <w:t>grants, which were reduced by 50% (‘S</w:t>
      </w:r>
      <w:r w:rsidR="005D1BC9">
        <w:rPr>
          <w:lang w:val="en-AU"/>
        </w:rPr>
        <w:t>4</w:t>
      </w:r>
      <w:r w:rsidR="00DA5DA5">
        <w:rPr>
          <w:lang w:val="en-AU"/>
        </w:rPr>
        <w:t>_SDG_half grants’) and 100% (‘S</w:t>
      </w:r>
      <w:r w:rsidR="005D1BC9">
        <w:rPr>
          <w:lang w:val="en-AU"/>
        </w:rPr>
        <w:t>4</w:t>
      </w:r>
      <w:r w:rsidR="00DA5DA5">
        <w:rPr>
          <w:lang w:val="en-AU"/>
        </w:rPr>
        <w:t xml:space="preserve">_SDG_no_grants’), respectively. This shows the sustainability of the ‘ST_SDG’ scenario in the absence of additional financial assistance in the form of grants. </w:t>
      </w:r>
    </w:p>
    <w:p w14:paraId="4F3A7A10" w14:textId="434F8BE1" w:rsidR="0064531A" w:rsidRDefault="0064531A" w:rsidP="00ED11B6">
      <w:pPr>
        <w:spacing w:after="0"/>
        <w:rPr>
          <w:b/>
          <w:bCs/>
          <w:lang w:val="en-AU"/>
        </w:rPr>
      </w:pPr>
      <w:r>
        <w:rPr>
          <w:noProof/>
        </w:rPr>
        <w:drawing>
          <wp:inline distT="0" distB="0" distL="0" distR="0" wp14:anchorId="75FE9DD7" wp14:editId="19FCF30E">
            <wp:extent cx="5433060" cy="3390900"/>
            <wp:effectExtent l="0" t="0" r="0" b="0"/>
            <wp:docPr id="9" name="Chart 9">
              <a:extLst xmlns:a="http://schemas.openxmlformats.org/drawingml/2006/main">
                <a:ext uri="{FF2B5EF4-FFF2-40B4-BE49-F238E27FC236}">
                  <a16:creationId xmlns:a16="http://schemas.microsoft.com/office/drawing/2014/main" id="{FA9E931E-7FF9-456B-A105-6C5DE2EC0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CC46BE" w14:textId="4AF06FCD" w:rsidR="001A161E" w:rsidRDefault="0064531A" w:rsidP="00773761">
      <w:pPr>
        <w:rPr>
          <w:b/>
          <w:bCs/>
          <w:lang w:val="en-AU"/>
        </w:rPr>
      </w:pPr>
      <w:r>
        <w:rPr>
          <w:b/>
          <w:bCs/>
          <w:lang w:val="en-AU"/>
        </w:rPr>
        <w:t xml:space="preserve">Figure </w:t>
      </w:r>
      <w:r w:rsidR="00ED11B6">
        <w:rPr>
          <w:b/>
          <w:bCs/>
          <w:lang w:val="en-AU"/>
        </w:rPr>
        <w:t>SI.</w:t>
      </w:r>
      <w:r w:rsidR="00555099">
        <w:rPr>
          <w:b/>
          <w:bCs/>
          <w:lang w:val="en-AU"/>
        </w:rPr>
        <w:t>10</w:t>
      </w:r>
      <w:r w:rsidR="00ED11B6">
        <w:rPr>
          <w:b/>
          <w:bCs/>
          <w:lang w:val="en-AU"/>
        </w:rPr>
        <w:t>a</w:t>
      </w:r>
      <w:r w:rsidR="00393DBE">
        <w:rPr>
          <w:b/>
          <w:bCs/>
          <w:lang w:val="en-AU"/>
        </w:rPr>
        <w:t xml:space="preserve"> Real GDP projection for 2030, including simulation </w:t>
      </w:r>
      <w:r w:rsidR="00602722">
        <w:rPr>
          <w:b/>
          <w:bCs/>
          <w:lang w:val="en-AU"/>
        </w:rPr>
        <w:t>results</w:t>
      </w:r>
      <w:r w:rsidR="00ED11B6">
        <w:rPr>
          <w:b/>
          <w:bCs/>
          <w:lang w:val="en-AU"/>
        </w:rPr>
        <w:t xml:space="preserve"> for</w:t>
      </w:r>
      <w:r w:rsidR="00602722">
        <w:rPr>
          <w:b/>
          <w:bCs/>
          <w:lang w:val="en-AU"/>
        </w:rPr>
        <w:t xml:space="preserve"> </w:t>
      </w:r>
      <w:r w:rsidR="00602722" w:rsidRPr="00393DBE">
        <w:rPr>
          <w:b/>
          <w:bCs/>
          <w:lang w:val="en-AU"/>
        </w:rPr>
        <w:t>‘ST_SDG_half grants’</w:t>
      </w:r>
      <w:r w:rsidR="00393DBE" w:rsidRPr="00393DBE">
        <w:rPr>
          <w:b/>
          <w:bCs/>
          <w:lang w:val="en-AU"/>
        </w:rPr>
        <w:t xml:space="preserve"> </w:t>
      </w:r>
      <w:r w:rsidR="00602722" w:rsidRPr="00393DBE">
        <w:rPr>
          <w:b/>
          <w:bCs/>
          <w:lang w:val="en-AU"/>
        </w:rPr>
        <w:t>‘ST_SDG_no_grants’</w:t>
      </w:r>
      <w:r w:rsidR="00393DBE">
        <w:rPr>
          <w:b/>
          <w:bCs/>
          <w:lang w:val="en-AU"/>
        </w:rPr>
        <w:t xml:space="preserve"> s</w:t>
      </w:r>
      <w:r w:rsidR="00ED11B6">
        <w:rPr>
          <w:b/>
          <w:bCs/>
          <w:lang w:val="en-AU"/>
        </w:rPr>
        <w:t>imulations</w:t>
      </w:r>
    </w:p>
    <w:p w14:paraId="73E61F88" w14:textId="77777777" w:rsidR="00ED11B6" w:rsidRDefault="00ED11B6" w:rsidP="00ED11B6">
      <w:pPr>
        <w:spacing w:after="0"/>
        <w:rPr>
          <w:b/>
          <w:bCs/>
          <w:lang w:val="en-AU"/>
        </w:rPr>
      </w:pPr>
      <w:r>
        <w:rPr>
          <w:noProof/>
        </w:rPr>
        <w:drawing>
          <wp:inline distT="0" distB="0" distL="0" distR="0" wp14:anchorId="19089E1A" wp14:editId="7E65B38F">
            <wp:extent cx="5539105" cy="3349256"/>
            <wp:effectExtent l="0" t="0" r="4445" b="3810"/>
            <wp:docPr id="10" name="Chart 10">
              <a:extLst xmlns:a="http://schemas.openxmlformats.org/drawingml/2006/main">
                <a:ext uri="{FF2B5EF4-FFF2-40B4-BE49-F238E27FC236}">
                  <a16:creationId xmlns:a16="http://schemas.microsoft.com/office/drawing/2014/main" id="{BF0300C9-4105-4BEF-8C38-B7A81A2DF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5499BE" w14:textId="3326EE8E" w:rsidR="00ED11B6" w:rsidRDefault="00ED11B6" w:rsidP="00ED11B6">
      <w:pPr>
        <w:rPr>
          <w:b/>
          <w:bCs/>
          <w:lang w:val="en-AU"/>
        </w:rPr>
      </w:pPr>
      <w:r>
        <w:rPr>
          <w:b/>
          <w:bCs/>
          <w:lang w:val="en-AU"/>
        </w:rPr>
        <w:t>Figure SI.</w:t>
      </w:r>
      <w:r w:rsidR="00555099">
        <w:rPr>
          <w:b/>
          <w:bCs/>
          <w:lang w:val="en-AU"/>
        </w:rPr>
        <w:t>10</w:t>
      </w:r>
      <w:r w:rsidR="00B848AE">
        <w:rPr>
          <w:b/>
          <w:bCs/>
          <w:lang w:val="en-AU"/>
        </w:rPr>
        <w:t>b</w:t>
      </w:r>
      <w:r>
        <w:rPr>
          <w:b/>
          <w:bCs/>
          <w:lang w:val="en-AU"/>
        </w:rPr>
        <w:t xml:space="preserve"> Debt-to-GDP projection for 2030, including simulation results for </w:t>
      </w:r>
      <w:r w:rsidRPr="00393DBE">
        <w:rPr>
          <w:b/>
          <w:bCs/>
          <w:lang w:val="en-AU"/>
        </w:rPr>
        <w:t>‘ST_SDG_half grants’ ‘ST_SDG_no_grants’</w:t>
      </w:r>
      <w:r>
        <w:rPr>
          <w:b/>
          <w:bCs/>
          <w:lang w:val="en-AU"/>
        </w:rPr>
        <w:t xml:space="preserve"> simulations</w:t>
      </w:r>
    </w:p>
    <w:p w14:paraId="78FF74BE" w14:textId="110AF9D5" w:rsidR="00B848AE" w:rsidRDefault="00B848AE" w:rsidP="00B848AE">
      <w:pPr>
        <w:spacing w:after="0"/>
        <w:rPr>
          <w:b/>
          <w:bCs/>
          <w:lang w:val="en-AU"/>
        </w:rPr>
      </w:pPr>
      <w:r>
        <w:rPr>
          <w:noProof/>
        </w:rPr>
        <w:lastRenderedPageBreak/>
        <w:drawing>
          <wp:inline distT="0" distB="0" distL="0" distR="0" wp14:anchorId="0C7A25E4" wp14:editId="450C4ACF">
            <wp:extent cx="5570220" cy="3848100"/>
            <wp:effectExtent l="0" t="0" r="11430" b="0"/>
            <wp:docPr id="15" name="Chart 15">
              <a:extLst xmlns:a="http://schemas.openxmlformats.org/drawingml/2006/main">
                <a:ext uri="{FF2B5EF4-FFF2-40B4-BE49-F238E27FC236}">
                  <a16:creationId xmlns:a16="http://schemas.microsoft.com/office/drawing/2014/main" id="{B292422F-AD65-4BF7-BCF0-9B66F799C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37E2497" w14:textId="0D4BBADB" w:rsidR="00B848AE" w:rsidRDefault="00B848AE" w:rsidP="00ED11B6">
      <w:pPr>
        <w:rPr>
          <w:b/>
          <w:bCs/>
          <w:lang w:val="en-AU"/>
        </w:rPr>
      </w:pPr>
      <w:r>
        <w:rPr>
          <w:b/>
          <w:bCs/>
          <w:lang w:val="en-AU"/>
        </w:rPr>
        <w:t>Figure SI.</w:t>
      </w:r>
      <w:r w:rsidR="00555099">
        <w:rPr>
          <w:b/>
          <w:bCs/>
          <w:lang w:val="en-AU"/>
        </w:rPr>
        <w:t>10</w:t>
      </w:r>
      <w:r>
        <w:rPr>
          <w:b/>
          <w:bCs/>
          <w:lang w:val="en-AU"/>
        </w:rPr>
        <w:t xml:space="preserve">c Interest payment projection for 2030, including simulation results for </w:t>
      </w:r>
      <w:r w:rsidRPr="00393DBE">
        <w:rPr>
          <w:b/>
          <w:bCs/>
          <w:lang w:val="en-AU"/>
        </w:rPr>
        <w:t>‘ST_SDG_half grants’ ‘ST_SDG_no_grants’</w:t>
      </w:r>
      <w:r>
        <w:rPr>
          <w:b/>
          <w:bCs/>
          <w:lang w:val="en-AU"/>
        </w:rPr>
        <w:t xml:space="preserve"> simulations</w:t>
      </w:r>
    </w:p>
    <w:p w14:paraId="4A1408D9" w14:textId="77777777" w:rsidR="00B848AE" w:rsidRDefault="001A7876">
      <w:pPr>
        <w:rPr>
          <w:b/>
          <w:bCs/>
          <w:lang w:val="en-AU"/>
        </w:rPr>
      </w:pPr>
      <w:r>
        <w:rPr>
          <w:noProof/>
        </w:rPr>
        <w:drawing>
          <wp:inline distT="0" distB="0" distL="0" distR="0" wp14:anchorId="05FDB994" wp14:editId="79C8CA76">
            <wp:extent cx="5731510" cy="3458210"/>
            <wp:effectExtent l="0" t="0" r="2540" b="8890"/>
            <wp:docPr id="14" name="Chart 14">
              <a:extLst xmlns:a="http://schemas.openxmlformats.org/drawingml/2006/main">
                <a:ext uri="{FF2B5EF4-FFF2-40B4-BE49-F238E27FC236}">
                  <a16:creationId xmlns:a16="http://schemas.microsoft.com/office/drawing/2014/main" id="{1832534C-A24F-4284-A943-79BC470A6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DA44CE3" w14:textId="1D02AE44" w:rsidR="00B848AE" w:rsidRDefault="00B848AE" w:rsidP="00B848AE">
      <w:pPr>
        <w:rPr>
          <w:b/>
          <w:bCs/>
          <w:lang w:val="en-AU"/>
        </w:rPr>
      </w:pPr>
      <w:r>
        <w:rPr>
          <w:b/>
          <w:bCs/>
          <w:lang w:val="en-AU"/>
        </w:rPr>
        <w:t>Figure SI.</w:t>
      </w:r>
      <w:r w:rsidR="00555099">
        <w:rPr>
          <w:b/>
          <w:bCs/>
          <w:lang w:val="en-AU"/>
        </w:rPr>
        <w:t>10</w:t>
      </w:r>
      <w:r>
        <w:rPr>
          <w:b/>
          <w:bCs/>
          <w:lang w:val="en-AU"/>
        </w:rPr>
        <w:t xml:space="preserve">d Overall SDG progress projection for 2030, including simulation results for </w:t>
      </w:r>
      <w:r w:rsidRPr="00393DBE">
        <w:rPr>
          <w:b/>
          <w:bCs/>
          <w:lang w:val="en-AU"/>
        </w:rPr>
        <w:t>‘ST_SDG_half grants’ ‘ST_SDG_no_grants’</w:t>
      </w:r>
      <w:r>
        <w:rPr>
          <w:b/>
          <w:bCs/>
          <w:lang w:val="en-AU"/>
        </w:rPr>
        <w:t xml:space="preserve"> simulations</w:t>
      </w:r>
    </w:p>
    <w:p w14:paraId="177F1AB2" w14:textId="0BAB6A27" w:rsidR="001A161E" w:rsidRDefault="001A161E">
      <w:pPr>
        <w:rPr>
          <w:b/>
          <w:bCs/>
          <w:lang w:val="en-AU"/>
        </w:rPr>
      </w:pPr>
      <w:r>
        <w:rPr>
          <w:b/>
          <w:bCs/>
          <w:lang w:val="en-AU"/>
        </w:rPr>
        <w:br w:type="page"/>
      </w:r>
    </w:p>
    <w:p w14:paraId="3E77D649" w14:textId="1A84CC46" w:rsidR="007179D6" w:rsidRDefault="007179D6">
      <w:pPr>
        <w:rPr>
          <w:b/>
          <w:bCs/>
          <w:lang w:val="en-AU"/>
        </w:rPr>
      </w:pPr>
      <w:r>
        <w:rPr>
          <w:b/>
          <w:bCs/>
          <w:lang w:val="en-AU"/>
        </w:rPr>
        <w:lastRenderedPageBreak/>
        <w:t>SUPPLEMENTARY DISCUSSION</w:t>
      </w:r>
    </w:p>
    <w:p w14:paraId="7C454F21" w14:textId="587AA71D" w:rsidR="00B90F5D" w:rsidRDefault="003752F3">
      <w:pPr>
        <w:rPr>
          <w:b/>
          <w:bCs/>
          <w:lang w:val="en-AU"/>
        </w:rPr>
      </w:pPr>
      <w:r>
        <w:rPr>
          <w:b/>
          <w:bCs/>
          <w:lang w:val="en-AU"/>
        </w:rPr>
        <w:t>Additional Discussion on study ca</w:t>
      </w:r>
      <w:r w:rsidR="00B90F5D">
        <w:rPr>
          <w:b/>
          <w:bCs/>
          <w:lang w:val="en-AU"/>
        </w:rPr>
        <w:t xml:space="preserve">veats and </w:t>
      </w:r>
      <w:r>
        <w:rPr>
          <w:b/>
          <w:bCs/>
          <w:lang w:val="en-AU"/>
        </w:rPr>
        <w:t>l</w:t>
      </w:r>
      <w:r w:rsidR="00B90F5D">
        <w:rPr>
          <w:b/>
          <w:bCs/>
          <w:lang w:val="en-AU"/>
        </w:rPr>
        <w:t>imitations</w:t>
      </w:r>
    </w:p>
    <w:p w14:paraId="6E3E1E4C" w14:textId="6202719C" w:rsidR="00213C70" w:rsidRDefault="00213C70" w:rsidP="00213C70">
      <w:r>
        <w:rPr>
          <w:lang w:val="en-AU"/>
        </w:rPr>
        <w:t>T</w:t>
      </w:r>
      <w:r>
        <w:t xml:space="preserve">he ‘ST’ and high ambition scenarios see strong GDP growth and improved environmental performance, which </w:t>
      </w:r>
      <w:r w:rsidR="005127B3">
        <w:t xml:space="preserve">may </w:t>
      </w:r>
      <w:r>
        <w:t xml:space="preserve">seem unintuitive. Fiji’s economy is very small </w:t>
      </w:r>
      <w:r w:rsidR="00AE3DA5">
        <w:t xml:space="preserve">by international standards </w:t>
      </w:r>
      <w:r>
        <w:t>and the scale of additional investment included in these scenarios is significant as a proportion of GDP, most of which is government expenditure, and which drives more rapid economic growth. This investment can only be sustained in the long-term through generous assumptions around international grants. The sensitivity analysis reveals that without these grants, for the ‘ST_SDG’ scenario, performance on economy and jobs (Goal 8) and means of implementation would decline by more than half (from around 50% to around 20% progress) (</w:t>
      </w:r>
      <w:r w:rsidRPr="008C2FA3">
        <w:rPr>
          <w:b/>
          <w:bCs/>
        </w:rPr>
        <w:t>Supplementary Figure SI.8a</w:t>
      </w:r>
      <w:r>
        <w:t>). Smaller reductions are also apparent in social goals, including income equality (Goal 10). While overall SDG progress does not decline significantly (-4% progress on the SDGs), this is because the negative effects on economy and debt are partly balanced out by positive effects from reduced material consumption on sustainable consumption and production (Goal 12) and related targets in Goal 8 (economy).  If the ‘ST_SDG’ scenario is re-simulated removing all additional grants while keeping all other settings the same, real GDP plateaus and shows signs of collapse over the long-term as public debt increases exponentially to nearly 200% GDP by 2030 along with unsustainable interest payments (</w:t>
      </w:r>
      <w:r w:rsidRPr="00851F87">
        <w:rPr>
          <w:b/>
          <w:bCs/>
        </w:rPr>
        <w:t>Supplementary Figure SI.</w:t>
      </w:r>
      <w:r w:rsidR="00606ECE">
        <w:rPr>
          <w:b/>
          <w:bCs/>
        </w:rPr>
        <w:t>10</w:t>
      </w:r>
      <w:r>
        <w:t>). The scenario should therefore be viewed as exploratory, testing what might be possible with very generous international assistance and policy settings.</w:t>
      </w:r>
    </w:p>
    <w:p w14:paraId="601D42B1" w14:textId="79C1B565" w:rsidR="00213C70" w:rsidRDefault="00213C70" w:rsidP="00213C70">
      <w:r>
        <w:t xml:space="preserve">This highlights a second point, that while environmental sustainability outcomes are achieved with higher GDP growth, it does not </w:t>
      </w:r>
      <w:r w:rsidR="003B43AA">
        <w:t xml:space="preserve">necessarily </w:t>
      </w:r>
      <w:r>
        <w:t xml:space="preserve">mean that increasing GDP is the mechanism for delivering such outcomes. A large share of the additional investment under the ‘ST’ scenarios is allocated to the environment with ambitious investments and settings in energy and fuel efficiency, renewable energy, reforestation, electric vehicles, sustainable agriculture and, to a lesser degree, resource efficiency. The results show that while GDP increases, the measures are adequate to reduce per capita emissions (particularly net emissions) and to maintain per capita MF at more or less the same level. Again, national context is critical. For Fiji, baseline levels in the indicators are very low by international comparison and not far from global sustainability thresholds, and the challenge is to moderately reduce these footprints over time. For a large developed country with large material and carbon footprints, a much greater transformation would be needed to bring them in line with global thresholds, as shown by </w:t>
      </w:r>
      <w:r>
        <w:fldChar w:fldCharType="begin"/>
      </w:r>
      <w:r>
        <w:instrText xml:space="preserve"> ADDIN EN.CITE &lt;EndNote&gt;&lt;Cite AuthorYear="1"&gt;&lt;Author&gt;Allen&lt;/Author&gt;&lt;Year&gt;2019&lt;/Year&gt;&lt;RecNum&gt;1153&lt;/RecNum&gt;&lt;DisplayText&gt;Allen et al. (2019)&lt;/DisplayText&gt;&lt;record&gt;&lt;rec-number&gt;1153&lt;/rec-number&gt;&lt;foreign-keys&gt;&lt;key app="EN" db-id="9vsrvaat7fadwtesfsrpw5w5t0x5v500ef25" timestamp="1572757955"&gt;1153&lt;/key&gt;&lt;/foreign-keys&gt;&lt;ref-type name="Journal Article"&gt;17&lt;/ref-type&gt;&lt;contributors&gt;&lt;authors&gt;&lt;author&gt;Allen, C&lt;/author&gt;&lt;author&gt;Metternicht, G&lt;/author&gt;&lt;author&gt;Wiedmann, T&lt;/author&gt;&lt;author&gt;Pedercini, M&lt;/author&gt;&lt;/authors&gt;&lt;/contributors&gt;&lt;titles&gt;&lt;title&gt;Greater gains for Australia by tackling all SDGs but the final steps will be the most challenging&lt;/title&gt;&lt;secondary-title&gt;Nature Sustainability&lt;/secondary-title&gt;&lt;/titles&gt;&lt;periodical&gt;&lt;full-title&gt;Nature Sustainability&lt;/full-title&gt;&lt;/periodical&gt;&lt;pages&gt;1041-1050&lt;/pages&gt;&lt;volume&gt;2&lt;/volume&gt;&lt;dates&gt;&lt;year&gt;2019&lt;/year&gt;&lt;/dates&gt;&lt;urls&gt;&lt;/urls&gt;&lt;electronic-resource-num&gt;https://doi.org/10.1038/s41893-019-0409-9&lt;/electronic-resource-num&gt;&lt;/record&gt;&lt;/Cite&gt;&lt;/EndNote&gt;</w:instrText>
      </w:r>
      <w:r>
        <w:fldChar w:fldCharType="separate"/>
      </w:r>
      <w:r>
        <w:rPr>
          <w:noProof/>
        </w:rPr>
        <w:t>Allen et al. (2019)</w:t>
      </w:r>
      <w:r>
        <w:fldChar w:fldCharType="end"/>
      </w:r>
      <w:r>
        <w:t xml:space="preserve"> for Australia, which would have very different implications for GDP growth</w:t>
      </w:r>
      <w:r w:rsidR="0072467B">
        <w:t xml:space="preserve"> and SDG performance.</w:t>
      </w:r>
      <w:r>
        <w:t xml:space="preserve">  This is also supported by the modelling results</w:t>
      </w:r>
      <w:r w:rsidR="003238F8">
        <w:t xml:space="preserve"> and sensitivity </w:t>
      </w:r>
      <w:r w:rsidR="00EA65CD">
        <w:t>analysis</w:t>
      </w:r>
      <w:r w:rsidR="003238F8">
        <w:t xml:space="preserve"> for Fiji</w:t>
      </w:r>
      <w:r>
        <w:t>, as seen by the improved performance on sustainable consumption and production (Goal 12) as GDP growth slows or declines.</w:t>
      </w:r>
      <w:r w:rsidR="008A2D61">
        <w:t xml:space="preserve"> The results also suggest that for Fiji and other developing countries with similar characteristics such as low resource footprints, there may be potential for them to ‘leap-frog’ resource intensive development pathways followed by the developed world.</w:t>
      </w:r>
      <w:r w:rsidR="0072467B">
        <w:t xml:space="preserve"> </w:t>
      </w:r>
    </w:p>
    <w:p w14:paraId="4F7FBD75" w14:textId="19019534" w:rsidR="007633D7" w:rsidRDefault="009E7945" w:rsidP="00213C70">
      <w:r>
        <w:t xml:space="preserve">Additional expenditure and investment in the </w:t>
      </w:r>
      <w:r w:rsidRPr="009E7945">
        <w:rPr>
          <w:i/>
          <w:iCs/>
        </w:rPr>
        <w:t>iSDG-Fiji</w:t>
      </w:r>
      <w:r>
        <w:t xml:space="preserve"> model is</w:t>
      </w:r>
      <w:r w:rsidR="00B9603C">
        <w:t xml:space="preserve"> expressed as a proportion of GDP. As such, if GDP </w:t>
      </w:r>
      <w:r w:rsidR="00E05EC5">
        <w:t xml:space="preserve">accelerates more rapidly, </w:t>
      </w:r>
      <w:r w:rsidR="003B1816">
        <w:t xml:space="preserve">generally </w:t>
      </w:r>
      <w:r w:rsidR="00E05EC5">
        <w:t xml:space="preserve">so does investment. If this expenditure is on environmental policies, for example </w:t>
      </w:r>
      <w:r w:rsidR="009206C4">
        <w:t xml:space="preserve">on </w:t>
      </w:r>
      <w:r w:rsidR="00E05EC5">
        <w:t xml:space="preserve">marine </w:t>
      </w:r>
      <w:r w:rsidR="009206C4">
        <w:t>or terrestrial protected areas or</w:t>
      </w:r>
      <w:r w:rsidR="00E05EC5">
        <w:t xml:space="preserve"> reforestation</w:t>
      </w:r>
      <w:r w:rsidR="009206C4">
        <w:t xml:space="preserve">, then </w:t>
      </w:r>
      <w:r w:rsidR="00314CE7">
        <w:t>additional progress is also made towards SDG targets for these indicator</w:t>
      </w:r>
      <w:r w:rsidR="003B1251">
        <w:t>s. As such, for some indicators, there may be a</w:t>
      </w:r>
      <w:r w:rsidR="003B1816">
        <w:t>n</w:t>
      </w:r>
      <w:r w:rsidR="003B1251">
        <w:t xml:space="preserve"> indirect link between </w:t>
      </w:r>
      <w:r w:rsidR="0000404E">
        <w:t xml:space="preserve">increased </w:t>
      </w:r>
      <w:r w:rsidR="003B1251">
        <w:t>GDP and</w:t>
      </w:r>
      <w:r w:rsidR="0000404E">
        <w:t xml:space="preserve"> improved</w:t>
      </w:r>
      <w:r w:rsidR="003B1251">
        <w:t xml:space="preserve"> environmental outcomes </w:t>
      </w:r>
      <w:r w:rsidR="00DD659D">
        <w:t xml:space="preserve">as a result of increased </w:t>
      </w:r>
      <w:r w:rsidR="0000404E">
        <w:t xml:space="preserve">green </w:t>
      </w:r>
      <w:r w:rsidR="00DD659D">
        <w:t xml:space="preserve">investment. However, environmental impacts associated with GDP growth are also important for some </w:t>
      </w:r>
      <w:r w:rsidR="00465423">
        <w:t>indicators</w:t>
      </w:r>
      <w:r w:rsidR="001223AD">
        <w:t xml:space="preserve"> such as energy and resource consumption</w:t>
      </w:r>
      <w:r w:rsidR="00FD455F">
        <w:t xml:space="preserve"> which generally increase as GDP growth accelerates</w:t>
      </w:r>
      <w:r w:rsidR="007633D7">
        <w:t>, as in the case of MF described above.</w:t>
      </w:r>
    </w:p>
    <w:p w14:paraId="632EE104" w14:textId="6AB0C41B" w:rsidR="00D87C5A" w:rsidRDefault="00D87C5A" w:rsidP="00D87C5A">
      <w:r>
        <w:lastRenderedPageBreak/>
        <w:t>Another important caveat is that the PBs thresholds used in the SJS framework</w:t>
      </w:r>
      <w:r w:rsidR="0033379A">
        <w:t xml:space="preserve"> for this study</w:t>
      </w:r>
      <w:r>
        <w:t xml:space="preserve"> rely primarily on territorial or production-based metrics. </w:t>
      </w:r>
      <w:r w:rsidR="00984B9C">
        <w:t xml:space="preserve">As such they do not include consumption associated with international trade which have been used in other studies </w:t>
      </w:r>
      <w:r w:rsidR="00984B9C">
        <w:fldChar w:fldCharType="begin"/>
      </w:r>
      <w:r w:rsidR="00984B9C">
        <w:instrText xml:space="preserve"> ADDIN EN.CITE &lt;EndNote&gt;&lt;Cite&gt;&lt;Author&gt;O’Neill&lt;/Author&gt;&lt;Year&gt;2018&lt;/Year&gt;&lt;RecNum&gt;1213&lt;/RecNum&gt;&lt;DisplayText&gt;(O’Neill et al., 2018)&lt;/DisplayText&gt;&lt;record&gt;&lt;rec-number&gt;1213&lt;/rec-number&gt;&lt;foreign-keys&gt;&lt;key app="EN" db-id="9vsrvaat7fadwtesfsrpw5w5t0x5v500ef25" timestamp="1578984484"&gt;1213&lt;/key&gt;&lt;/foreign-keys&gt;&lt;ref-type name="Journal Article"&gt;17&lt;/ref-type&gt;&lt;contributors&gt;&lt;authors&gt;&lt;author&gt;O’Neill, Daniel W&lt;/author&gt;&lt;author&gt;Fanning, Andrew L&lt;/author&gt;&lt;author&gt;Lamb, William F&lt;/author&gt;&lt;author&gt;Steinberger, Julia K&lt;/author&gt;&lt;/authors&gt;&lt;/contributors&gt;&lt;titles&gt;&lt;title&gt;A good life for all within planetary boundaries&lt;/title&gt;&lt;secondary-title&gt;Nature Sustainability&lt;/secondary-title&gt;&lt;/titles&gt;&lt;periodical&gt;&lt;full-title&gt;Nature Sustainability&lt;/full-title&gt;&lt;/periodical&gt;&lt;pages&gt;88&lt;/pages&gt;&lt;volume&gt;1&lt;/volume&gt;&lt;number&gt;2&lt;/number&gt;&lt;dates&gt;&lt;year&gt;2018&lt;/year&gt;&lt;/dates&gt;&lt;isbn&gt;2398-9629&lt;/isbn&gt;&lt;urls&gt;&lt;/urls&gt;&lt;electronic-resource-num&gt;https://doi.org/10.1038/s41893-018-0021-4&lt;/electronic-resource-num&gt;&lt;/record&gt;&lt;/Cite&gt;&lt;/EndNote&gt;</w:instrText>
      </w:r>
      <w:r w:rsidR="00984B9C">
        <w:fldChar w:fldCharType="separate"/>
      </w:r>
      <w:r w:rsidR="00984B9C">
        <w:rPr>
          <w:noProof/>
        </w:rPr>
        <w:t>(O’Neill et al., 2018)</w:t>
      </w:r>
      <w:r w:rsidR="00984B9C">
        <w:fldChar w:fldCharType="end"/>
      </w:r>
      <w:r w:rsidR="00D249D8">
        <w:t xml:space="preserve"> and which are important for assessing absolute sustainability. </w:t>
      </w:r>
      <w:r>
        <w:t xml:space="preserve">An area for further model development is to convert territorial metrics to consumption-based metrics which could be achieved by coupling the </w:t>
      </w:r>
      <w:r w:rsidRPr="003643AA">
        <w:rPr>
          <w:i/>
          <w:iCs/>
        </w:rPr>
        <w:t>iSDG</w:t>
      </w:r>
      <w:r>
        <w:t xml:space="preserve"> system dynamics model with multi-regional input-output models. </w:t>
      </w:r>
    </w:p>
    <w:p w14:paraId="2EBE43DE" w14:textId="4F2602AA" w:rsidR="00590D41" w:rsidRPr="00590D41" w:rsidRDefault="00590D41" w:rsidP="00590D41">
      <w:r w:rsidRPr="00590D41">
        <w:t>The projections to 2050 reveal that scenarios with limited investment in climate change adaptation (BAU, GC, IG) suffer reduced economic performance in the longer-term to 2050 (</w:t>
      </w:r>
      <w:r w:rsidR="007F6F26">
        <w:rPr>
          <w:b/>
          <w:bCs/>
        </w:rPr>
        <w:t>Supplementary Figure SI.5</w:t>
      </w:r>
      <w:r w:rsidRPr="00590D41">
        <w:t xml:space="preserve">). The effects of climate change are related to the amount of global warming and global efforts to mitigate climate change as well as underlying national vulnerability and capacity to respond. Future effects are uncertain, and it is difficult to calibrate the socio-economic impacts and resource requirements needed to adapt to climate change over the long-term. </w:t>
      </w:r>
    </w:p>
    <w:p w14:paraId="543E58A4" w14:textId="0CAD84E2" w:rsidR="00590D41" w:rsidRPr="00590D41" w:rsidRDefault="00590D41" w:rsidP="00590D41">
      <w:r w:rsidRPr="00590D41">
        <w:t xml:space="preserve">Our study relied on </w:t>
      </w:r>
      <w:r w:rsidRPr="00590D41">
        <w:rPr>
          <w:iCs/>
        </w:rPr>
        <w:t xml:space="preserve">climate change projections included in the SSPs </w:t>
      </w:r>
      <w:r w:rsidRPr="00590D41">
        <w:rPr>
          <w:iCs/>
        </w:rPr>
        <w:fldChar w:fldCharType="begin"/>
      </w:r>
      <w:r w:rsidRPr="00590D41">
        <w:rPr>
          <w:iCs/>
        </w:rPr>
        <w:instrText xml:space="preserve"> ADDIN EN.CITE &lt;EndNote&gt;&lt;Cite&gt;&lt;Author&gt;Riahi&lt;/Author&gt;&lt;Year&gt;2017&lt;/Year&gt;&lt;RecNum&gt;802&lt;/RecNum&gt;&lt;DisplayText&gt;(Riahi et al., 2017)&lt;/DisplayText&gt;&lt;record&gt;&lt;rec-number&gt;802&lt;/rec-number&gt;&lt;foreign-keys&gt;&lt;key app="EN" db-id="9vsrvaat7fadwtesfsrpw5w5t0x5v500ef25" timestamp="1538912373"&gt;802&lt;/key&gt;&lt;/foreign-keys&gt;&lt;ref-type name="Journal Article"&gt;17&lt;/ref-type&gt;&lt;contributors&gt;&lt;authors&gt;&lt;author&gt;Riahi, Keywan&lt;/author&gt;&lt;author&gt;Van Vuuren, Detlef P&lt;/author&gt;&lt;author&gt;Kriegler, Elmar&lt;/author&gt;&lt;author&gt;Edmonds, Jae&lt;/author&gt;&lt;author&gt;O’neill, Brian C&lt;/author&gt;&lt;author&gt;Fujimori, Shinichiro&lt;/author&gt;&lt;author&gt;Bauer, Nico&lt;/author&gt;&lt;author&gt;Calvin, Katherine&lt;/author&gt;&lt;author&gt;Dellink, Rob&lt;/author&gt;&lt;author&gt;Fricko, Oliver&lt;/author&gt;&lt;/authors&gt;&lt;/contributors&gt;&lt;titles&gt;&lt;title&gt;The shared socioeconomic pathways and their energy, land use, and greenhouse gas emissions implications: an overview&lt;/title&gt;&lt;secondary-title&gt;Global Environmental Change&lt;/secondary-title&gt;&lt;/titles&gt;&lt;periodical&gt;&lt;full-title&gt;Global environmental change&lt;/full-title&gt;&lt;/periodical&gt;&lt;pages&gt;153-168&lt;/pages&gt;&lt;volume&gt;42&lt;/volume&gt;&lt;dates&gt;&lt;year&gt;2017&lt;/year&gt;&lt;/dates&gt;&lt;isbn&gt;0959-3780&lt;/isbn&gt;&lt;urls&gt;&lt;/urls&gt;&lt;electronic-resource-num&gt;https://doi.org/10.1016/j.gloenvcha.2016.05.009&lt;/electronic-resource-num&gt;&lt;/record&gt;&lt;/Cite&gt;&lt;/EndNote&gt;</w:instrText>
      </w:r>
      <w:r w:rsidRPr="00590D41">
        <w:rPr>
          <w:iCs/>
        </w:rPr>
        <w:fldChar w:fldCharType="separate"/>
      </w:r>
      <w:r w:rsidRPr="00590D41">
        <w:rPr>
          <w:iCs/>
        </w:rPr>
        <w:t>(Riahi et al., 2017)</w:t>
      </w:r>
      <w:r w:rsidRPr="00590D41">
        <w:fldChar w:fldCharType="end"/>
      </w:r>
      <w:r w:rsidRPr="00590D41">
        <w:rPr>
          <w:iCs/>
        </w:rPr>
        <w:t xml:space="preserve"> and projections for Fiji </w:t>
      </w:r>
      <w:r w:rsidRPr="00590D41">
        <w:rPr>
          <w:iCs/>
        </w:rPr>
        <w:fldChar w:fldCharType="begin"/>
      </w:r>
      <w:r w:rsidRPr="00590D41">
        <w:rPr>
          <w:iCs/>
        </w:rPr>
        <w:instrText xml:space="preserve"> ADDIN EN.CITE &lt;EndNote&gt;&lt;Cite&gt;&lt;Author&gt;Fiji Meteorological Service&lt;/Author&gt;&lt;Year&gt;2011&lt;/Year&gt;&lt;RecNum&gt;1158&lt;/RecNum&gt;&lt;DisplayText&gt;(Fiji Meteorological Service et al., 2011)&lt;/DisplayText&gt;&lt;record&gt;&lt;rec-number&gt;1158&lt;/rec-number&gt;&lt;foreign-keys&gt;&lt;key app="EN" db-id="9vsrvaat7fadwtesfsrpw5w5t0x5v500ef25" timestamp="1574211790"&gt;1158&lt;/key&gt;&lt;/foreign-keys&gt;&lt;ref-type name="Generic"&gt;13&lt;/ref-type&gt;&lt;contributors&gt;&lt;authors&gt;&lt;author&gt;Fiji Meteorological Service,&lt;/author&gt;&lt;author&gt;Australian Bureau of Meteorology,&lt;/author&gt;&lt;author&gt;CSIRO,&lt;/author&gt;&lt;/authors&gt;&lt;/contributors&gt;&lt;titles&gt;&lt;title&gt;Current and future climate of the Fiji Islands&lt;/title&gt;&lt;/titles&gt;&lt;dates&gt;&lt;year&gt;2011&lt;/year&gt;&lt;/dates&gt;&lt;pub-location&gt;Canberra&lt;/pub-location&gt;&lt;publisher&gt;Australian Government&lt;/publisher&gt;&lt;urls&gt;&lt;/urls&gt;&lt;/record&gt;&lt;/Cite&gt;&lt;/EndNote&gt;</w:instrText>
      </w:r>
      <w:r w:rsidRPr="00590D41">
        <w:rPr>
          <w:iCs/>
        </w:rPr>
        <w:fldChar w:fldCharType="separate"/>
      </w:r>
      <w:r w:rsidRPr="00590D41">
        <w:rPr>
          <w:iCs/>
        </w:rPr>
        <w:t>(Fiji Meteorological Service et al., 2011)</w:t>
      </w:r>
      <w:r w:rsidRPr="00590D41">
        <w:fldChar w:fldCharType="end"/>
      </w:r>
      <w:r w:rsidRPr="00590D41">
        <w:rPr>
          <w:iCs/>
        </w:rPr>
        <w:t xml:space="preserve">, as well as global </w:t>
      </w:r>
      <w:r w:rsidRPr="00590D41">
        <w:rPr>
          <w:iCs/>
        </w:rPr>
        <w:fldChar w:fldCharType="begin"/>
      </w:r>
      <w:r w:rsidRPr="00590D41">
        <w:rPr>
          <w:iCs/>
        </w:rPr>
        <w:instrText xml:space="preserve"> ADDIN EN.CITE &lt;EndNote&gt;&lt;Cite&gt;&lt;Author&gt;UNFCCC&lt;/Author&gt;&lt;Year&gt;2007&lt;/Year&gt;&lt;RecNum&gt;1239&lt;/RecNum&gt;&lt;DisplayText&gt;(UNFCCC, 2007, UNEP, 2016)&lt;/DisplayText&gt;&lt;record&gt;&lt;rec-number&gt;1239&lt;/rec-number&gt;&lt;foreign-keys&gt;&lt;key app="EN" db-id="9vsrvaat7fadwtesfsrpw5w5t0x5v500ef25" timestamp="1581519586"&gt;1239&lt;/key&gt;&lt;/foreign-keys&gt;&lt;ref-type name="Generic"&gt;13&lt;/ref-type&gt;&lt;contributors&gt;&lt;authors&gt;&lt;author&gt;UNFCCC,&lt;/author&gt;&lt;/authors&gt;&lt;/contributors&gt;&lt;titles&gt;&lt;title&gt;Investment and Financial Flows to Address Climate Change&lt;/title&gt;&lt;/titles&gt;&lt;dates&gt;&lt;year&gt;2007&lt;/year&gt;&lt;/dates&gt;&lt;pub-location&gt;Bonn&lt;/pub-location&gt;&lt;publisher&gt;United Nations Framework Convention on Climate Change&lt;/publisher&gt;&lt;urls&gt;&lt;related-urls&gt;&lt;url&gt;https://unfccc.int/resource/docs/publications/financial_flows.pdf&lt;/url&gt;&lt;/related-urls&gt;&lt;/urls&gt;&lt;/record&gt;&lt;/Cite&gt;&lt;Cite&gt;&lt;Author&gt;UNEP&lt;/Author&gt;&lt;Year&gt;2016&lt;/Year&gt;&lt;RecNum&gt;1240&lt;/RecNum&gt;&lt;record&gt;&lt;rec-number&gt;1240&lt;/rec-number&gt;&lt;foreign-keys&gt;&lt;key app="EN" db-id="9vsrvaat7fadwtesfsrpw5w5t0x5v500ef25" timestamp="1581519929"&gt;1240&lt;/key&gt;&lt;/foreign-keys&gt;&lt;ref-type name="Generic"&gt;13&lt;/ref-type&gt;&lt;contributors&gt;&lt;authors&gt;&lt;author&gt;UNEP,&lt;/author&gt;&lt;/authors&gt;&lt;/contributors&gt;&lt;titles&gt;&lt;title&gt;Adaptation Finance Gap Report&lt;/title&gt;&lt;/titles&gt;&lt;dates&gt;&lt;year&gt;2016&lt;/year&gt;&lt;/dates&gt;&lt;pub-location&gt;Nairobi&lt;/pub-location&gt;&lt;publisher&gt;United Nations Environment Progrmme&lt;/publisher&gt;&lt;urls&gt;&lt;related-urls&gt;&lt;url&gt;https://unepdtu.org/wp-content/uploads/2018/10/unep-gap-report-2016-web-6-6-2016.pdf&lt;/url&gt;&lt;/related-urls&gt;&lt;/urls&gt;&lt;/record&gt;&lt;/Cite&gt;&lt;/EndNote&gt;</w:instrText>
      </w:r>
      <w:r w:rsidRPr="00590D41">
        <w:rPr>
          <w:iCs/>
        </w:rPr>
        <w:fldChar w:fldCharType="separate"/>
      </w:r>
      <w:r w:rsidRPr="00590D41">
        <w:rPr>
          <w:iCs/>
          <w:noProof/>
        </w:rPr>
        <w:t>(UNFCCC, 2007, UNEP, 2016)</w:t>
      </w:r>
      <w:r w:rsidRPr="00590D41">
        <w:fldChar w:fldCharType="end"/>
      </w:r>
      <w:r w:rsidRPr="00590D41">
        <w:t xml:space="preserve"> </w:t>
      </w:r>
      <w:r w:rsidRPr="00590D41">
        <w:rPr>
          <w:iCs/>
        </w:rPr>
        <w:t xml:space="preserve">and national </w:t>
      </w:r>
      <w:r w:rsidRPr="00590D41">
        <w:rPr>
          <w:iCs/>
        </w:rPr>
        <w:fldChar w:fldCharType="begin"/>
      </w:r>
      <w:r w:rsidRPr="00590D41">
        <w:rPr>
          <w:iCs/>
        </w:rPr>
        <w:instrText xml:space="preserve"> ADDIN EN.CITE &lt;EndNote&gt;&lt;Cite&gt;&lt;Author&gt;Government of Fiji&lt;/Author&gt;&lt;Year&gt;2017&lt;/Year&gt;&lt;RecNum&gt;1162&lt;/RecNum&gt;&lt;DisplayText&gt;(Government of Fiji, 2017a)&lt;/DisplayText&gt;&lt;record&gt;&lt;rec-number&gt;1162&lt;/rec-number&gt;&lt;foreign-keys&gt;&lt;key app="EN" db-id="9vsrvaat7fadwtesfsrpw5w5t0x5v500ef25" timestamp="1574319115"&gt;1162&lt;/key&gt;&lt;/foreign-keys&gt;&lt;ref-type name="Generic"&gt;13&lt;/ref-type&gt;&lt;contributors&gt;&lt;authors&gt;&lt;author&gt;Government of Fiji,&lt;/author&gt;&lt;/authors&gt;&lt;/contributors&gt;&lt;titles&gt;&lt;title&gt;Climate Vulnerability Assessment&lt;/title&gt;&lt;/titles&gt;&lt;dates&gt;&lt;year&gt;2017&lt;/year&gt;&lt;/dates&gt;&lt;pub-location&gt;Fiji&lt;/pub-location&gt;&lt;publisher&gt;Government of Fiji&lt;/publisher&gt;&lt;urls&gt;&lt;related-urls&gt;&lt;url&gt;https://reliefweb.int/report/fiji/climate-vulnerability-assessment-making-fiji-climate-resilient&lt;/url&gt;&lt;/related-urls&gt;&lt;/urls&gt;&lt;/record&gt;&lt;/Cite&gt;&lt;/EndNote&gt;</w:instrText>
      </w:r>
      <w:r w:rsidRPr="00590D41">
        <w:rPr>
          <w:iCs/>
        </w:rPr>
        <w:fldChar w:fldCharType="separate"/>
      </w:r>
      <w:r w:rsidRPr="00590D41">
        <w:rPr>
          <w:iCs/>
          <w:noProof/>
        </w:rPr>
        <w:t>(Government of Fiji, 2017a)</w:t>
      </w:r>
      <w:r w:rsidRPr="00590D41">
        <w:rPr>
          <w:iCs/>
        </w:rPr>
        <w:fldChar w:fldCharType="end"/>
      </w:r>
      <w:r w:rsidRPr="00590D41">
        <w:rPr>
          <w:iCs/>
        </w:rPr>
        <w:t xml:space="preserve"> studies on the costs of climate change adaptation.  However, we acknowledge the uncertainty and considerable variability in some of the estimates used. For example, global estimates on climate change adaptation costs range from around 0.06% to 0.65% GDP per annum</w:t>
      </w:r>
      <w:r w:rsidRPr="00590D41">
        <w:t>.  Our sensitivity analysis encompasses these possibilities (0.05 to 2% GDP), and shows that assumptions on adaptation costs can have substantial effects on each of the goals that incorporate climate change vulnerability indicators (Goal 1, Goal 11 and Goal 13) (</w:t>
      </w:r>
      <w:r w:rsidRPr="00590D41">
        <w:rPr>
          <w:b/>
          <w:bCs/>
        </w:rPr>
        <w:t>Supplementary Figure SI.6c)</w:t>
      </w:r>
      <w:r w:rsidRPr="00590D41">
        <w:t xml:space="preserve"> and impacts overall SDG performance. These effects will become more severe moving beyond 2030 to 2050.</w:t>
      </w:r>
    </w:p>
    <w:p w14:paraId="779A436B" w14:textId="286EBE9B" w:rsidR="00C94F00" w:rsidRPr="003A3368" w:rsidRDefault="00C94F00" w:rsidP="00C94F00">
      <w:r>
        <w:t>Fiji’s baseline performance on governance Indicators is relatively low, particularly for regulatory quality, government effectiveness, and rule of law (</w:t>
      </w:r>
      <w:r>
        <w:rPr>
          <w:b/>
          <w:bCs/>
        </w:rPr>
        <w:t>Supplementary Table 1</w:t>
      </w:r>
      <w:r>
        <w:t>). For most scenarios, we assume improved performance on governance metrics as Fiji progresses towards 2030, in particular the ‘ST_SDG’ scenario which assumes significant improvements. The sensitivity analysis shows that scenario performance on Goal 16 (governance) is sensitive to these assumptions, which also have a small impact on overall SDG performance (</w:t>
      </w:r>
      <w:r w:rsidRPr="00470C4F">
        <w:rPr>
          <w:b/>
          <w:bCs/>
        </w:rPr>
        <w:t xml:space="preserve">Supplementary </w:t>
      </w:r>
      <w:r w:rsidRPr="004141A2">
        <w:rPr>
          <w:b/>
          <w:bCs/>
        </w:rPr>
        <w:t>Figures SI.</w:t>
      </w:r>
      <w:r w:rsidR="004141A2" w:rsidRPr="004141A2">
        <w:rPr>
          <w:b/>
          <w:bCs/>
        </w:rPr>
        <w:t>6</w:t>
      </w:r>
      <w:r w:rsidRPr="004141A2">
        <w:rPr>
          <w:b/>
          <w:bCs/>
        </w:rPr>
        <w:t xml:space="preserve">e, </w:t>
      </w:r>
      <w:r w:rsidR="004141A2" w:rsidRPr="004141A2">
        <w:rPr>
          <w:b/>
          <w:bCs/>
        </w:rPr>
        <w:t>7</w:t>
      </w:r>
      <w:r w:rsidRPr="004141A2">
        <w:rPr>
          <w:b/>
          <w:bCs/>
        </w:rPr>
        <w:t xml:space="preserve">b, </w:t>
      </w:r>
      <w:r w:rsidR="004141A2" w:rsidRPr="004141A2">
        <w:rPr>
          <w:b/>
          <w:bCs/>
        </w:rPr>
        <w:t>8</w:t>
      </w:r>
      <w:r w:rsidRPr="004141A2">
        <w:rPr>
          <w:b/>
          <w:bCs/>
        </w:rPr>
        <w:t xml:space="preserve">b, and </w:t>
      </w:r>
      <w:r w:rsidR="004141A2" w:rsidRPr="004141A2">
        <w:rPr>
          <w:b/>
          <w:bCs/>
        </w:rPr>
        <w:t>9</w:t>
      </w:r>
      <w:r w:rsidRPr="004141A2">
        <w:rPr>
          <w:b/>
          <w:bCs/>
        </w:rPr>
        <w:t>b</w:t>
      </w:r>
      <w:r w:rsidRPr="004141A2">
        <w:t>).</w:t>
      </w:r>
    </w:p>
    <w:p w14:paraId="74195F06" w14:textId="7CC16672" w:rsidR="00C94F00" w:rsidRDefault="00C94F00" w:rsidP="00C94F00">
      <w:r>
        <w:t>All alternative scenarios (except ‘GC’) also assume additional international financial assistance.  For ‘GE’, ‘IG’ and ‘ST’, additional grants are considered moderate and within historic levels.  However, for the high ambition scenarios these amounts increase significantly under the assumption of increasing access to climate and SDG finance. The sensitivity analysis shows increased sensitivity of SDG performance under the high ambition scenarios to the availability of international finance (</w:t>
      </w:r>
      <w:r w:rsidRPr="004141A2">
        <w:rPr>
          <w:b/>
          <w:bCs/>
        </w:rPr>
        <w:t>Supplementary Figures SI.</w:t>
      </w:r>
      <w:r w:rsidR="004141A2" w:rsidRPr="004141A2">
        <w:rPr>
          <w:b/>
          <w:bCs/>
        </w:rPr>
        <w:t>8</w:t>
      </w:r>
      <w:r w:rsidRPr="004141A2">
        <w:rPr>
          <w:b/>
          <w:bCs/>
        </w:rPr>
        <w:t xml:space="preserve">a and </w:t>
      </w:r>
      <w:r w:rsidR="004141A2" w:rsidRPr="004141A2">
        <w:rPr>
          <w:b/>
          <w:bCs/>
        </w:rPr>
        <w:t>9</w:t>
      </w:r>
      <w:r w:rsidRPr="004141A2">
        <w:rPr>
          <w:b/>
          <w:bCs/>
        </w:rPr>
        <w:t>a</w:t>
      </w:r>
      <w:r w:rsidRPr="004141A2">
        <w:t xml:space="preserve">). </w:t>
      </w:r>
      <w:r>
        <w:t>For the ‘ST_SDG’ scenario, strong performance on food and nutrition (Goal 2), economy and jobs (Goal 8), inequality (Goal 10)</w:t>
      </w:r>
      <w:r w:rsidR="004141A2">
        <w:t xml:space="preserve"> </w:t>
      </w:r>
      <w:r>
        <w:t xml:space="preserve">and means of implementation (Goal 17) would all depend to some degree on receipt of additional international support. </w:t>
      </w:r>
    </w:p>
    <w:p w14:paraId="0C5F4C77" w14:textId="77777777" w:rsidR="00C94F00" w:rsidRPr="00413EED" w:rsidRDefault="00C94F00" w:rsidP="00C94F00">
      <w:r>
        <w:t xml:space="preserve">This highlights the importance of governance (Goal 16) and partnerships and international collaboration for the goals (Goal 17), and it underscores that SIDS such as Fiji will not be able to achieve the SDGs without the international community scaling up its support. </w:t>
      </w:r>
    </w:p>
    <w:p w14:paraId="43D5417D" w14:textId="0A9A795F" w:rsidR="007179D6" w:rsidRDefault="007179D6">
      <w:pPr>
        <w:rPr>
          <w:b/>
          <w:bCs/>
          <w:lang w:val="en-AU"/>
        </w:rPr>
      </w:pPr>
      <w:r>
        <w:rPr>
          <w:b/>
          <w:bCs/>
          <w:lang w:val="en-AU"/>
        </w:rPr>
        <w:br w:type="page"/>
      </w:r>
    </w:p>
    <w:p w14:paraId="10F603C4" w14:textId="3A6806AF" w:rsidR="00190CD7" w:rsidRDefault="0019508E" w:rsidP="00773761">
      <w:pPr>
        <w:rPr>
          <w:b/>
          <w:bCs/>
          <w:lang w:val="en-AU"/>
        </w:rPr>
      </w:pPr>
      <w:r>
        <w:rPr>
          <w:b/>
          <w:bCs/>
          <w:lang w:val="en-AU"/>
        </w:rPr>
        <w:lastRenderedPageBreak/>
        <w:t>REFERENCES</w:t>
      </w:r>
    </w:p>
    <w:p w14:paraId="16154755" w14:textId="77777777" w:rsidR="0067054F" w:rsidRPr="0067054F" w:rsidRDefault="00190CD7" w:rsidP="0067054F">
      <w:pPr>
        <w:pStyle w:val="EndNoteBibliography"/>
        <w:spacing w:after="0"/>
        <w:ind w:left="720" w:hanging="720"/>
      </w:pPr>
      <w:r>
        <w:rPr>
          <w:b/>
          <w:bCs/>
          <w:lang w:val="en-AU"/>
        </w:rPr>
        <w:fldChar w:fldCharType="begin"/>
      </w:r>
      <w:r>
        <w:rPr>
          <w:b/>
          <w:bCs/>
          <w:lang w:val="en-AU"/>
        </w:rPr>
        <w:instrText xml:space="preserve"> ADDIN EN.REFLIST </w:instrText>
      </w:r>
      <w:r>
        <w:rPr>
          <w:b/>
          <w:bCs/>
          <w:lang w:val="en-AU"/>
        </w:rPr>
        <w:fldChar w:fldCharType="separate"/>
      </w:r>
      <w:r w:rsidR="0067054F" w:rsidRPr="0067054F">
        <w:t xml:space="preserve">ADAMS, V. M., SEGAN, D. B. &amp; PRESSEY, R. L. 2011. How much does it cost to expand a protected area system? Some critical determining factors and ranges of costs for Queensland. </w:t>
      </w:r>
      <w:r w:rsidR="0067054F" w:rsidRPr="0067054F">
        <w:rPr>
          <w:i/>
        </w:rPr>
        <w:t>PloS one,</w:t>
      </w:r>
      <w:r w:rsidR="0067054F" w:rsidRPr="0067054F">
        <w:t xml:space="preserve"> 6</w:t>
      </w:r>
      <w:r w:rsidR="0067054F" w:rsidRPr="0067054F">
        <w:rPr>
          <w:b/>
        </w:rPr>
        <w:t>,</w:t>
      </w:r>
      <w:r w:rsidR="0067054F" w:rsidRPr="0067054F">
        <w:t xml:space="preserve"> e25447.</w:t>
      </w:r>
    </w:p>
    <w:p w14:paraId="7CC2BDDE" w14:textId="77777777" w:rsidR="0067054F" w:rsidRPr="0067054F" w:rsidRDefault="0067054F" w:rsidP="0067054F">
      <w:pPr>
        <w:pStyle w:val="EndNoteBibliography"/>
        <w:spacing w:after="0"/>
        <w:ind w:left="720" w:hanging="720"/>
      </w:pPr>
      <w:r w:rsidRPr="0067054F">
        <w:t xml:space="preserve">ALLEN, C., METTERNICHT, G., WIEDMANN, T. &amp; PEDERCINI, M. 2019. Greater gains for Australia by tackling all SDGs but the final steps will be the most challenging. </w:t>
      </w:r>
      <w:r w:rsidRPr="0067054F">
        <w:rPr>
          <w:i/>
        </w:rPr>
        <w:t>Nature Sustainability,</w:t>
      </w:r>
      <w:r w:rsidRPr="0067054F">
        <w:t xml:space="preserve"> 2</w:t>
      </w:r>
      <w:r w:rsidRPr="0067054F">
        <w:rPr>
          <w:b/>
        </w:rPr>
        <w:t>,</w:t>
      </w:r>
      <w:r w:rsidRPr="0067054F">
        <w:t xml:space="preserve"> 1041-1050.</w:t>
      </w:r>
    </w:p>
    <w:p w14:paraId="1F9E079B" w14:textId="77777777" w:rsidR="0067054F" w:rsidRPr="0067054F" w:rsidRDefault="0067054F" w:rsidP="0067054F">
      <w:pPr>
        <w:pStyle w:val="EndNoteBibliography"/>
        <w:spacing w:after="0"/>
        <w:ind w:left="720" w:hanging="720"/>
      </w:pPr>
      <w:r w:rsidRPr="0067054F">
        <w:t xml:space="preserve">ARROW, K. J. 1964. Optimal capital policy, the cost of capital, and myopic decision rules. </w:t>
      </w:r>
      <w:r w:rsidRPr="0067054F">
        <w:rPr>
          <w:i/>
        </w:rPr>
        <w:t>Annals of the Institute of Statistical Mathematics,</w:t>
      </w:r>
      <w:r w:rsidRPr="0067054F">
        <w:t xml:space="preserve"> 16</w:t>
      </w:r>
      <w:r w:rsidRPr="0067054F">
        <w:rPr>
          <w:b/>
        </w:rPr>
        <w:t>,</w:t>
      </w:r>
      <w:r w:rsidRPr="0067054F">
        <w:t xml:space="preserve"> 21-30.</w:t>
      </w:r>
    </w:p>
    <w:p w14:paraId="03654B8A" w14:textId="77777777" w:rsidR="0067054F" w:rsidRPr="0067054F" w:rsidRDefault="0067054F" w:rsidP="0067054F">
      <w:pPr>
        <w:pStyle w:val="EndNoteBibliography"/>
        <w:spacing w:after="0"/>
        <w:ind w:left="720" w:hanging="720"/>
      </w:pPr>
      <w:r w:rsidRPr="0067054F">
        <w:t xml:space="preserve">BALMFORD, A., GRAVESTOCK, P., HOCKLEY, N., MCCLEAN, C. J. &amp; ROBERTS, C. M. 2004. The worldwide costs of marine protected areas. </w:t>
      </w:r>
      <w:r w:rsidRPr="0067054F">
        <w:rPr>
          <w:i/>
        </w:rPr>
        <w:t>Proceedings of the National Academy of Sciences,</w:t>
      </w:r>
      <w:r w:rsidRPr="0067054F">
        <w:t xml:space="preserve"> 101</w:t>
      </w:r>
      <w:r w:rsidRPr="0067054F">
        <w:rPr>
          <w:b/>
        </w:rPr>
        <w:t>,</w:t>
      </w:r>
      <w:r w:rsidRPr="0067054F">
        <w:t xml:space="preserve"> 9694-9697.</w:t>
      </w:r>
    </w:p>
    <w:p w14:paraId="359347AE" w14:textId="77777777" w:rsidR="0067054F" w:rsidRPr="0067054F" w:rsidRDefault="0067054F" w:rsidP="0067054F">
      <w:pPr>
        <w:pStyle w:val="EndNoteBibliography"/>
        <w:spacing w:after="0"/>
        <w:ind w:left="720" w:hanging="720"/>
      </w:pPr>
      <w:r w:rsidRPr="0067054F">
        <w:t xml:space="preserve">BAN, N. C., ADAMS, V., PRESSEY, R. L. &amp; HICKS, J. 2011. Promise and problems for estimating management costs of marine protected areas. </w:t>
      </w:r>
      <w:r w:rsidRPr="0067054F">
        <w:rPr>
          <w:i/>
        </w:rPr>
        <w:t>Conservation Letters,</w:t>
      </w:r>
      <w:r w:rsidRPr="0067054F">
        <w:t xml:space="preserve"> 4</w:t>
      </w:r>
      <w:r w:rsidRPr="0067054F">
        <w:rPr>
          <w:b/>
        </w:rPr>
        <w:t>,</w:t>
      </w:r>
      <w:r w:rsidRPr="0067054F">
        <w:t xml:space="preserve"> 241-252.</w:t>
      </w:r>
    </w:p>
    <w:p w14:paraId="73B540A8" w14:textId="77777777" w:rsidR="0067054F" w:rsidRPr="0067054F" w:rsidRDefault="0067054F" w:rsidP="0067054F">
      <w:pPr>
        <w:pStyle w:val="EndNoteBibliography"/>
        <w:spacing w:after="0"/>
        <w:ind w:left="720" w:hanging="720"/>
      </w:pPr>
      <w:r w:rsidRPr="0067054F">
        <w:t xml:space="preserve">BURKE, M., HSIANG, S. M. &amp; MIGUEL, E. 2015. Global non-linear effect of temperature on economic production. </w:t>
      </w:r>
      <w:r w:rsidRPr="0067054F">
        <w:rPr>
          <w:i/>
        </w:rPr>
        <w:t>Nature,</w:t>
      </w:r>
      <w:r w:rsidRPr="0067054F">
        <w:t xml:space="preserve"> 527</w:t>
      </w:r>
      <w:r w:rsidRPr="0067054F">
        <w:rPr>
          <w:b/>
        </w:rPr>
        <w:t>,</w:t>
      </w:r>
      <w:r w:rsidRPr="0067054F">
        <w:t xml:space="preserve"> 235.</w:t>
      </w:r>
    </w:p>
    <w:p w14:paraId="0D1489CB" w14:textId="77777777" w:rsidR="0067054F" w:rsidRPr="0067054F" w:rsidRDefault="0067054F" w:rsidP="0067054F">
      <w:pPr>
        <w:pStyle w:val="EndNoteBibliography"/>
        <w:spacing w:after="0"/>
        <w:ind w:left="720" w:hanging="720"/>
      </w:pPr>
      <w:r w:rsidRPr="0067054F">
        <w:t>CIA 2017. The World Factbook - Fiji. Washington DC: Central Intelligence Agency.</w:t>
      </w:r>
    </w:p>
    <w:p w14:paraId="4D89560F" w14:textId="77777777" w:rsidR="0067054F" w:rsidRPr="0067054F" w:rsidRDefault="0067054F" w:rsidP="0067054F">
      <w:pPr>
        <w:pStyle w:val="EndNoteBibliography"/>
        <w:spacing w:after="0"/>
        <w:ind w:left="720" w:hanging="720"/>
      </w:pPr>
      <w:r w:rsidRPr="0067054F">
        <w:t xml:space="preserve">CLARK, M. &amp; TILMAN, D. 2017. Comparative analysis of environmental impacts of agricultural production systems, agricultural input efficiency, and food choice. </w:t>
      </w:r>
      <w:r w:rsidRPr="0067054F">
        <w:rPr>
          <w:i/>
        </w:rPr>
        <w:t>Environmental Research Letters,</w:t>
      </w:r>
      <w:r w:rsidRPr="0067054F">
        <w:t xml:space="preserve"> 12</w:t>
      </w:r>
      <w:r w:rsidRPr="0067054F">
        <w:rPr>
          <w:b/>
        </w:rPr>
        <w:t>,</w:t>
      </w:r>
      <w:r w:rsidRPr="0067054F">
        <w:t xml:space="preserve"> 064016.</w:t>
      </w:r>
    </w:p>
    <w:p w14:paraId="1D03FEE7" w14:textId="77777777" w:rsidR="0067054F" w:rsidRPr="0067054F" w:rsidRDefault="0067054F" w:rsidP="0067054F">
      <w:pPr>
        <w:pStyle w:val="EndNoteBibliography"/>
        <w:spacing w:after="0"/>
        <w:ind w:left="720" w:hanging="720"/>
      </w:pPr>
      <w:r w:rsidRPr="0067054F">
        <w:t>COLLIER, P., KIRCHBERGER, M. &amp; SÖDERBOM, M. 2015. The cost of road infrastructure in low and middle income countries. Washington DC: The World Bank.</w:t>
      </w:r>
    </w:p>
    <w:p w14:paraId="0EFFA166" w14:textId="1A6C1F88" w:rsidR="0067054F" w:rsidRPr="0067054F" w:rsidRDefault="0067054F" w:rsidP="0067054F">
      <w:pPr>
        <w:pStyle w:val="EndNoteBibliography"/>
        <w:spacing w:after="0"/>
        <w:ind w:left="720" w:hanging="720"/>
      </w:pPr>
      <w:r w:rsidRPr="0067054F">
        <w:t xml:space="preserve">ENERDATA 2018. Global Energy Statistical Yearbook 2018. </w:t>
      </w:r>
      <w:hyperlink r:id="rId49" w:history="1">
        <w:r w:rsidRPr="0067054F">
          <w:rPr>
            <w:rStyle w:val="Hyperlink"/>
          </w:rPr>
          <w:t>https://yearbook.enerdata.net/total-energy/world-energy-intensity-gdp-data.html</w:t>
        </w:r>
      </w:hyperlink>
      <w:r w:rsidRPr="0067054F">
        <w:t>.</w:t>
      </w:r>
    </w:p>
    <w:p w14:paraId="3D03B408" w14:textId="77777777" w:rsidR="0067054F" w:rsidRPr="0067054F" w:rsidRDefault="0067054F" w:rsidP="0067054F">
      <w:pPr>
        <w:pStyle w:val="EndNoteBibliography"/>
        <w:spacing w:after="0"/>
        <w:ind w:left="720" w:hanging="720"/>
      </w:pPr>
      <w:r w:rsidRPr="0067054F">
        <w:t>FAO 1998. Land Cover Classification System: Classification Concepts and User Manual. Rome, Italy: Food and Agriculture Organisation of the United Nations.</w:t>
      </w:r>
    </w:p>
    <w:p w14:paraId="16550ED1" w14:textId="77777777" w:rsidR="0067054F" w:rsidRPr="0067054F" w:rsidRDefault="0067054F" w:rsidP="0067054F">
      <w:pPr>
        <w:pStyle w:val="EndNoteBibliography"/>
        <w:spacing w:after="0"/>
        <w:ind w:left="720" w:hanging="720"/>
      </w:pPr>
      <w:r w:rsidRPr="0067054F">
        <w:t>FAO 2017. FAOSTAT database. Rome, Italy.</w:t>
      </w:r>
    </w:p>
    <w:p w14:paraId="4B4075B5" w14:textId="77777777" w:rsidR="0067054F" w:rsidRPr="0067054F" w:rsidRDefault="0067054F" w:rsidP="0067054F">
      <w:pPr>
        <w:pStyle w:val="EndNoteBibliography"/>
        <w:spacing w:after="0"/>
        <w:ind w:left="720" w:hanging="720"/>
      </w:pPr>
      <w:r w:rsidRPr="0067054F">
        <w:t>FAO 2018. AQUASTAT. Rome, Italy: Food and Agriculture Organisation of the United Nations.</w:t>
      </w:r>
    </w:p>
    <w:p w14:paraId="5F0925FA" w14:textId="77777777" w:rsidR="0067054F" w:rsidRPr="0067054F" w:rsidRDefault="0067054F" w:rsidP="0067054F">
      <w:pPr>
        <w:pStyle w:val="EndNoteBibliography"/>
        <w:spacing w:after="0"/>
        <w:ind w:left="720" w:hanging="720"/>
      </w:pPr>
      <w:r w:rsidRPr="0067054F">
        <w:t xml:space="preserve">FBOS 2016. Central Government Final Consumption Expenditure. </w:t>
      </w:r>
      <w:r w:rsidRPr="0067054F">
        <w:rPr>
          <w:i/>
        </w:rPr>
        <w:t>In:</w:t>
      </w:r>
      <w:r w:rsidRPr="0067054F">
        <w:t xml:space="preserve"> STATISTICS, F. B. O. (ed.). Suva, Fiji: Fiji Bureau of Statistics.</w:t>
      </w:r>
    </w:p>
    <w:p w14:paraId="264DFD30" w14:textId="77777777" w:rsidR="0067054F" w:rsidRPr="0067054F" w:rsidRDefault="0067054F" w:rsidP="0067054F">
      <w:pPr>
        <w:pStyle w:val="EndNoteBibliography"/>
        <w:spacing w:after="0"/>
        <w:ind w:left="720" w:hanging="720"/>
      </w:pPr>
      <w:r w:rsidRPr="0067054F">
        <w:t xml:space="preserve">FBOS 2019. Merchandise Trade Statistics. </w:t>
      </w:r>
      <w:r w:rsidRPr="0067054F">
        <w:rPr>
          <w:i/>
        </w:rPr>
        <w:t>In:</w:t>
      </w:r>
      <w:r w:rsidRPr="0067054F">
        <w:t xml:space="preserve"> STATISTICS, F. B. O. (ed.). Suva, Fiji: Fiji Bureau of Statistics.</w:t>
      </w:r>
    </w:p>
    <w:p w14:paraId="7A47CF53" w14:textId="77777777" w:rsidR="0067054F" w:rsidRPr="0067054F" w:rsidRDefault="0067054F" w:rsidP="0067054F">
      <w:pPr>
        <w:pStyle w:val="EndNoteBibliography"/>
        <w:spacing w:after="0"/>
        <w:ind w:left="720" w:hanging="720"/>
      </w:pPr>
      <w:r w:rsidRPr="0067054F">
        <w:t>FIJI METEOROLOGICAL SERVICE, AUSTRALIAN BUREAU OF METEOROLOGY &amp; CSIRO 2011. Current and future climate of the Fiji Islands. Canberra: Australian Government.</w:t>
      </w:r>
    </w:p>
    <w:p w14:paraId="306654CE" w14:textId="77777777" w:rsidR="0067054F" w:rsidRPr="0067054F" w:rsidRDefault="0067054F" w:rsidP="0067054F">
      <w:pPr>
        <w:pStyle w:val="EndNoteBibliography"/>
        <w:spacing w:after="0"/>
        <w:ind w:left="720" w:hanging="720"/>
      </w:pPr>
      <w:r w:rsidRPr="0067054F">
        <w:t>FIJI ROADS AUTHORITY 2016. 2016 Corporate Plan &amp; Statement of Corporate Intent. Suva, Fiji: Fiji Roads Authority.</w:t>
      </w:r>
    </w:p>
    <w:p w14:paraId="1CEADCF0" w14:textId="77777777" w:rsidR="0067054F" w:rsidRPr="0067054F" w:rsidRDefault="0067054F" w:rsidP="0067054F">
      <w:pPr>
        <w:pStyle w:val="EndNoteBibliography"/>
        <w:spacing w:after="0"/>
        <w:ind w:left="720" w:hanging="720"/>
      </w:pPr>
      <w:r w:rsidRPr="0067054F">
        <w:t xml:space="preserve">FIXEN, P. E., JIYUN, J., TIWARI, K. &amp; STAUFFER, M. D. 2005. Capitalizing on multi-element interactions through balanced nutrition—A pathway to improve nitrogen use efficiency in China, India and North America. </w:t>
      </w:r>
      <w:r w:rsidRPr="0067054F">
        <w:rPr>
          <w:i/>
        </w:rPr>
        <w:t>Science in China Series C: Life Sciences,</w:t>
      </w:r>
      <w:r w:rsidRPr="0067054F">
        <w:t xml:space="preserve"> 48</w:t>
      </w:r>
      <w:r w:rsidRPr="0067054F">
        <w:rPr>
          <w:b/>
        </w:rPr>
        <w:t>,</w:t>
      </w:r>
      <w:r w:rsidRPr="0067054F">
        <w:t xml:space="preserve"> 780-790.</w:t>
      </w:r>
    </w:p>
    <w:p w14:paraId="74D9A749" w14:textId="77777777" w:rsidR="0067054F" w:rsidRPr="0067054F" w:rsidRDefault="0067054F" w:rsidP="0067054F">
      <w:pPr>
        <w:pStyle w:val="EndNoteBibliography"/>
        <w:spacing w:after="0"/>
        <w:ind w:left="720" w:hanging="720"/>
      </w:pPr>
      <w:r w:rsidRPr="0067054F">
        <w:t>FOREST CARBON PARTNERSHIP FACILITY 2016. Emission Reductions Program Idea Note (ER-PIN). Suva, Fiji: World Bank.</w:t>
      </w:r>
    </w:p>
    <w:p w14:paraId="7B65828D" w14:textId="77777777" w:rsidR="0067054F" w:rsidRPr="0067054F" w:rsidRDefault="0067054F" w:rsidP="0067054F">
      <w:pPr>
        <w:pStyle w:val="EndNoteBibliography"/>
        <w:spacing w:after="0"/>
        <w:ind w:left="720" w:hanging="720"/>
      </w:pPr>
      <w:r w:rsidRPr="0067054F">
        <w:t>GLOBAL ENVIRONMENT FACILITY 2005. Technical Paper on the GEF Resource Allocation Framework. Washington DC, USA: Global Environment Facility.</w:t>
      </w:r>
    </w:p>
    <w:p w14:paraId="57AC06A3" w14:textId="77777777" w:rsidR="0067054F" w:rsidRPr="0067054F" w:rsidRDefault="0067054F" w:rsidP="0067054F">
      <w:pPr>
        <w:pStyle w:val="EndNoteBibliography"/>
        <w:spacing w:after="0"/>
        <w:ind w:left="720" w:hanging="720"/>
      </w:pPr>
      <w:r w:rsidRPr="0067054F">
        <w:t>GOVERNMENT OF FIJI 2004. Millennium Development Goals Fiji National Report. Suva, Fiji: Government of Fiji.</w:t>
      </w:r>
    </w:p>
    <w:p w14:paraId="058004A5" w14:textId="77777777" w:rsidR="0067054F" w:rsidRPr="0067054F" w:rsidRDefault="0067054F" w:rsidP="0067054F">
      <w:pPr>
        <w:pStyle w:val="EndNoteBibliography"/>
        <w:spacing w:after="0"/>
        <w:ind w:left="720" w:hanging="720"/>
      </w:pPr>
      <w:r w:rsidRPr="0067054F">
        <w:t>GOVERNMENT OF FIJI 2010. Millennium Development Goals 2nd Report, 1990-2009. Suva, Fiji: Government of Fiji.</w:t>
      </w:r>
    </w:p>
    <w:p w14:paraId="5515C628" w14:textId="77777777" w:rsidR="0067054F" w:rsidRPr="0067054F" w:rsidRDefault="0067054F" w:rsidP="0067054F">
      <w:pPr>
        <w:pStyle w:val="EndNoteBibliography"/>
        <w:spacing w:after="0"/>
        <w:ind w:left="720" w:hanging="720"/>
      </w:pPr>
      <w:r w:rsidRPr="0067054F">
        <w:t>GOVERNMENT OF FIJI 2014. A Green Growth Framework for Fiji. Suva, Fiji: Government of Fiji.</w:t>
      </w:r>
    </w:p>
    <w:p w14:paraId="293D535C" w14:textId="77777777" w:rsidR="0067054F" w:rsidRPr="0067054F" w:rsidRDefault="0067054F" w:rsidP="0067054F">
      <w:pPr>
        <w:pStyle w:val="EndNoteBibliography"/>
        <w:spacing w:after="0"/>
        <w:ind w:left="720" w:hanging="720"/>
      </w:pPr>
      <w:r w:rsidRPr="0067054F">
        <w:t>GOVERNMENT OF FIJI 2017a. Climate Vulnerability Assessment. Fiji: Government of Fiji.</w:t>
      </w:r>
    </w:p>
    <w:p w14:paraId="788C2A3D" w14:textId="77777777" w:rsidR="0067054F" w:rsidRPr="0067054F" w:rsidRDefault="0067054F" w:rsidP="0067054F">
      <w:pPr>
        <w:pStyle w:val="EndNoteBibliography"/>
        <w:spacing w:after="0"/>
        <w:ind w:left="720" w:hanging="720"/>
      </w:pPr>
      <w:r w:rsidRPr="0067054F">
        <w:t>GOVERNMENT OF FIJI 2017b. Fiji NDC Implementation Roadmap 2017-2030. Suva, Fiji: Government of Fiji.</w:t>
      </w:r>
    </w:p>
    <w:p w14:paraId="30FA61A4" w14:textId="77777777" w:rsidR="0067054F" w:rsidRPr="0067054F" w:rsidRDefault="0067054F" w:rsidP="0067054F">
      <w:pPr>
        <w:pStyle w:val="EndNoteBibliography"/>
        <w:spacing w:after="0"/>
        <w:ind w:left="720" w:hanging="720"/>
      </w:pPr>
      <w:r w:rsidRPr="0067054F">
        <w:lastRenderedPageBreak/>
        <w:t>GOVERNMENT OF FIJI 2017c. Transforming Fiji: 5-Year and 20-Year National Development Plan. Suva, Fiji: Government of Fiji.</w:t>
      </w:r>
    </w:p>
    <w:p w14:paraId="101AD42C" w14:textId="77777777" w:rsidR="0067054F" w:rsidRPr="0067054F" w:rsidRDefault="0067054F" w:rsidP="0067054F">
      <w:pPr>
        <w:pStyle w:val="EndNoteBibliography"/>
        <w:spacing w:after="0"/>
        <w:ind w:left="720" w:hanging="720"/>
      </w:pPr>
      <w:r w:rsidRPr="0067054F">
        <w:t>GOVERNMENT OF FIJI 2018a. Fiji Low Emission Development Strategy 2018-2050. Fiji: Government of the Republic of Fiji.</w:t>
      </w:r>
    </w:p>
    <w:p w14:paraId="6C5BC49C" w14:textId="77777777" w:rsidR="0067054F" w:rsidRPr="0067054F" w:rsidRDefault="0067054F" w:rsidP="0067054F">
      <w:pPr>
        <w:pStyle w:val="EndNoteBibliography"/>
        <w:spacing w:after="0"/>
        <w:ind w:left="720" w:hanging="720"/>
      </w:pPr>
      <w:r w:rsidRPr="0067054F">
        <w:t>GOVERNMENT OF FIJI 2018b. National Adaptation Plan. Fiji: Government of Fiji.</w:t>
      </w:r>
    </w:p>
    <w:p w14:paraId="5E584EFA" w14:textId="77777777" w:rsidR="0067054F" w:rsidRPr="0067054F" w:rsidRDefault="0067054F" w:rsidP="0067054F">
      <w:pPr>
        <w:pStyle w:val="EndNoteBibliography"/>
        <w:spacing w:after="0"/>
        <w:ind w:left="720" w:hanging="720"/>
      </w:pPr>
      <w:r w:rsidRPr="0067054F">
        <w:t>GOVERNMENT OF FIJI 2019. Voluntary National Review: Fiji's Progress in the Implementation of the Sustainable Development Goals. Suva, Fiji: Government of Fiji.</w:t>
      </w:r>
    </w:p>
    <w:p w14:paraId="6DCD9552" w14:textId="77777777" w:rsidR="0067054F" w:rsidRPr="0067054F" w:rsidRDefault="0067054F" w:rsidP="0067054F">
      <w:pPr>
        <w:pStyle w:val="EndNoteBibliography"/>
        <w:spacing w:after="0"/>
        <w:ind w:left="720" w:hanging="720"/>
      </w:pPr>
      <w:r w:rsidRPr="0067054F">
        <w:t>HAYWARD, J. &amp; GRAHAM, P. 2017. Electricity generation technology cost projections, 2017-2015. Australia: CSIRO.</w:t>
      </w:r>
    </w:p>
    <w:p w14:paraId="7E08BC69" w14:textId="77777777" w:rsidR="0067054F" w:rsidRPr="0067054F" w:rsidRDefault="0067054F" w:rsidP="0067054F">
      <w:pPr>
        <w:pStyle w:val="EndNoteBibliography"/>
        <w:spacing w:after="0"/>
        <w:ind w:left="720" w:hanging="720"/>
      </w:pPr>
      <w:r w:rsidRPr="0067054F">
        <w:t xml:space="preserve">IMF 2017. Government Finance Statistics. </w:t>
      </w:r>
      <w:r w:rsidRPr="0067054F">
        <w:rPr>
          <w:i/>
        </w:rPr>
        <w:t>In:</w:t>
      </w:r>
      <w:r w:rsidRPr="0067054F">
        <w:t xml:space="preserve"> FUND, I. M. (ed.). Washington, USA.</w:t>
      </w:r>
    </w:p>
    <w:p w14:paraId="61C70AC6" w14:textId="77777777" w:rsidR="0067054F" w:rsidRPr="0067054F" w:rsidRDefault="0067054F" w:rsidP="0067054F">
      <w:pPr>
        <w:pStyle w:val="EndNoteBibliography"/>
        <w:spacing w:after="0"/>
        <w:ind w:left="720" w:hanging="720"/>
      </w:pPr>
      <w:r w:rsidRPr="0067054F">
        <w:t xml:space="preserve">IMF 2018. IMF Country Report Republic of Fiji. </w:t>
      </w:r>
      <w:r w:rsidRPr="0067054F">
        <w:rPr>
          <w:i/>
        </w:rPr>
        <w:t>2018 Article IV Consultation.</w:t>
      </w:r>
      <w:r w:rsidRPr="0067054F">
        <w:t xml:space="preserve"> Washington DC: International Monetary Fund.</w:t>
      </w:r>
    </w:p>
    <w:p w14:paraId="784E135D" w14:textId="77777777" w:rsidR="0067054F" w:rsidRPr="0067054F" w:rsidRDefault="0067054F" w:rsidP="0067054F">
      <w:pPr>
        <w:pStyle w:val="EndNoteBibliography"/>
        <w:spacing w:after="0"/>
        <w:ind w:left="720" w:hanging="720"/>
      </w:pPr>
      <w:r w:rsidRPr="0067054F">
        <w:t>INTERNATIONAL ENERGY AGENCY 2016. Global energy database. Paris, France.</w:t>
      </w:r>
    </w:p>
    <w:p w14:paraId="73DAC8F6" w14:textId="77777777" w:rsidR="0067054F" w:rsidRPr="0067054F" w:rsidRDefault="0067054F" w:rsidP="0067054F">
      <w:pPr>
        <w:pStyle w:val="EndNoteBibliography"/>
        <w:spacing w:after="0"/>
        <w:ind w:left="720" w:hanging="720"/>
      </w:pPr>
      <w:r w:rsidRPr="0067054F">
        <w:t>INTERNATIONAL ENERGY AGENCY 2017. Energy Efficiency 2017, Market Report Series. Paris: IEA.</w:t>
      </w:r>
    </w:p>
    <w:p w14:paraId="16BF4C53" w14:textId="77777777" w:rsidR="0067054F" w:rsidRPr="0067054F" w:rsidRDefault="0067054F" w:rsidP="0067054F">
      <w:pPr>
        <w:pStyle w:val="EndNoteBibliography"/>
        <w:spacing w:after="0"/>
        <w:ind w:left="720" w:hanging="720"/>
      </w:pPr>
      <w:r w:rsidRPr="0067054F">
        <w:t>INTERNATIONAL MONETARY FUND 2014. Government finance statistics manual. Washington DC, USA: International Monetary Fund.</w:t>
      </w:r>
    </w:p>
    <w:p w14:paraId="39AFE2BE" w14:textId="77777777" w:rsidR="0067054F" w:rsidRPr="0067054F" w:rsidRDefault="0067054F" w:rsidP="0067054F">
      <w:pPr>
        <w:pStyle w:val="EndNoteBibliography"/>
        <w:spacing w:after="0"/>
        <w:ind w:left="720" w:hanging="720"/>
      </w:pPr>
      <w:r w:rsidRPr="0067054F">
        <w:t>INTERNATIONAL RESOURCE PANEL 2017. Resource Efficiency: Potential and Economic Implications. . Paris: UN Environment.</w:t>
      </w:r>
    </w:p>
    <w:p w14:paraId="5E4F2BF5" w14:textId="77777777" w:rsidR="0067054F" w:rsidRPr="0067054F" w:rsidRDefault="0067054F" w:rsidP="0067054F">
      <w:pPr>
        <w:pStyle w:val="EndNoteBibliography"/>
        <w:spacing w:after="0"/>
        <w:ind w:left="720" w:hanging="720"/>
      </w:pPr>
      <w:r w:rsidRPr="0067054F">
        <w:t>IRENA 2018. Renewable power generation costs in 2017. Abu Dhabi: International Renewable Energy Agency.</w:t>
      </w:r>
    </w:p>
    <w:p w14:paraId="6B6503EA" w14:textId="77777777" w:rsidR="0067054F" w:rsidRPr="0067054F" w:rsidRDefault="0067054F" w:rsidP="0067054F">
      <w:pPr>
        <w:pStyle w:val="EndNoteBibliography"/>
        <w:spacing w:after="0"/>
        <w:ind w:left="720" w:hanging="720"/>
      </w:pPr>
      <w:r w:rsidRPr="0067054F">
        <w:t>ISEE SYSTEMS 2018. Stella Architect. Lebanon, USA: ISEE Systems.</w:t>
      </w:r>
    </w:p>
    <w:p w14:paraId="112F19B4" w14:textId="77777777" w:rsidR="0067054F" w:rsidRPr="0067054F" w:rsidRDefault="0067054F" w:rsidP="0067054F">
      <w:pPr>
        <w:pStyle w:val="EndNoteBibliography"/>
        <w:spacing w:after="0"/>
        <w:ind w:left="720" w:hanging="720"/>
      </w:pPr>
      <w:r w:rsidRPr="0067054F">
        <w:t xml:space="preserve">IUCN 2019. Red List Index. </w:t>
      </w:r>
      <w:r w:rsidRPr="0067054F">
        <w:rPr>
          <w:i/>
        </w:rPr>
        <w:t>In:</w:t>
      </w:r>
      <w:r w:rsidRPr="0067054F">
        <w:t xml:space="preserve"> PROGRAMME, I. G. S. (ed.). Cambridge: IUCN.</w:t>
      </w:r>
    </w:p>
    <w:p w14:paraId="4525039E" w14:textId="77777777" w:rsidR="0067054F" w:rsidRPr="0067054F" w:rsidRDefault="0067054F" w:rsidP="0067054F">
      <w:pPr>
        <w:pStyle w:val="EndNoteBibliography"/>
        <w:spacing w:after="0"/>
        <w:ind w:left="720" w:hanging="720"/>
      </w:pPr>
      <w:r w:rsidRPr="0067054F">
        <w:t>IUCN &amp; UNEP-WCMC 2017. World Database on Protected Areas. International Union for the Conservation of Nature and United Nations Environment Programme World Conservation Monitoring Centre.</w:t>
      </w:r>
    </w:p>
    <w:p w14:paraId="56D1E672" w14:textId="77777777" w:rsidR="0067054F" w:rsidRPr="0067054F" w:rsidRDefault="0067054F" w:rsidP="0067054F">
      <w:pPr>
        <w:pStyle w:val="EndNoteBibliography"/>
        <w:spacing w:after="0"/>
        <w:ind w:left="720" w:hanging="720"/>
      </w:pPr>
      <w:r w:rsidRPr="0067054F">
        <w:t xml:space="preserve">JAMES, A., GASTON, K. J. &amp; BALMFORD, A. 2001. Can we afford to conserve biodiversity? </w:t>
      </w:r>
      <w:r w:rsidRPr="0067054F">
        <w:rPr>
          <w:i/>
        </w:rPr>
        <w:t>BioScience,</w:t>
      </w:r>
      <w:r w:rsidRPr="0067054F">
        <w:t xml:space="preserve"> 51</w:t>
      </w:r>
      <w:r w:rsidRPr="0067054F">
        <w:rPr>
          <w:b/>
        </w:rPr>
        <w:t>,</w:t>
      </w:r>
      <w:r w:rsidRPr="0067054F">
        <w:t xml:space="preserve"> 43-52.</w:t>
      </w:r>
    </w:p>
    <w:p w14:paraId="23DAC377" w14:textId="77777777" w:rsidR="0067054F" w:rsidRPr="0067054F" w:rsidRDefault="0067054F" w:rsidP="0067054F">
      <w:pPr>
        <w:pStyle w:val="EndNoteBibliography"/>
        <w:spacing w:after="0"/>
        <w:ind w:left="720" w:hanging="720"/>
      </w:pPr>
      <w:r w:rsidRPr="0067054F">
        <w:t>JAMES, A., GREEN, J. &amp; PAINE, J. 1999. A Global Review of Protected Area Budgets and Staff. Cambridge, U.K.: World Conservation Monitoring Centre.</w:t>
      </w:r>
    </w:p>
    <w:p w14:paraId="74092A2B" w14:textId="77777777" w:rsidR="0067054F" w:rsidRPr="0067054F" w:rsidRDefault="0067054F" w:rsidP="0067054F">
      <w:pPr>
        <w:pStyle w:val="EndNoteBibliography"/>
        <w:spacing w:after="0"/>
        <w:ind w:left="720" w:hanging="720"/>
      </w:pPr>
      <w:r w:rsidRPr="0067054F">
        <w:t>KAUFMAN, D. &amp; KRAAY, A. 2016. Worldwide Governance Indicators. Washington, USA: The World Bank.</w:t>
      </w:r>
    </w:p>
    <w:p w14:paraId="38AA233B" w14:textId="77777777" w:rsidR="0067054F" w:rsidRPr="0067054F" w:rsidRDefault="0067054F" w:rsidP="0067054F">
      <w:pPr>
        <w:pStyle w:val="EndNoteBibliography"/>
        <w:spacing w:after="0"/>
        <w:ind w:left="720" w:hanging="720"/>
      </w:pPr>
      <w:r w:rsidRPr="0067054F">
        <w:t>KLEISNER, K., BRENNAN, C., GARLAND, A., LINGARD, S., TRACEY, S., SAHLQVIST, P., TSOLOS, A., PAULY, D. &amp; ZELLER, D. 2015. Australia: Reconstructing estimates of total fisheries removal, 1950-2010. British Columbia: University of British Columbia.</w:t>
      </w:r>
    </w:p>
    <w:p w14:paraId="5D46FE28" w14:textId="77777777" w:rsidR="0067054F" w:rsidRPr="0067054F" w:rsidRDefault="0067054F" w:rsidP="0067054F">
      <w:pPr>
        <w:pStyle w:val="EndNoteBibliography"/>
        <w:spacing w:after="0"/>
        <w:ind w:left="720" w:hanging="720"/>
      </w:pPr>
      <w:r w:rsidRPr="000332BC">
        <w:rPr>
          <w:lang w:val="es-AR"/>
        </w:rPr>
        <w:t xml:space="preserve">LAL, M., MCGREGOR, J. L. &amp; NGUYEN, K. C. 2008. </w:t>
      </w:r>
      <w:r w:rsidRPr="0067054F">
        <w:t xml:space="preserve">Very high-resolution climate simulation over Fiji using a global variable-resolution model. </w:t>
      </w:r>
      <w:r w:rsidRPr="0067054F">
        <w:rPr>
          <w:i/>
        </w:rPr>
        <w:t>Climate Dynamics,</w:t>
      </w:r>
      <w:r w:rsidRPr="0067054F">
        <w:t xml:space="preserve"> 30</w:t>
      </w:r>
      <w:r w:rsidRPr="0067054F">
        <w:rPr>
          <w:b/>
        </w:rPr>
        <w:t>,</w:t>
      </w:r>
      <w:r w:rsidRPr="0067054F">
        <w:t xml:space="preserve"> 293-305.</w:t>
      </w:r>
    </w:p>
    <w:p w14:paraId="32958869" w14:textId="77777777" w:rsidR="0067054F" w:rsidRPr="0067054F" w:rsidRDefault="0067054F" w:rsidP="0067054F">
      <w:pPr>
        <w:pStyle w:val="EndNoteBibliography"/>
        <w:spacing w:after="0"/>
        <w:ind w:left="720" w:hanging="720"/>
      </w:pPr>
      <w:r w:rsidRPr="0067054F">
        <w:t xml:space="preserve">LAL, S. &amp; RATURI, A. 2012. Techno-economic analysis of a hybrid mini-grid system for Fiji islands. </w:t>
      </w:r>
      <w:r w:rsidRPr="0067054F">
        <w:rPr>
          <w:i/>
        </w:rPr>
        <w:t>International Journal of Energy and Environmental Engineering,</w:t>
      </w:r>
      <w:r w:rsidRPr="0067054F">
        <w:t xml:space="preserve"> 3</w:t>
      </w:r>
      <w:r w:rsidRPr="0067054F">
        <w:rPr>
          <w:b/>
        </w:rPr>
        <w:t>,</w:t>
      </w:r>
      <w:r w:rsidRPr="0067054F">
        <w:t xml:space="preserve"> 10.</w:t>
      </w:r>
    </w:p>
    <w:p w14:paraId="6C76565E" w14:textId="77777777" w:rsidR="0067054F" w:rsidRPr="0067054F" w:rsidRDefault="0067054F" w:rsidP="0067054F">
      <w:pPr>
        <w:pStyle w:val="EndNoteBibliography"/>
        <w:spacing w:after="0"/>
        <w:ind w:left="720" w:hanging="720"/>
      </w:pPr>
      <w:r w:rsidRPr="0067054F">
        <w:t xml:space="preserve">LENZEN, M., MORAN, D., KANEMOTO, K. &amp; GESCHKE, A. 2013. BUILDING EORA: A GLOBAL MULTI-REGION INPUT–OUTPUT DATABASE AT HIGH COUNTRY AND SECTOR RESOLUTION. </w:t>
      </w:r>
      <w:r w:rsidRPr="0067054F">
        <w:rPr>
          <w:i/>
        </w:rPr>
        <w:t>Economic Systems Research,</w:t>
      </w:r>
      <w:r w:rsidRPr="0067054F">
        <w:t xml:space="preserve"> 25</w:t>
      </w:r>
      <w:r w:rsidRPr="0067054F">
        <w:rPr>
          <w:b/>
        </w:rPr>
        <w:t>,</w:t>
      </w:r>
      <w:r w:rsidRPr="0067054F">
        <w:t xml:space="preserve"> 20-49.</w:t>
      </w:r>
    </w:p>
    <w:p w14:paraId="292F975C" w14:textId="77777777" w:rsidR="0067054F" w:rsidRPr="0067054F" w:rsidRDefault="0067054F" w:rsidP="0067054F">
      <w:pPr>
        <w:pStyle w:val="EndNoteBibliography"/>
        <w:spacing w:after="0"/>
        <w:ind w:left="720" w:hanging="720"/>
      </w:pPr>
      <w:r w:rsidRPr="0067054F">
        <w:t xml:space="preserve">LOFGREN, H., HARRIS, R. L. &amp; ROBINSON, S. 2002. </w:t>
      </w:r>
      <w:r w:rsidRPr="0067054F">
        <w:rPr>
          <w:i/>
        </w:rPr>
        <w:t xml:space="preserve">A standard computable general equilibrium (CGE) model in GAMS, </w:t>
      </w:r>
      <w:r w:rsidRPr="0067054F">
        <w:t>Washington DC, USA, International Food Policy Research Institute.</w:t>
      </w:r>
    </w:p>
    <w:p w14:paraId="5BD1BA5B" w14:textId="77777777" w:rsidR="0067054F" w:rsidRPr="0067054F" w:rsidRDefault="0067054F" w:rsidP="0067054F">
      <w:pPr>
        <w:pStyle w:val="EndNoteBibliography"/>
        <w:spacing w:after="0"/>
        <w:ind w:left="720" w:hanging="720"/>
      </w:pPr>
      <w:r w:rsidRPr="0067054F">
        <w:t xml:space="preserve">MCCREA-STRUB, A., ZELLER, D., SUMAILA, U. R., NELSON, J., BALMFORD, A. &amp; PAULY, D. 2011. Understanding the cost of establishing marine protected areas. </w:t>
      </w:r>
      <w:r w:rsidRPr="0067054F">
        <w:rPr>
          <w:i/>
        </w:rPr>
        <w:t>Marine Policy,</w:t>
      </w:r>
      <w:r w:rsidRPr="0067054F">
        <w:t xml:space="preserve"> 35</w:t>
      </w:r>
      <w:r w:rsidRPr="0067054F">
        <w:rPr>
          <w:b/>
        </w:rPr>
        <w:t>,</w:t>
      </w:r>
      <w:r w:rsidRPr="0067054F">
        <w:t xml:space="preserve"> 1-9.</w:t>
      </w:r>
    </w:p>
    <w:p w14:paraId="51CBF3DD" w14:textId="77777777" w:rsidR="0067054F" w:rsidRPr="0067054F" w:rsidRDefault="0067054F" w:rsidP="0067054F">
      <w:pPr>
        <w:pStyle w:val="EndNoteBibliography"/>
        <w:spacing w:after="0"/>
        <w:ind w:left="720" w:hanging="720"/>
      </w:pPr>
      <w:r w:rsidRPr="0067054F">
        <w:t xml:space="preserve">MCINNES, K. L., WALSH, K. J., HOEKE, R. K., O’GRADY, J. G., COLBERG, F. &amp; HUBBERT, G. D. 2014. Quantifying storm tide risk in Fiji due to climate variability and change. </w:t>
      </w:r>
      <w:r w:rsidRPr="0067054F">
        <w:rPr>
          <w:i/>
        </w:rPr>
        <w:t>Global and Planetary Change,</w:t>
      </w:r>
      <w:r w:rsidRPr="0067054F">
        <w:t xml:space="preserve"> 116</w:t>
      </w:r>
      <w:r w:rsidRPr="0067054F">
        <w:rPr>
          <w:b/>
        </w:rPr>
        <w:t>,</w:t>
      </w:r>
      <w:r w:rsidRPr="0067054F">
        <w:t xml:space="preserve"> 115-129.</w:t>
      </w:r>
    </w:p>
    <w:p w14:paraId="68E3805A" w14:textId="77777777" w:rsidR="0067054F" w:rsidRPr="0067054F" w:rsidRDefault="0067054F" w:rsidP="0067054F">
      <w:pPr>
        <w:pStyle w:val="EndNoteBibliography"/>
        <w:spacing w:after="0"/>
        <w:ind w:left="720" w:hanging="720"/>
      </w:pPr>
      <w:r w:rsidRPr="0067054F">
        <w:t>MILLENNIUM INSTITUTE 2017. iSDG Model Documentation. Washington D.C.: Millennium Institute.</w:t>
      </w:r>
    </w:p>
    <w:p w14:paraId="73248409" w14:textId="77777777" w:rsidR="0067054F" w:rsidRPr="0067054F" w:rsidRDefault="0067054F" w:rsidP="0067054F">
      <w:pPr>
        <w:pStyle w:val="EndNoteBibliography"/>
        <w:spacing w:after="0"/>
        <w:ind w:left="720" w:hanging="720"/>
      </w:pPr>
      <w:r w:rsidRPr="000332BC">
        <w:rPr>
          <w:lang w:val="es-AR"/>
        </w:rPr>
        <w:t xml:space="preserve">NARAYAN, P. K. &amp; NARAYAN, S. 2006. </w:t>
      </w:r>
      <w:r w:rsidRPr="0067054F">
        <w:t xml:space="preserve">Savings behaviour in Fiji: an empirical assessment using the ARDL approach to cointegration. </w:t>
      </w:r>
      <w:r w:rsidRPr="0067054F">
        <w:rPr>
          <w:i/>
        </w:rPr>
        <w:t>International journal of social economics,</w:t>
      </w:r>
      <w:r w:rsidRPr="0067054F">
        <w:t xml:space="preserve"> 33</w:t>
      </w:r>
      <w:r w:rsidRPr="0067054F">
        <w:rPr>
          <w:b/>
        </w:rPr>
        <w:t>,</w:t>
      </w:r>
      <w:r w:rsidRPr="0067054F">
        <w:t xml:space="preserve"> 468-480.</w:t>
      </w:r>
    </w:p>
    <w:p w14:paraId="650522FB" w14:textId="77777777" w:rsidR="0067054F" w:rsidRPr="0067054F" w:rsidRDefault="0067054F" w:rsidP="0067054F">
      <w:pPr>
        <w:pStyle w:val="EndNoteBibliography"/>
        <w:spacing w:after="0"/>
        <w:ind w:left="720" w:hanging="720"/>
      </w:pPr>
      <w:r w:rsidRPr="0067054F">
        <w:lastRenderedPageBreak/>
        <w:t xml:space="preserve">NARAYAN, P. K., NARAYAN, S., CHAND PRASAD, B. &amp; PRASAD, A. 2007. Export-led growth hypothesis: evidence from Papua New Guinea and Fiji. </w:t>
      </w:r>
      <w:r w:rsidRPr="0067054F">
        <w:rPr>
          <w:i/>
        </w:rPr>
        <w:t>Journal of Economic Studies,</w:t>
      </w:r>
      <w:r w:rsidRPr="0067054F">
        <w:t xml:space="preserve"> 34</w:t>
      </w:r>
      <w:r w:rsidRPr="0067054F">
        <w:rPr>
          <w:b/>
        </w:rPr>
        <w:t>,</w:t>
      </w:r>
      <w:r w:rsidRPr="0067054F">
        <w:t xml:space="preserve"> 341-351.</w:t>
      </w:r>
    </w:p>
    <w:p w14:paraId="74A45409" w14:textId="77777777" w:rsidR="0067054F" w:rsidRPr="0067054F" w:rsidRDefault="0067054F" w:rsidP="0067054F">
      <w:pPr>
        <w:pStyle w:val="EndNoteBibliography"/>
        <w:spacing w:after="0"/>
        <w:ind w:left="720" w:hanging="720"/>
      </w:pPr>
      <w:r w:rsidRPr="0067054F">
        <w:t xml:space="preserve">NARAYAN, P. K., NARAYAN, S. &amp; PRASAD, A. 2009. Modelling Fiji–US exchange rate volatility. </w:t>
      </w:r>
      <w:r w:rsidRPr="0067054F">
        <w:rPr>
          <w:i/>
        </w:rPr>
        <w:t>Applied Economics Letters,</w:t>
      </w:r>
      <w:r w:rsidRPr="0067054F">
        <w:t xml:space="preserve"> 16</w:t>
      </w:r>
      <w:r w:rsidRPr="0067054F">
        <w:rPr>
          <w:b/>
        </w:rPr>
        <w:t>,</w:t>
      </w:r>
      <w:r w:rsidRPr="0067054F">
        <w:t xml:space="preserve"> 831-834.</w:t>
      </w:r>
    </w:p>
    <w:p w14:paraId="5A939C6F" w14:textId="77777777" w:rsidR="0067054F" w:rsidRPr="0067054F" w:rsidRDefault="0067054F" w:rsidP="0067054F">
      <w:pPr>
        <w:pStyle w:val="EndNoteBibliography"/>
        <w:spacing w:after="0"/>
        <w:ind w:left="720" w:hanging="720"/>
      </w:pPr>
      <w:r w:rsidRPr="0067054F">
        <w:t xml:space="preserve">NARAYAN, S. 2013. A structural VAR model of the Fiji Islands. </w:t>
      </w:r>
      <w:r w:rsidRPr="0067054F">
        <w:rPr>
          <w:i/>
        </w:rPr>
        <w:t>Economic Modelling,</w:t>
      </w:r>
      <w:r w:rsidRPr="0067054F">
        <w:t xml:space="preserve"> 31</w:t>
      </w:r>
      <w:r w:rsidRPr="0067054F">
        <w:rPr>
          <w:b/>
        </w:rPr>
        <w:t>,</w:t>
      </w:r>
      <w:r w:rsidRPr="0067054F">
        <w:t xml:space="preserve"> 238-244.</w:t>
      </w:r>
    </w:p>
    <w:p w14:paraId="744FD445" w14:textId="77777777" w:rsidR="0067054F" w:rsidRPr="0067054F" w:rsidRDefault="0067054F" w:rsidP="0067054F">
      <w:pPr>
        <w:pStyle w:val="EndNoteBibliography"/>
        <w:spacing w:after="0"/>
        <w:ind w:left="720" w:hanging="720"/>
      </w:pPr>
      <w:r w:rsidRPr="0067054F">
        <w:t xml:space="preserve">O’NEILL, B. C., KRIEGLER, E., EBI, K. L., KEMP-BENEDICT, E., RIAHI, K., ROTHMAN, D. S., VAN RUIJVEN, B. J., VAN VUUREN, D. P., BIRKMANN, J. &amp; KOK, K. 2017. The roads ahead: narratives for shared socioeconomic pathways describing world futures in the 21st century. </w:t>
      </w:r>
      <w:r w:rsidRPr="0067054F">
        <w:rPr>
          <w:i/>
        </w:rPr>
        <w:t>Global Environmental Change,</w:t>
      </w:r>
      <w:r w:rsidRPr="0067054F">
        <w:t xml:space="preserve"> 42</w:t>
      </w:r>
      <w:r w:rsidRPr="0067054F">
        <w:rPr>
          <w:b/>
        </w:rPr>
        <w:t>,</w:t>
      </w:r>
      <w:r w:rsidRPr="0067054F">
        <w:t xml:space="preserve"> 169-180.</w:t>
      </w:r>
    </w:p>
    <w:p w14:paraId="53438AB6" w14:textId="77777777" w:rsidR="0067054F" w:rsidRPr="0067054F" w:rsidRDefault="0067054F" w:rsidP="0067054F">
      <w:pPr>
        <w:pStyle w:val="EndNoteBibliography"/>
        <w:spacing w:after="0"/>
        <w:ind w:left="720" w:hanging="720"/>
      </w:pPr>
      <w:r w:rsidRPr="0067054F">
        <w:t xml:space="preserve">O’NEILL, D. W., FANNING, A. L., LAMB, W. F. &amp; STEINBERGER, J. K. 2018. A good life for all within planetary boundaries. </w:t>
      </w:r>
      <w:r w:rsidRPr="0067054F">
        <w:rPr>
          <w:i/>
        </w:rPr>
        <w:t>Nature Sustainability,</w:t>
      </w:r>
      <w:r w:rsidRPr="0067054F">
        <w:t xml:space="preserve"> 1</w:t>
      </w:r>
      <w:r w:rsidRPr="0067054F">
        <w:rPr>
          <w:b/>
        </w:rPr>
        <w:t>,</w:t>
      </w:r>
      <w:r w:rsidRPr="0067054F">
        <w:t xml:space="preserve"> 88.</w:t>
      </w:r>
    </w:p>
    <w:p w14:paraId="64E4956B" w14:textId="3DE26F87" w:rsidR="0067054F" w:rsidRPr="0067054F" w:rsidRDefault="0067054F" w:rsidP="0067054F">
      <w:pPr>
        <w:pStyle w:val="EndNoteBibliography"/>
        <w:spacing w:after="0"/>
        <w:ind w:left="720" w:hanging="720"/>
      </w:pPr>
      <w:r w:rsidRPr="0067054F">
        <w:t xml:space="preserve">OEC. 2017. </w:t>
      </w:r>
      <w:r w:rsidRPr="0067054F">
        <w:rPr>
          <w:i/>
        </w:rPr>
        <w:t xml:space="preserve">OEC Trade Database: Fiji Country Profile </w:t>
      </w:r>
      <w:r w:rsidRPr="0067054F">
        <w:t xml:space="preserve">[Online]. Massachusetts: The Observatory of Economic Complexity, MIT Available: </w:t>
      </w:r>
      <w:hyperlink r:id="rId50" w:history="1">
        <w:r w:rsidRPr="0067054F">
          <w:rPr>
            <w:rStyle w:val="Hyperlink"/>
          </w:rPr>
          <w:t>https://oec.world/en/profile/country/fji/</w:t>
        </w:r>
      </w:hyperlink>
      <w:r w:rsidRPr="0067054F">
        <w:t xml:space="preserve"> [Accessed].</w:t>
      </w:r>
    </w:p>
    <w:p w14:paraId="6675FE98" w14:textId="77777777" w:rsidR="0067054F" w:rsidRPr="0067054F" w:rsidRDefault="0067054F" w:rsidP="0067054F">
      <w:pPr>
        <w:pStyle w:val="EndNoteBibliography"/>
        <w:spacing w:after="0"/>
        <w:ind w:left="720" w:hanging="720"/>
      </w:pPr>
      <w:r w:rsidRPr="0067054F">
        <w:t>OECD 2017. OECD.stat Green Growth Indicators. Organisation for Economic Cooperation and Development.</w:t>
      </w:r>
    </w:p>
    <w:p w14:paraId="5452C220" w14:textId="77777777" w:rsidR="0067054F" w:rsidRPr="0067054F" w:rsidRDefault="0067054F" w:rsidP="0067054F">
      <w:pPr>
        <w:pStyle w:val="EndNoteBibliography"/>
        <w:spacing w:after="0"/>
        <w:ind w:left="720" w:hanging="720"/>
      </w:pPr>
      <w:r w:rsidRPr="0067054F">
        <w:t>OECD &amp; FAO 2017. OECD-FAO Agricultural Outlook 2018-2027. Rome, Italy: Organisation for Economic Cooperation and Development and the UN Food and Agricultural Organisation.</w:t>
      </w:r>
    </w:p>
    <w:p w14:paraId="1D816FA7" w14:textId="77777777" w:rsidR="0067054F" w:rsidRPr="0067054F" w:rsidRDefault="0067054F" w:rsidP="0067054F">
      <w:pPr>
        <w:pStyle w:val="EndNoteBibliography"/>
        <w:spacing w:after="0"/>
        <w:ind w:left="720" w:hanging="720"/>
      </w:pPr>
      <w:r w:rsidRPr="0067054F">
        <w:t>OECD &amp; FAO 2019. Agricultrual Outlook 2019-2028. Paris: OECD.</w:t>
      </w:r>
    </w:p>
    <w:p w14:paraId="5A4FA7C1" w14:textId="77777777" w:rsidR="0067054F" w:rsidRPr="0067054F" w:rsidRDefault="0067054F" w:rsidP="0067054F">
      <w:pPr>
        <w:pStyle w:val="EndNoteBibliography"/>
        <w:spacing w:after="0"/>
        <w:ind w:left="720" w:hanging="720"/>
      </w:pPr>
      <w:r w:rsidRPr="0067054F">
        <w:t>ORGANISATION FOR ECONOMIC COOPERATION AND DEVELOPMENT 2012. OECD Environmental Outlook to 2050: The consequences of inaction. Paris: OECD.</w:t>
      </w:r>
    </w:p>
    <w:p w14:paraId="221C9A8F" w14:textId="77777777" w:rsidR="0067054F" w:rsidRPr="0067054F" w:rsidRDefault="0067054F" w:rsidP="0067054F">
      <w:pPr>
        <w:pStyle w:val="EndNoteBibliography"/>
        <w:spacing w:after="0"/>
        <w:ind w:left="720" w:hanging="720"/>
      </w:pPr>
      <w:r w:rsidRPr="0067054F">
        <w:t>ORR, B., COWIE, A., CASTILLO SANCHEZ, V., CHASEK, P., CROSSMAN, N., ERLEWEIN, A., LOUWAGIE, G., MARON, M., METTERNICHT, G. &amp; MINELLI, S. Scientific conceptual framework for land degradation neutrality.  Bonn, Germany: United Nations Convention to Combat Desertification (UNCCD), 2017. 1-98.</w:t>
      </w:r>
    </w:p>
    <w:p w14:paraId="16D225C9" w14:textId="77777777" w:rsidR="0067054F" w:rsidRPr="0067054F" w:rsidRDefault="0067054F" w:rsidP="0067054F">
      <w:pPr>
        <w:pStyle w:val="EndNoteBibliography"/>
        <w:spacing w:after="0"/>
        <w:ind w:left="720" w:hanging="720"/>
        <w:rPr>
          <w:i/>
        </w:rPr>
      </w:pPr>
      <w:r w:rsidRPr="0067054F">
        <w:t xml:space="preserve">PANDEY, K. D., BUYS, P., CHOMITZ, K. &amp; WHEELER, D. 2006. Biodiversity Conservation Indicators: New Tools for Priority-Setting at the Global Environment Facility. </w:t>
      </w:r>
      <w:r w:rsidRPr="0067054F">
        <w:rPr>
          <w:i/>
        </w:rPr>
        <w:t>World Bank Development Research Group Working Paper.</w:t>
      </w:r>
    </w:p>
    <w:p w14:paraId="020FFAF5" w14:textId="77777777" w:rsidR="0067054F" w:rsidRPr="0067054F" w:rsidRDefault="0067054F" w:rsidP="0067054F">
      <w:pPr>
        <w:pStyle w:val="EndNoteBibliography"/>
        <w:spacing w:after="0"/>
        <w:ind w:left="720" w:hanging="720"/>
      </w:pPr>
      <w:r w:rsidRPr="0067054F">
        <w:t>PAULY, D. &amp; ZELLER, D. 2015. Seas Around Us Concepts, Design and Data. British Columbia: University of British Columbia.</w:t>
      </w:r>
    </w:p>
    <w:p w14:paraId="7A41C6BE" w14:textId="77777777" w:rsidR="0067054F" w:rsidRPr="0067054F" w:rsidRDefault="0067054F" w:rsidP="0067054F">
      <w:pPr>
        <w:pStyle w:val="EndNoteBibliography"/>
        <w:spacing w:after="0"/>
        <w:ind w:left="720" w:hanging="720"/>
      </w:pPr>
      <w:r w:rsidRPr="0067054F">
        <w:t>PAYTON, I. &amp; WEAVER, S. 2011. Fiji National Forest Carbon Stock Assessment. Suva, Fiji: Secretariat of the Pacific Community.</w:t>
      </w:r>
    </w:p>
    <w:p w14:paraId="6A2CFDD1" w14:textId="77777777" w:rsidR="0067054F" w:rsidRPr="0067054F" w:rsidRDefault="0067054F" w:rsidP="0067054F">
      <w:pPr>
        <w:pStyle w:val="EndNoteBibliography"/>
        <w:spacing w:after="0"/>
        <w:ind w:left="720" w:hanging="720"/>
      </w:pPr>
      <w:r w:rsidRPr="0067054F">
        <w:t xml:space="preserve">PRASAD, R. D. &amp; RATURI, A. 2019. Low carbon alternatives and their implications for Fiji's electricity sector. </w:t>
      </w:r>
      <w:r w:rsidRPr="0067054F">
        <w:rPr>
          <w:i/>
        </w:rPr>
        <w:t>Utilities Policy,</w:t>
      </w:r>
      <w:r w:rsidRPr="0067054F">
        <w:t xml:space="preserve"> 56</w:t>
      </w:r>
      <w:r w:rsidRPr="0067054F">
        <w:rPr>
          <w:b/>
        </w:rPr>
        <w:t>,</w:t>
      </w:r>
      <w:r w:rsidRPr="0067054F">
        <w:t xml:space="preserve"> 1-19.</w:t>
      </w:r>
    </w:p>
    <w:p w14:paraId="635C8AB7" w14:textId="77777777" w:rsidR="0067054F" w:rsidRPr="0067054F" w:rsidRDefault="0067054F" w:rsidP="0067054F">
      <w:pPr>
        <w:pStyle w:val="EndNoteBibliography"/>
        <w:spacing w:after="0"/>
        <w:ind w:left="720" w:hanging="720"/>
      </w:pPr>
      <w:r w:rsidRPr="0067054F">
        <w:t xml:space="preserve">PRATT, S. 2014. A general equilibrium analysis of the economic impact of a devaluation on tourism: The case of Fiji. </w:t>
      </w:r>
      <w:r w:rsidRPr="0067054F">
        <w:rPr>
          <w:i/>
        </w:rPr>
        <w:t>Tourism Economics,</w:t>
      </w:r>
      <w:r w:rsidRPr="0067054F">
        <w:t xml:space="preserve"> 20</w:t>
      </w:r>
      <w:r w:rsidRPr="0067054F">
        <w:rPr>
          <w:b/>
        </w:rPr>
        <w:t>,</w:t>
      </w:r>
      <w:r w:rsidRPr="0067054F">
        <w:t xml:space="preserve"> 389-405.</w:t>
      </w:r>
    </w:p>
    <w:p w14:paraId="3E7AE588" w14:textId="77777777" w:rsidR="0067054F" w:rsidRPr="0067054F" w:rsidRDefault="0067054F" w:rsidP="0067054F">
      <w:pPr>
        <w:pStyle w:val="EndNoteBibliography"/>
        <w:spacing w:after="0"/>
        <w:ind w:left="720" w:hanging="720"/>
      </w:pPr>
      <w:r w:rsidRPr="0067054F">
        <w:t xml:space="preserve">PRATT, S. 2015. The economic impact of tourism in SIDS. </w:t>
      </w:r>
      <w:r w:rsidRPr="0067054F">
        <w:rPr>
          <w:i/>
        </w:rPr>
        <w:t>Annals of Tourism Research,</w:t>
      </w:r>
      <w:r w:rsidRPr="0067054F">
        <w:t xml:space="preserve"> 52</w:t>
      </w:r>
      <w:r w:rsidRPr="0067054F">
        <w:rPr>
          <w:b/>
        </w:rPr>
        <w:t>,</w:t>
      </w:r>
      <w:r w:rsidRPr="0067054F">
        <w:t xml:space="preserve"> 148-160.</w:t>
      </w:r>
    </w:p>
    <w:p w14:paraId="496332D2" w14:textId="77777777" w:rsidR="0067054F" w:rsidRPr="0067054F" w:rsidRDefault="0067054F" w:rsidP="0067054F">
      <w:pPr>
        <w:pStyle w:val="EndNoteBibliography"/>
        <w:spacing w:after="0"/>
        <w:ind w:left="720" w:hanging="720"/>
      </w:pPr>
      <w:r w:rsidRPr="0067054F">
        <w:t xml:space="preserve">RIAHI, K., VAN VUUREN, D. P., KRIEGLER, E., EDMONDS, J., O’NEILL, B. C., FUJIMORI, S., BAUER, N., CALVIN, K., DELLINK, R. &amp; FRICKO, O. 2017. The shared socioeconomic pathways and their energy, land use, and greenhouse gas emissions implications: an overview. </w:t>
      </w:r>
      <w:r w:rsidRPr="0067054F">
        <w:rPr>
          <w:i/>
        </w:rPr>
        <w:t>Global Environmental Change,</w:t>
      </w:r>
      <w:r w:rsidRPr="0067054F">
        <w:t xml:space="preserve"> 42</w:t>
      </w:r>
      <w:r w:rsidRPr="0067054F">
        <w:rPr>
          <w:b/>
        </w:rPr>
        <w:t>,</w:t>
      </w:r>
      <w:r w:rsidRPr="0067054F">
        <w:t xml:space="preserve"> 153-168.</w:t>
      </w:r>
    </w:p>
    <w:p w14:paraId="3865C12D" w14:textId="77777777" w:rsidR="0067054F" w:rsidRPr="0067054F" w:rsidRDefault="0067054F" w:rsidP="0067054F">
      <w:pPr>
        <w:pStyle w:val="EndNoteBibliography"/>
        <w:spacing w:after="0"/>
        <w:ind w:left="720" w:hanging="720"/>
      </w:pPr>
      <w:r w:rsidRPr="0067054F">
        <w:t xml:space="preserve">SACHS, J., SCHMIDT-TRAUB, G., KROLL, C., DURAND-DELACRE, D. &amp; TEKSOZ, K. 2017. SDG Index and Dashboards Report 2017. </w:t>
      </w:r>
      <w:r w:rsidRPr="0067054F">
        <w:rPr>
          <w:i/>
        </w:rPr>
        <w:t>Bertelsmann Stiftung and Sustainable Development Solutions Network (SDSN): New York, NY, USA</w:t>
      </w:r>
      <w:r w:rsidRPr="0067054F">
        <w:t>.</w:t>
      </w:r>
    </w:p>
    <w:p w14:paraId="19A6F9C0" w14:textId="77777777" w:rsidR="0067054F" w:rsidRPr="0067054F" w:rsidRDefault="0067054F" w:rsidP="0067054F">
      <w:pPr>
        <w:pStyle w:val="EndNoteBibliography"/>
        <w:spacing w:after="0"/>
        <w:ind w:left="720" w:hanging="720"/>
      </w:pPr>
      <w:r w:rsidRPr="0067054F">
        <w:t>SACHS, J., SCHMIDT-TRAUB, G., KROLL, C., LAFORTUNE, G. &amp; FULLER, G. 2019. Sustainable Development Report 2019. New York: Betelsmann Stiftung and Sustainable Development Solutions Network.</w:t>
      </w:r>
    </w:p>
    <w:p w14:paraId="3EA5B850" w14:textId="77777777" w:rsidR="0067054F" w:rsidRPr="0067054F" w:rsidRDefault="0067054F" w:rsidP="0067054F">
      <w:pPr>
        <w:pStyle w:val="EndNoteBibliography"/>
        <w:spacing w:after="0"/>
        <w:ind w:left="720" w:hanging="720"/>
      </w:pPr>
      <w:r w:rsidRPr="0067054F">
        <w:t xml:space="preserve">SCHMIDT-TRAUB, G., KROLL, C., TEKSOZ, K., DURAND-DELACRE, D. &amp; SACHS, J. D. 2017. National baselines for the Sustainable Development Goals assessed in the SDG Index and Dashboards. </w:t>
      </w:r>
      <w:r w:rsidRPr="0067054F">
        <w:rPr>
          <w:i/>
        </w:rPr>
        <w:t>Nature Geoscience,</w:t>
      </w:r>
      <w:r w:rsidRPr="0067054F">
        <w:t xml:space="preserve"> 10.</w:t>
      </w:r>
    </w:p>
    <w:p w14:paraId="4E7B43A8" w14:textId="77777777" w:rsidR="0067054F" w:rsidRPr="0067054F" w:rsidRDefault="0067054F" w:rsidP="0067054F">
      <w:pPr>
        <w:pStyle w:val="EndNoteBibliography"/>
        <w:spacing w:after="0"/>
        <w:ind w:left="720" w:hanging="720"/>
      </w:pPr>
      <w:r w:rsidRPr="0067054F">
        <w:t>SENOKONOKO, K. B. 2014. Hydraulic modelling of the water distribution system of Tavua-Vatukoula, Fiji. Brisbane: University of Queensland.</w:t>
      </w:r>
    </w:p>
    <w:p w14:paraId="379A1746" w14:textId="77777777" w:rsidR="0067054F" w:rsidRPr="0067054F" w:rsidRDefault="0067054F" w:rsidP="0067054F">
      <w:pPr>
        <w:pStyle w:val="EndNoteBibliography"/>
        <w:spacing w:after="0"/>
        <w:ind w:left="720" w:hanging="720"/>
      </w:pPr>
      <w:r w:rsidRPr="0067054F">
        <w:lastRenderedPageBreak/>
        <w:t xml:space="preserve">SNOWDON, W., MOODIE, M., SCHULTZ, J. &amp; SWINBURN, B. 2011. Modelling of potential food policy interventions in Fiji and Tonga and their impacts on noncommunicable disease mortality. </w:t>
      </w:r>
      <w:r w:rsidRPr="0067054F">
        <w:rPr>
          <w:i/>
        </w:rPr>
        <w:t>Food Policy,</w:t>
      </w:r>
      <w:r w:rsidRPr="0067054F">
        <w:t xml:space="preserve"> 36</w:t>
      </w:r>
      <w:r w:rsidRPr="0067054F">
        <w:rPr>
          <w:b/>
        </w:rPr>
        <w:t>,</w:t>
      </w:r>
      <w:r w:rsidRPr="0067054F">
        <w:t xml:space="preserve"> 597-605.</w:t>
      </w:r>
    </w:p>
    <w:p w14:paraId="7C624092" w14:textId="77777777" w:rsidR="0067054F" w:rsidRPr="0067054F" w:rsidRDefault="0067054F" w:rsidP="0067054F">
      <w:pPr>
        <w:pStyle w:val="EndNoteBibliography"/>
        <w:spacing w:after="0"/>
        <w:ind w:left="720" w:hanging="720"/>
      </w:pPr>
      <w:r w:rsidRPr="0067054F">
        <w:t>SUSTAINABLE EUROPE RESEARCH INSTITUTE 2009. Resource efficiency for sustainable growth: global trends and European policy scenarios. Brussels: UNIDO.</w:t>
      </w:r>
    </w:p>
    <w:p w14:paraId="14C02DF7" w14:textId="77777777" w:rsidR="0067054F" w:rsidRPr="0067054F" w:rsidRDefault="0067054F" w:rsidP="0067054F">
      <w:pPr>
        <w:pStyle w:val="EndNoteBibliography"/>
        <w:spacing w:after="0"/>
        <w:ind w:left="720" w:hanging="720"/>
      </w:pPr>
      <w:r w:rsidRPr="0067054F">
        <w:t>THE WORLD BANK 2018. World Development Indicators DataBank. Washington, USA.</w:t>
      </w:r>
    </w:p>
    <w:p w14:paraId="13E9197B" w14:textId="77777777" w:rsidR="0067054F" w:rsidRPr="0067054F" w:rsidRDefault="0067054F" w:rsidP="0067054F">
      <w:pPr>
        <w:pStyle w:val="EndNoteBibliography"/>
        <w:spacing w:after="0"/>
        <w:ind w:left="720" w:hanging="720"/>
      </w:pPr>
      <w:r w:rsidRPr="0067054F">
        <w:t>TRANSPARENCY INTERNATIONAL 2016. Corruption Perception Index. Berlin: Transparency International.</w:t>
      </w:r>
    </w:p>
    <w:p w14:paraId="5561B619" w14:textId="56F99CA3" w:rsidR="0067054F" w:rsidRPr="0067054F" w:rsidRDefault="0067054F" w:rsidP="0067054F">
      <w:pPr>
        <w:pStyle w:val="EndNoteBibliography"/>
        <w:spacing w:after="0"/>
        <w:ind w:left="720" w:hanging="720"/>
      </w:pPr>
      <w:r w:rsidRPr="0067054F">
        <w:t xml:space="preserve">UNDP. 2016. </w:t>
      </w:r>
      <w:r w:rsidRPr="0067054F">
        <w:rPr>
          <w:i/>
        </w:rPr>
        <w:t xml:space="preserve">Chemical Free Farming Paves the Way to Sustainability in Fiji </w:t>
      </w:r>
      <w:r w:rsidRPr="0067054F">
        <w:t xml:space="preserve">[Online]. Suva, Fiji: United Nations Development Programme and Global Environmentl Facility Small Grants Programme. Available: </w:t>
      </w:r>
      <w:hyperlink r:id="rId51" w:history="1">
        <w:r w:rsidRPr="0067054F">
          <w:rPr>
            <w:rStyle w:val="Hyperlink"/>
          </w:rPr>
          <w:t>https://www.sgp.undp.org/index.php?option=com_content&amp;view=article&amp;id=425:chemical-free-farming-paves-the-way-to-sustainability-in-fiji&amp;catid=36:our-stories&amp;Itemid=253</w:t>
        </w:r>
      </w:hyperlink>
      <w:r w:rsidRPr="0067054F">
        <w:t xml:space="preserve"> [Accessed 10 December 2019].</w:t>
      </w:r>
    </w:p>
    <w:p w14:paraId="6225FD0E" w14:textId="77777777" w:rsidR="0067054F" w:rsidRPr="0067054F" w:rsidRDefault="0067054F" w:rsidP="0067054F">
      <w:pPr>
        <w:pStyle w:val="EndNoteBibliography"/>
        <w:spacing w:after="0"/>
        <w:ind w:left="720" w:hanging="720"/>
      </w:pPr>
      <w:r w:rsidRPr="0067054F">
        <w:t>UNEP 2016. Adaptation Finance Gap Report. Nairobi: United Nations Environment Progrmme.</w:t>
      </w:r>
    </w:p>
    <w:p w14:paraId="06D63CE2" w14:textId="77777777" w:rsidR="0067054F" w:rsidRPr="0067054F" w:rsidRDefault="0067054F" w:rsidP="0067054F">
      <w:pPr>
        <w:pStyle w:val="EndNoteBibliography"/>
        <w:spacing w:after="0"/>
        <w:ind w:left="720" w:hanging="720"/>
      </w:pPr>
      <w:r w:rsidRPr="0067054F">
        <w:t>UNFCCC 2007. Investment and Financial Flows to Address Climate Change. Bonn: United Nations Framework Convention on Climate Change.</w:t>
      </w:r>
    </w:p>
    <w:p w14:paraId="14B087B3" w14:textId="77777777" w:rsidR="0067054F" w:rsidRPr="0067054F" w:rsidRDefault="0067054F" w:rsidP="0067054F">
      <w:pPr>
        <w:pStyle w:val="EndNoteBibliography"/>
        <w:spacing w:after="0"/>
        <w:ind w:left="720" w:hanging="720"/>
      </w:pPr>
      <w:r w:rsidRPr="0067054F">
        <w:t>UNITED NATIONS 2015. Sendai Framework for Disaster Risk Reduction 2015-2030. New York: United Nations Office for Disaster Risk Reduction.</w:t>
      </w:r>
    </w:p>
    <w:p w14:paraId="20ECDBD0" w14:textId="77777777" w:rsidR="0067054F" w:rsidRPr="0067054F" w:rsidRDefault="0067054F" w:rsidP="0067054F">
      <w:pPr>
        <w:pStyle w:val="EndNoteBibliography"/>
        <w:spacing w:after="0"/>
        <w:ind w:left="720" w:hanging="720"/>
      </w:pPr>
      <w:r w:rsidRPr="0067054F">
        <w:t>UNITED NATIONS 2017. United Nations Strategic Plan for Forests 2017-2030. New York: United Nations.</w:t>
      </w:r>
    </w:p>
    <w:p w14:paraId="1EB5CE25" w14:textId="77777777" w:rsidR="0067054F" w:rsidRPr="0067054F" w:rsidRDefault="0067054F" w:rsidP="0067054F">
      <w:pPr>
        <w:pStyle w:val="EndNoteBibliography"/>
        <w:spacing w:after="0"/>
        <w:ind w:left="720" w:hanging="720"/>
      </w:pPr>
      <w:r w:rsidRPr="0067054F">
        <w:t>UNITED NATIONS 2018. United Nations Global SDG Database. New York: United Nations.</w:t>
      </w:r>
    </w:p>
    <w:p w14:paraId="03F103F6" w14:textId="77777777" w:rsidR="0067054F" w:rsidRPr="0067054F" w:rsidRDefault="0067054F" w:rsidP="0067054F">
      <w:pPr>
        <w:pStyle w:val="EndNoteBibliography"/>
        <w:spacing w:after="0"/>
        <w:ind w:left="720" w:hanging="720"/>
      </w:pPr>
      <w:r w:rsidRPr="0067054F">
        <w:t xml:space="preserve">UNITED NATIONS 2019. World Population Prospects. </w:t>
      </w:r>
      <w:r w:rsidRPr="0067054F">
        <w:rPr>
          <w:i/>
        </w:rPr>
        <w:t>In:</w:t>
      </w:r>
      <w:r w:rsidRPr="0067054F">
        <w:t xml:space="preserve"> DIVISION, U. P. (ed.). New York: UN Population Division.</w:t>
      </w:r>
    </w:p>
    <w:p w14:paraId="1D5CAB7F" w14:textId="77777777" w:rsidR="0067054F" w:rsidRPr="0067054F" w:rsidRDefault="0067054F" w:rsidP="0067054F">
      <w:pPr>
        <w:pStyle w:val="EndNoteBibliography"/>
        <w:spacing w:after="0"/>
        <w:ind w:left="720" w:hanging="720"/>
      </w:pPr>
      <w:r w:rsidRPr="0067054F">
        <w:t>UNITED NATIONS CONVENTION ON BIOLOGICAL DIVERSITY 2010. Strategic Plan for Biodiversity 2011-2020. Montreal, Canada: United Nations.</w:t>
      </w:r>
    </w:p>
    <w:p w14:paraId="5C6C09B0" w14:textId="77777777" w:rsidR="0067054F" w:rsidRPr="0067054F" w:rsidRDefault="0067054F" w:rsidP="0067054F">
      <w:pPr>
        <w:pStyle w:val="EndNoteBibliography"/>
        <w:spacing w:after="0"/>
        <w:ind w:left="720" w:hanging="720"/>
      </w:pPr>
      <w:r w:rsidRPr="0067054F">
        <w:t>UNITED NATIONS DEVELOPMENT GROUP 2015. Mainstreaming the 2030 Agenda for Sustainable Development: Interim Reference Guide to UN Country Teams.</w:t>
      </w:r>
    </w:p>
    <w:p w14:paraId="3F3755D2" w14:textId="77777777" w:rsidR="0067054F" w:rsidRPr="0067054F" w:rsidRDefault="0067054F" w:rsidP="0067054F">
      <w:pPr>
        <w:pStyle w:val="EndNoteBibliography"/>
        <w:spacing w:after="0"/>
        <w:ind w:left="720" w:hanging="720"/>
      </w:pPr>
      <w:r w:rsidRPr="0067054F">
        <w:t xml:space="preserve">UNITED NATIONS GENERAL ASSEMBLY 2015. Transforming our world: the 2030 Agenda for Sustainable Development, outcome document of the United Nations summit for the adoption of the post-2015 agenda. </w:t>
      </w:r>
      <w:r w:rsidRPr="0067054F">
        <w:rPr>
          <w:i/>
        </w:rPr>
        <w:t>RES/A/70/L.1.</w:t>
      </w:r>
      <w:r w:rsidRPr="0067054F">
        <w:t xml:space="preserve"> New York: United Nations.</w:t>
      </w:r>
    </w:p>
    <w:p w14:paraId="75312EAB" w14:textId="77777777" w:rsidR="0067054F" w:rsidRPr="0067054F" w:rsidRDefault="0067054F" w:rsidP="0067054F">
      <w:pPr>
        <w:pStyle w:val="EndNoteBibliography"/>
        <w:spacing w:after="0"/>
        <w:ind w:left="720" w:hanging="720"/>
      </w:pPr>
      <w:r w:rsidRPr="0067054F">
        <w:t>USAID 2017. Climate Change Adaptation Through Sustainable Agriculture. Suva, Fiji: USAID.</w:t>
      </w:r>
    </w:p>
    <w:p w14:paraId="325FFF05" w14:textId="77777777" w:rsidR="0067054F" w:rsidRPr="0067054F" w:rsidRDefault="0067054F" w:rsidP="0067054F">
      <w:pPr>
        <w:pStyle w:val="EndNoteBibliography"/>
        <w:spacing w:after="0"/>
        <w:ind w:left="720" w:hanging="720"/>
      </w:pPr>
      <w:r w:rsidRPr="0067054F">
        <w:t xml:space="preserve">USDA 2017. National Agricultural Statistics. </w:t>
      </w:r>
      <w:r w:rsidRPr="0067054F">
        <w:rPr>
          <w:i/>
        </w:rPr>
        <w:t>In:</w:t>
      </w:r>
      <w:r w:rsidRPr="0067054F">
        <w:t xml:space="preserve"> SERVICE, N. A. S. (ed.). USA: United States Department of Agriculture.</w:t>
      </w:r>
    </w:p>
    <w:p w14:paraId="1D279BFB" w14:textId="77777777" w:rsidR="0067054F" w:rsidRPr="0067054F" w:rsidRDefault="0067054F" w:rsidP="0067054F">
      <w:pPr>
        <w:pStyle w:val="EndNoteBibliography"/>
        <w:spacing w:after="0"/>
        <w:ind w:left="720" w:hanging="720"/>
      </w:pPr>
      <w:r w:rsidRPr="0067054F">
        <w:t>VENTANA SYSTEMS INC. 2018. Vensim DSS 7.3. Harvard, USA: Ventana Systems Inc.</w:t>
      </w:r>
    </w:p>
    <w:p w14:paraId="3A594DA1" w14:textId="77777777" w:rsidR="0067054F" w:rsidRPr="0067054F" w:rsidRDefault="0067054F" w:rsidP="0067054F">
      <w:pPr>
        <w:pStyle w:val="EndNoteBibliography"/>
        <w:spacing w:after="0"/>
        <w:ind w:left="720" w:hanging="720"/>
      </w:pPr>
      <w:r w:rsidRPr="0067054F">
        <w:t>WEST, J. &amp; LIEBER, M. 2018. Global Material Flows Database. Paris, France.</w:t>
      </w:r>
    </w:p>
    <w:p w14:paraId="24F679CE" w14:textId="77777777" w:rsidR="0067054F" w:rsidRPr="0067054F" w:rsidRDefault="0067054F" w:rsidP="0067054F">
      <w:pPr>
        <w:pStyle w:val="EndNoteBibliography"/>
        <w:spacing w:after="0"/>
        <w:ind w:left="720" w:hanging="720"/>
      </w:pPr>
      <w:r w:rsidRPr="0067054F">
        <w:t>WHO 2005. WHO Air quality guidelines for particulate matter, ozone, nitrogen dioxide and sulfur dioxide. Switzerland: World Health Organisation.</w:t>
      </w:r>
    </w:p>
    <w:p w14:paraId="39ABA91C" w14:textId="77777777" w:rsidR="0067054F" w:rsidRPr="0067054F" w:rsidRDefault="0067054F" w:rsidP="0067054F">
      <w:pPr>
        <w:pStyle w:val="EndNoteBibliography"/>
        <w:spacing w:after="0"/>
        <w:ind w:left="720" w:hanging="720"/>
      </w:pPr>
      <w:r w:rsidRPr="0067054F">
        <w:t>WHO 2012. Global costs and benefits of drinking-water supply and sanitation interventions to reach the MDG target and universal coverage. Geneva: World Health Organization.</w:t>
      </w:r>
    </w:p>
    <w:p w14:paraId="7C0B49C0" w14:textId="77777777" w:rsidR="0067054F" w:rsidRPr="0067054F" w:rsidRDefault="0067054F" w:rsidP="0067054F">
      <w:pPr>
        <w:pStyle w:val="EndNoteBibliography"/>
        <w:spacing w:after="0"/>
        <w:ind w:left="720" w:hanging="720"/>
      </w:pPr>
      <w:r w:rsidRPr="0067054F">
        <w:t>WHO 2018. Global Health Estimates: Desease burden by Cause, Age, Sex, Country and Region. Switzerland: World Health Organisation.</w:t>
      </w:r>
    </w:p>
    <w:p w14:paraId="03CFB1CD" w14:textId="77777777" w:rsidR="0067054F" w:rsidRPr="0067054F" w:rsidRDefault="0067054F" w:rsidP="0067054F">
      <w:pPr>
        <w:pStyle w:val="EndNoteBibliography"/>
        <w:spacing w:after="0"/>
        <w:ind w:left="720" w:hanging="720"/>
      </w:pPr>
      <w:r w:rsidRPr="0067054F">
        <w:t>WORLD BANK 2015. Project Appriasal Document on a Proposed Loan in the Amount of US$50 Million to the Republic of Fiji for a Transport Infrastructure Project. Washington DC: World Bank.</w:t>
      </w:r>
    </w:p>
    <w:p w14:paraId="4E13D9E6" w14:textId="77777777" w:rsidR="0067054F" w:rsidRPr="0067054F" w:rsidRDefault="0067054F" w:rsidP="0067054F">
      <w:pPr>
        <w:pStyle w:val="EndNoteBibliography"/>
        <w:ind w:left="720" w:hanging="720"/>
      </w:pPr>
      <w:r w:rsidRPr="0067054F">
        <w:t>WORLD BANK 2019. Commodity Markets Outlook. Washington DC: World Bank.</w:t>
      </w:r>
    </w:p>
    <w:p w14:paraId="09C97091" w14:textId="3B5AD7A7" w:rsidR="001A161E" w:rsidRPr="008A49E8" w:rsidRDefault="00190CD7" w:rsidP="00773761">
      <w:pPr>
        <w:rPr>
          <w:b/>
          <w:bCs/>
          <w:lang w:val="en-AU"/>
        </w:rPr>
      </w:pPr>
      <w:r>
        <w:rPr>
          <w:b/>
          <w:bCs/>
          <w:lang w:val="en-AU"/>
        </w:rPr>
        <w:fldChar w:fldCharType="end"/>
      </w:r>
    </w:p>
    <w:sectPr w:rsidR="001A161E" w:rsidRPr="008A49E8" w:rsidSect="004E2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682BE" w14:textId="77777777" w:rsidR="001F42B2" w:rsidRDefault="001F42B2" w:rsidP="00A64378">
      <w:pPr>
        <w:spacing w:after="0" w:line="240" w:lineRule="auto"/>
      </w:pPr>
      <w:r>
        <w:separator/>
      </w:r>
    </w:p>
  </w:endnote>
  <w:endnote w:type="continuationSeparator" w:id="0">
    <w:p w14:paraId="54D48168" w14:textId="77777777" w:rsidR="001F42B2" w:rsidRDefault="001F42B2" w:rsidP="00A6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9145624"/>
      <w:docPartObj>
        <w:docPartGallery w:val="Page Numbers (Bottom of Page)"/>
        <w:docPartUnique/>
      </w:docPartObj>
    </w:sdtPr>
    <w:sdtEndPr>
      <w:rPr>
        <w:noProof/>
      </w:rPr>
    </w:sdtEndPr>
    <w:sdtContent>
      <w:p w14:paraId="13DAC6F8" w14:textId="3726FB8A" w:rsidR="00B90F5D" w:rsidRDefault="00B90F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4B42C1" w14:textId="77777777" w:rsidR="00B90F5D" w:rsidRDefault="00B90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ED4AD" w14:textId="77777777" w:rsidR="001F42B2" w:rsidRDefault="001F42B2" w:rsidP="00A64378">
      <w:pPr>
        <w:spacing w:after="0" w:line="240" w:lineRule="auto"/>
      </w:pPr>
      <w:r>
        <w:separator/>
      </w:r>
    </w:p>
  </w:footnote>
  <w:footnote w:type="continuationSeparator" w:id="0">
    <w:p w14:paraId="1CB95179" w14:textId="77777777" w:rsidR="001F42B2" w:rsidRDefault="001F42B2" w:rsidP="00A643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2B07"/>
    <w:multiLevelType w:val="hybridMultilevel"/>
    <w:tmpl w:val="C9763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877EA5"/>
    <w:multiLevelType w:val="hybridMultilevel"/>
    <w:tmpl w:val="87425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C90694"/>
    <w:multiLevelType w:val="hybridMultilevel"/>
    <w:tmpl w:val="9B0EE0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7393A7D"/>
    <w:multiLevelType w:val="hybridMultilevel"/>
    <w:tmpl w:val="2F38D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BB199A"/>
    <w:multiLevelType w:val="hybridMultilevel"/>
    <w:tmpl w:val="7EBEA5E8"/>
    <w:lvl w:ilvl="0" w:tplc="E38AE2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714FA8"/>
    <w:multiLevelType w:val="hybridMultilevel"/>
    <w:tmpl w:val="4FD4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9C7212"/>
    <w:multiLevelType w:val="hybridMultilevel"/>
    <w:tmpl w:val="5D7AAEDE"/>
    <w:lvl w:ilvl="0" w:tplc="8FD432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785626"/>
    <w:multiLevelType w:val="hybridMultilevel"/>
    <w:tmpl w:val="4AE0C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1A0D63"/>
    <w:multiLevelType w:val="hybridMultilevel"/>
    <w:tmpl w:val="5D7AAEDE"/>
    <w:lvl w:ilvl="0" w:tplc="8FD432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903DCF"/>
    <w:multiLevelType w:val="hybridMultilevel"/>
    <w:tmpl w:val="CA98A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1D20B8"/>
    <w:multiLevelType w:val="hybridMultilevel"/>
    <w:tmpl w:val="EA1E2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D627450"/>
    <w:multiLevelType w:val="hybridMultilevel"/>
    <w:tmpl w:val="1C069CA6"/>
    <w:lvl w:ilvl="0" w:tplc="08EC8E3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566C5E"/>
    <w:multiLevelType w:val="hybridMultilevel"/>
    <w:tmpl w:val="66DEE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740B78"/>
    <w:multiLevelType w:val="hybridMultilevel"/>
    <w:tmpl w:val="543E6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5C826AD"/>
    <w:multiLevelType w:val="hybridMultilevel"/>
    <w:tmpl w:val="EBE0B9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93E6DB3"/>
    <w:multiLevelType w:val="hybridMultilevel"/>
    <w:tmpl w:val="5D4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951844"/>
    <w:multiLevelType w:val="multilevel"/>
    <w:tmpl w:val="51D012C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D583701"/>
    <w:multiLevelType w:val="hybridMultilevel"/>
    <w:tmpl w:val="D0781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9E2F69"/>
    <w:multiLevelType w:val="hybridMultilevel"/>
    <w:tmpl w:val="15D4B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A96972"/>
    <w:multiLevelType w:val="hybridMultilevel"/>
    <w:tmpl w:val="0C265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4B57AE"/>
    <w:multiLevelType w:val="hybridMultilevel"/>
    <w:tmpl w:val="FFAE6CAC"/>
    <w:lvl w:ilvl="0" w:tplc="4664FB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2146A04"/>
    <w:multiLevelType w:val="hybridMultilevel"/>
    <w:tmpl w:val="E008284C"/>
    <w:lvl w:ilvl="0" w:tplc="08EC8E3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B67E8C"/>
    <w:multiLevelType w:val="hybridMultilevel"/>
    <w:tmpl w:val="18D62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417F07"/>
    <w:multiLevelType w:val="hybridMultilevel"/>
    <w:tmpl w:val="080E6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FE5765D"/>
    <w:multiLevelType w:val="hybridMultilevel"/>
    <w:tmpl w:val="4FF26A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821A18"/>
    <w:multiLevelType w:val="hybridMultilevel"/>
    <w:tmpl w:val="5D7AAEDE"/>
    <w:lvl w:ilvl="0" w:tplc="8FD432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5B2BC2"/>
    <w:multiLevelType w:val="hybridMultilevel"/>
    <w:tmpl w:val="5CAED85C"/>
    <w:lvl w:ilvl="0" w:tplc="A958FF10">
      <w:start w:val="7"/>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BB7411"/>
    <w:multiLevelType w:val="hybridMultilevel"/>
    <w:tmpl w:val="5D7AAEDE"/>
    <w:lvl w:ilvl="0" w:tplc="8FD432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985861"/>
    <w:multiLevelType w:val="hybridMultilevel"/>
    <w:tmpl w:val="9F5E6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F5737A"/>
    <w:multiLevelType w:val="hybridMultilevel"/>
    <w:tmpl w:val="5D7AAEDE"/>
    <w:lvl w:ilvl="0" w:tplc="8FD432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FA421F"/>
    <w:multiLevelType w:val="hybridMultilevel"/>
    <w:tmpl w:val="2772A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827C55"/>
    <w:multiLevelType w:val="hybridMultilevel"/>
    <w:tmpl w:val="597A3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9DE5C59"/>
    <w:multiLevelType w:val="hybridMultilevel"/>
    <w:tmpl w:val="16308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AC033E4"/>
    <w:multiLevelType w:val="hybridMultilevel"/>
    <w:tmpl w:val="BA2E0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B592760"/>
    <w:multiLevelType w:val="hybridMultilevel"/>
    <w:tmpl w:val="7C322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16D5756"/>
    <w:multiLevelType w:val="hybridMultilevel"/>
    <w:tmpl w:val="A8344DA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2483EDA"/>
    <w:multiLevelType w:val="hybridMultilevel"/>
    <w:tmpl w:val="E01AE3E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424FFC"/>
    <w:multiLevelType w:val="hybridMultilevel"/>
    <w:tmpl w:val="6E34183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8AF47C7"/>
    <w:multiLevelType w:val="hybridMultilevel"/>
    <w:tmpl w:val="BCD26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094460"/>
    <w:multiLevelType w:val="hybridMultilevel"/>
    <w:tmpl w:val="B55ADC0C"/>
    <w:lvl w:ilvl="0" w:tplc="08EC8E3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E37EED"/>
    <w:multiLevelType w:val="hybridMultilevel"/>
    <w:tmpl w:val="2A2C6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4367BE"/>
    <w:multiLevelType w:val="hybridMultilevel"/>
    <w:tmpl w:val="4FE0BBE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C0958EB"/>
    <w:multiLevelType w:val="hybridMultilevel"/>
    <w:tmpl w:val="12FCB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CB34FBD"/>
    <w:multiLevelType w:val="hybridMultilevel"/>
    <w:tmpl w:val="B1FC8BB8"/>
    <w:lvl w:ilvl="0" w:tplc="A958FF10">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440C59"/>
    <w:multiLevelType w:val="hybridMultilevel"/>
    <w:tmpl w:val="D6F2A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7EC6D71"/>
    <w:multiLevelType w:val="hybridMultilevel"/>
    <w:tmpl w:val="9CF01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F5A7871"/>
    <w:multiLevelType w:val="hybridMultilevel"/>
    <w:tmpl w:val="B7AA79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4"/>
  </w:num>
  <w:num w:numId="3">
    <w:abstractNumId w:val="0"/>
  </w:num>
  <w:num w:numId="4">
    <w:abstractNumId w:val="42"/>
  </w:num>
  <w:num w:numId="5">
    <w:abstractNumId w:val="16"/>
  </w:num>
  <w:num w:numId="6">
    <w:abstractNumId w:val="41"/>
  </w:num>
  <w:num w:numId="7">
    <w:abstractNumId w:val="38"/>
  </w:num>
  <w:num w:numId="8">
    <w:abstractNumId w:val="44"/>
  </w:num>
  <w:num w:numId="9">
    <w:abstractNumId w:val="19"/>
  </w:num>
  <w:num w:numId="10">
    <w:abstractNumId w:val="28"/>
  </w:num>
  <w:num w:numId="11">
    <w:abstractNumId w:val="13"/>
  </w:num>
  <w:num w:numId="12">
    <w:abstractNumId w:val="35"/>
  </w:num>
  <w:num w:numId="13">
    <w:abstractNumId w:val="22"/>
  </w:num>
  <w:num w:numId="14">
    <w:abstractNumId w:val="7"/>
  </w:num>
  <w:num w:numId="15">
    <w:abstractNumId w:val="18"/>
  </w:num>
  <w:num w:numId="16">
    <w:abstractNumId w:val="14"/>
  </w:num>
  <w:num w:numId="17">
    <w:abstractNumId w:val="43"/>
  </w:num>
  <w:num w:numId="18">
    <w:abstractNumId w:val="26"/>
  </w:num>
  <w:num w:numId="19">
    <w:abstractNumId w:val="10"/>
  </w:num>
  <w:num w:numId="20">
    <w:abstractNumId w:val="5"/>
  </w:num>
  <w:num w:numId="21">
    <w:abstractNumId w:val="31"/>
  </w:num>
  <w:num w:numId="22">
    <w:abstractNumId w:val="46"/>
  </w:num>
  <w:num w:numId="23">
    <w:abstractNumId w:val="23"/>
  </w:num>
  <w:num w:numId="24">
    <w:abstractNumId w:val="17"/>
  </w:num>
  <w:num w:numId="25">
    <w:abstractNumId w:val="36"/>
  </w:num>
  <w:num w:numId="26">
    <w:abstractNumId w:val="12"/>
  </w:num>
  <w:num w:numId="27">
    <w:abstractNumId w:val="9"/>
  </w:num>
  <w:num w:numId="28">
    <w:abstractNumId w:val="37"/>
  </w:num>
  <w:num w:numId="29">
    <w:abstractNumId w:val="40"/>
  </w:num>
  <w:num w:numId="30">
    <w:abstractNumId w:val="32"/>
  </w:num>
  <w:num w:numId="31">
    <w:abstractNumId w:val="33"/>
  </w:num>
  <w:num w:numId="32">
    <w:abstractNumId w:val="34"/>
  </w:num>
  <w:num w:numId="33">
    <w:abstractNumId w:val="27"/>
  </w:num>
  <w:num w:numId="34">
    <w:abstractNumId w:val="8"/>
  </w:num>
  <w:num w:numId="35">
    <w:abstractNumId w:val="25"/>
  </w:num>
  <w:num w:numId="36">
    <w:abstractNumId w:val="29"/>
  </w:num>
  <w:num w:numId="37">
    <w:abstractNumId w:val="6"/>
  </w:num>
  <w:num w:numId="38">
    <w:abstractNumId w:val="20"/>
  </w:num>
  <w:num w:numId="39">
    <w:abstractNumId w:val="15"/>
  </w:num>
  <w:num w:numId="40">
    <w:abstractNumId w:val="1"/>
  </w:num>
  <w:num w:numId="41">
    <w:abstractNumId w:val="30"/>
  </w:num>
  <w:num w:numId="42">
    <w:abstractNumId w:val="11"/>
  </w:num>
  <w:num w:numId="43">
    <w:abstractNumId w:val="21"/>
  </w:num>
  <w:num w:numId="44">
    <w:abstractNumId w:val="39"/>
  </w:num>
  <w:num w:numId="45">
    <w:abstractNumId w:val="4"/>
  </w:num>
  <w:num w:numId="46">
    <w:abstractNumId w:val="4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srvaat7fadwtesfsrpw5w5t0x5v500ef25&quot;&gt;My EndNote Library_Thesis 030419&lt;record-ids&gt;&lt;item&gt;92&lt;/item&gt;&lt;item&gt;329&lt;/item&gt;&lt;item&gt;387&lt;/item&gt;&lt;item&gt;709&lt;/item&gt;&lt;item&gt;761&lt;/item&gt;&lt;item&gt;801&lt;/item&gt;&lt;item&gt;802&lt;/item&gt;&lt;item&gt;874&lt;/item&gt;&lt;item&gt;882&lt;/item&gt;&lt;item&gt;883&lt;/item&gt;&lt;item&gt;884&lt;/item&gt;&lt;item&gt;885&lt;/item&gt;&lt;item&gt;886&lt;/item&gt;&lt;item&gt;889&lt;/item&gt;&lt;item&gt;942&lt;/item&gt;&lt;item&gt;993&lt;/item&gt;&lt;item&gt;1037&lt;/item&gt;&lt;item&gt;1038&lt;/item&gt;&lt;item&gt;1039&lt;/item&gt;&lt;item&gt;1040&lt;/item&gt;&lt;item&gt;1045&lt;/item&gt;&lt;item&gt;1048&lt;/item&gt;&lt;item&gt;1049&lt;/item&gt;&lt;item&gt;1052&lt;/item&gt;&lt;item&gt;1053&lt;/item&gt;&lt;item&gt;1060&lt;/item&gt;&lt;item&gt;1061&lt;/item&gt;&lt;item&gt;1066&lt;/item&gt;&lt;item&gt;1080&lt;/item&gt;&lt;item&gt;1081&lt;/item&gt;&lt;item&gt;1084&lt;/item&gt;&lt;item&gt;1085&lt;/item&gt;&lt;item&gt;1086&lt;/item&gt;&lt;item&gt;1087&lt;/item&gt;&lt;item&gt;1088&lt;/item&gt;&lt;item&gt;1089&lt;/item&gt;&lt;item&gt;1090&lt;/item&gt;&lt;item&gt;1091&lt;/item&gt;&lt;item&gt;1092&lt;/item&gt;&lt;item&gt;1093&lt;/item&gt;&lt;item&gt;1125&lt;/item&gt;&lt;item&gt;1126&lt;/item&gt;&lt;item&gt;1135&lt;/item&gt;&lt;item&gt;1136&lt;/item&gt;&lt;item&gt;1137&lt;/item&gt;&lt;item&gt;1138&lt;/item&gt;&lt;item&gt;1153&lt;/item&gt;&lt;item&gt;1154&lt;/item&gt;&lt;item&gt;1156&lt;/item&gt;&lt;item&gt;1157&lt;/item&gt;&lt;item&gt;1158&lt;/item&gt;&lt;item&gt;1159&lt;/item&gt;&lt;item&gt;1160&lt;/item&gt;&lt;item&gt;1161&lt;/item&gt;&lt;item&gt;1162&lt;/item&gt;&lt;item&gt;1163&lt;/item&gt;&lt;item&gt;1166&lt;/item&gt;&lt;item&gt;1167&lt;/item&gt;&lt;item&gt;1168&lt;/item&gt;&lt;item&gt;1170&lt;/item&gt;&lt;item&gt;1172&lt;/item&gt;&lt;item&gt;1173&lt;/item&gt;&lt;item&gt;1174&lt;/item&gt;&lt;item&gt;1175&lt;/item&gt;&lt;item&gt;1177&lt;/item&gt;&lt;item&gt;1179&lt;/item&gt;&lt;item&gt;1181&lt;/item&gt;&lt;item&gt;1183&lt;/item&gt;&lt;item&gt;1184&lt;/item&gt;&lt;item&gt;1185&lt;/item&gt;&lt;item&gt;1186&lt;/item&gt;&lt;item&gt;1187&lt;/item&gt;&lt;item&gt;1188&lt;/item&gt;&lt;item&gt;1189&lt;/item&gt;&lt;item&gt;1190&lt;/item&gt;&lt;item&gt;1191&lt;/item&gt;&lt;item&gt;1192&lt;/item&gt;&lt;item&gt;1193&lt;/item&gt;&lt;item&gt;1194&lt;/item&gt;&lt;item&gt;1195&lt;/item&gt;&lt;item&gt;1196&lt;/item&gt;&lt;item&gt;1197&lt;/item&gt;&lt;item&gt;1198&lt;/item&gt;&lt;item&gt;1203&lt;/item&gt;&lt;item&gt;1204&lt;/item&gt;&lt;item&gt;1205&lt;/item&gt;&lt;item&gt;1206&lt;/item&gt;&lt;item&gt;1213&lt;/item&gt;&lt;item&gt;1219&lt;/item&gt;&lt;item&gt;1236&lt;/item&gt;&lt;item&gt;1237&lt;/item&gt;&lt;item&gt;1238&lt;/item&gt;&lt;item&gt;1239&lt;/item&gt;&lt;item&gt;1240&lt;/item&gt;&lt;item&gt;1241&lt;/item&gt;&lt;item&gt;1395&lt;/item&gt;&lt;item&gt;1396&lt;/item&gt;&lt;/record-ids&gt;&lt;/item&gt;&lt;/Libraries&gt;"/>
  </w:docVars>
  <w:rsids>
    <w:rsidRoot w:val="00565DAF"/>
    <w:rsid w:val="000000F8"/>
    <w:rsid w:val="00002E6E"/>
    <w:rsid w:val="000034DD"/>
    <w:rsid w:val="0000404E"/>
    <w:rsid w:val="00005AD6"/>
    <w:rsid w:val="000064B0"/>
    <w:rsid w:val="00010BA9"/>
    <w:rsid w:val="000130E7"/>
    <w:rsid w:val="00014740"/>
    <w:rsid w:val="00015E94"/>
    <w:rsid w:val="0001704C"/>
    <w:rsid w:val="000176C7"/>
    <w:rsid w:val="000176E5"/>
    <w:rsid w:val="00017EC2"/>
    <w:rsid w:val="00021684"/>
    <w:rsid w:val="00024BDB"/>
    <w:rsid w:val="0002612E"/>
    <w:rsid w:val="000300CF"/>
    <w:rsid w:val="000313C6"/>
    <w:rsid w:val="000316CB"/>
    <w:rsid w:val="000332BC"/>
    <w:rsid w:val="00033346"/>
    <w:rsid w:val="00035B27"/>
    <w:rsid w:val="00035EF3"/>
    <w:rsid w:val="00041A4D"/>
    <w:rsid w:val="00042849"/>
    <w:rsid w:val="000430D6"/>
    <w:rsid w:val="00050896"/>
    <w:rsid w:val="00051F25"/>
    <w:rsid w:val="00053C7C"/>
    <w:rsid w:val="00053CE6"/>
    <w:rsid w:val="00054CAE"/>
    <w:rsid w:val="00054EE1"/>
    <w:rsid w:val="0005618D"/>
    <w:rsid w:val="00057B7A"/>
    <w:rsid w:val="00057C32"/>
    <w:rsid w:val="000616D9"/>
    <w:rsid w:val="00064BEC"/>
    <w:rsid w:val="00064D6C"/>
    <w:rsid w:val="000654FE"/>
    <w:rsid w:val="00073136"/>
    <w:rsid w:val="00073D27"/>
    <w:rsid w:val="000749AA"/>
    <w:rsid w:val="000762B3"/>
    <w:rsid w:val="00077BBA"/>
    <w:rsid w:val="00080FF7"/>
    <w:rsid w:val="0008108D"/>
    <w:rsid w:val="00083C2B"/>
    <w:rsid w:val="0008541D"/>
    <w:rsid w:val="000859C1"/>
    <w:rsid w:val="00085AF3"/>
    <w:rsid w:val="00090A21"/>
    <w:rsid w:val="0009114C"/>
    <w:rsid w:val="00092C29"/>
    <w:rsid w:val="00094155"/>
    <w:rsid w:val="0009433A"/>
    <w:rsid w:val="000948F3"/>
    <w:rsid w:val="00094A74"/>
    <w:rsid w:val="00096519"/>
    <w:rsid w:val="000972B5"/>
    <w:rsid w:val="00097E23"/>
    <w:rsid w:val="000A31BC"/>
    <w:rsid w:val="000A5BD1"/>
    <w:rsid w:val="000A5D13"/>
    <w:rsid w:val="000A7F86"/>
    <w:rsid w:val="000B028D"/>
    <w:rsid w:val="000B033E"/>
    <w:rsid w:val="000B0CF7"/>
    <w:rsid w:val="000B1990"/>
    <w:rsid w:val="000B360D"/>
    <w:rsid w:val="000B43C0"/>
    <w:rsid w:val="000B5DB8"/>
    <w:rsid w:val="000B61B7"/>
    <w:rsid w:val="000C119E"/>
    <w:rsid w:val="000C2382"/>
    <w:rsid w:val="000C341B"/>
    <w:rsid w:val="000C4500"/>
    <w:rsid w:val="000C7E37"/>
    <w:rsid w:val="000C7E3C"/>
    <w:rsid w:val="000D0334"/>
    <w:rsid w:val="000D08DA"/>
    <w:rsid w:val="000D0918"/>
    <w:rsid w:val="000D1769"/>
    <w:rsid w:val="000D374E"/>
    <w:rsid w:val="000D3FA9"/>
    <w:rsid w:val="000D50E2"/>
    <w:rsid w:val="000D52EA"/>
    <w:rsid w:val="000D6FC0"/>
    <w:rsid w:val="000E0DCB"/>
    <w:rsid w:val="000E189D"/>
    <w:rsid w:val="000E7DCB"/>
    <w:rsid w:val="000E7E25"/>
    <w:rsid w:val="000F01FB"/>
    <w:rsid w:val="000F19A6"/>
    <w:rsid w:val="000F30B0"/>
    <w:rsid w:val="000F34F3"/>
    <w:rsid w:val="000F4667"/>
    <w:rsid w:val="000F52B6"/>
    <w:rsid w:val="000F79C0"/>
    <w:rsid w:val="000F7E80"/>
    <w:rsid w:val="00100946"/>
    <w:rsid w:val="001015BB"/>
    <w:rsid w:val="001032B3"/>
    <w:rsid w:val="00104033"/>
    <w:rsid w:val="00104F8C"/>
    <w:rsid w:val="0010539F"/>
    <w:rsid w:val="00105E13"/>
    <w:rsid w:val="00106308"/>
    <w:rsid w:val="00107A0E"/>
    <w:rsid w:val="001108BE"/>
    <w:rsid w:val="00110FAA"/>
    <w:rsid w:val="00112869"/>
    <w:rsid w:val="00112E9E"/>
    <w:rsid w:val="00114DCE"/>
    <w:rsid w:val="00117B34"/>
    <w:rsid w:val="00121190"/>
    <w:rsid w:val="0012225A"/>
    <w:rsid w:val="001223AD"/>
    <w:rsid w:val="001254DC"/>
    <w:rsid w:val="00125CC5"/>
    <w:rsid w:val="00126DC8"/>
    <w:rsid w:val="00127247"/>
    <w:rsid w:val="00127B58"/>
    <w:rsid w:val="00127F0F"/>
    <w:rsid w:val="001301B5"/>
    <w:rsid w:val="00130989"/>
    <w:rsid w:val="00132EC0"/>
    <w:rsid w:val="001350E2"/>
    <w:rsid w:val="00136485"/>
    <w:rsid w:val="00137A1F"/>
    <w:rsid w:val="0014185B"/>
    <w:rsid w:val="00142484"/>
    <w:rsid w:val="00142C62"/>
    <w:rsid w:val="00142DD2"/>
    <w:rsid w:val="00143ADC"/>
    <w:rsid w:val="00143F51"/>
    <w:rsid w:val="00144DB6"/>
    <w:rsid w:val="00145257"/>
    <w:rsid w:val="00145B62"/>
    <w:rsid w:val="00146B54"/>
    <w:rsid w:val="00146E15"/>
    <w:rsid w:val="00147E58"/>
    <w:rsid w:val="00147F5C"/>
    <w:rsid w:val="001500DA"/>
    <w:rsid w:val="00150373"/>
    <w:rsid w:val="00150599"/>
    <w:rsid w:val="00151EF0"/>
    <w:rsid w:val="00152877"/>
    <w:rsid w:val="001568EE"/>
    <w:rsid w:val="00156F6F"/>
    <w:rsid w:val="00160AC5"/>
    <w:rsid w:val="00161D1E"/>
    <w:rsid w:val="00163DDA"/>
    <w:rsid w:val="00164350"/>
    <w:rsid w:val="0016565C"/>
    <w:rsid w:val="001660B8"/>
    <w:rsid w:val="00167D60"/>
    <w:rsid w:val="00173EF9"/>
    <w:rsid w:val="0017401D"/>
    <w:rsid w:val="00175523"/>
    <w:rsid w:val="00176055"/>
    <w:rsid w:val="00176213"/>
    <w:rsid w:val="00180990"/>
    <w:rsid w:val="00182E59"/>
    <w:rsid w:val="0018333C"/>
    <w:rsid w:val="001848DC"/>
    <w:rsid w:val="00186310"/>
    <w:rsid w:val="0018646A"/>
    <w:rsid w:val="00186C66"/>
    <w:rsid w:val="00187355"/>
    <w:rsid w:val="00187E9E"/>
    <w:rsid w:val="00190CD7"/>
    <w:rsid w:val="0019262F"/>
    <w:rsid w:val="001929D6"/>
    <w:rsid w:val="001929FF"/>
    <w:rsid w:val="00192C19"/>
    <w:rsid w:val="00192E25"/>
    <w:rsid w:val="00194CC4"/>
    <w:rsid w:val="0019508E"/>
    <w:rsid w:val="001951B1"/>
    <w:rsid w:val="001A08FC"/>
    <w:rsid w:val="001A10C6"/>
    <w:rsid w:val="001A1262"/>
    <w:rsid w:val="001A161E"/>
    <w:rsid w:val="001A3BEC"/>
    <w:rsid w:val="001A4386"/>
    <w:rsid w:val="001A6637"/>
    <w:rsid w:val="001A7876"/>
    <w:rsid w:val="001B2E55"/>
    <w:rsid w:val="001B34AF"/>
    <w:rsid w:val="001B43E6"/>
    <w:rsid w:val="001B44E0"/>
    <w:rsid w:val="001B7104"/>
    <w:rsid w:val="001B7F7D"/>
    <w:rsid w:val="001C185C"/>
    <w:rsid w:val="001C2E45"/>
    <w:rsid w:val="001C3DEF"/>
    <w:rsid w:val="001C4448"/>
    <w:rsid w:val="001C50C1"/>
    <w:rsid w:val="001C58EA"/>
    <w:rsid w:val="001D01C9"/>
    <w:rsid w:val="001D0373"/>
    <w:rsid w:val="001D0D5B"/>
    <w:rsid w:val="001D0F9C"/>
    <w:rsid w:val="001D1322"/>
    <w:rsid w:val="001D2692"/>
    <w:rsid w:val="001D2755"/>
    <w:rsid w:val="001D3B75"/>
    <w:rsid w:val="001D4ABA"/>
    <w:rsid w:val="001E320E"/>
    <w:rsid w:val="001E3F07"/>
    <w:rsid w:val="001E459E"/>
    <w:rsid w:val="001E46A8"/>
    <w:rsid w:val="001E5678"/>
    <w:rsid w:val="001E5794"/>
    <w:rsid w:val="001F10D1"/>
    <w:rsid w:val="001F42B2"/>
    <w:rsid w:val="001F49EB"/>
    <w:rsid w:val="001F4D73"/>
    <w:rsid w:val="002017A6"/>
    <w:rsid w:val="002032D2"/>
    <w:rsid w:val="002039DF"/>
    <w:rsid w:val="00204B99"/>
    <w:rsid w:val="00204C28"/>
    <w:rsid w:val="0020586E"/>
    <w:rsid w:val="0020727C"/>
    <w:rsid w:val="00207BD5"/>
    <w:rsid w:val="002120EC"/>
    <w:rsid w:val="002131B7"/>
    <w:rsid w:val="00213C70"/>
    <w:rsid w:val="00214B3E"/>
    <w:rsid w:val="00215FF2"/>
    <w:rsid w:val="002203FC"/>
    <w:rsid w:val="00220B1D"/>
    <w:rsid w:val="002232BF"/>
    <w:rsid w:val="002248BC"/>
    <w:rsid w:val="0023351D"/>
    <w:rsid w:val="0024122D"/>
    <w:rsid w:val="002448E2"/>
    <w:rsid w:val="0024610D"/>
    <w:rsid w:val="00246EC9"/>
    <w:rsid w:val="002543CA"/>
    <w:rsid w:val="00255022"/>
    <w:rsid w:val="002550BB"/>
    <w:rsid w:val="00257587"/>
    <w:rsid w:val="00262F82"/>
    <w:rsid w:val="002654AD"/>
    <w:rsid w:val="002655F0"/>
    <w:rsid w:val="002679A0"/>
    <w:rsid w:val="00271D1C"/>
    <w:rsid w:val="002724E3"/>
    <w:rsid w:val="00272809"/>
    <w:rsid w:val="00273578"/>
    <w:rsid w:val="00274ABA"/>
    <w:rsid w:val="00275284"/>
    <w:rsid w:val="0027546F"/>
    <w:rsid w:val="00275BE8"/>
    <w:rsid w:val="00275DC2"/>
    <w:rsid w:val="00276471"/>
    <w:rsid w:val="00276761"/>
    <w:rsid w:val="00280EBD"/>
    <w:rsid w:val="002818D5"/>
    <w:rsid w:val="00281C46"/>
    <w:rsid w:val="00281CC5"/>
    <w:rsid w:val="00282257"/>
    <w:rsid w:val="00283913"/>
    <w:rsid w:val="00283F52"/>
    <w:rsid w:val="00286471"/>
    <w:rsid w:val="002871B6"/>
    <w:rsid w:val="002874B9"/>
    <w:rsid w:val="00287718"/>
    <w:rsid w:val="00290A34"/>
    <w:rsid w:val="00293C7B"/>
    <w:rsid w:val="00293DBA"/>
    <w:rsid w:val="00295033"/>
    <w:rsid w:val="0029693E"/>
    <w:rsid w:val="002A0C5E"/>
    <w:rsid w:val="002A294D"/>
    <w:rsid w:val="002A353D"/>
    <w:rsid w:val="002A3EBA"/>
    <w:rsid w:val="002A3FB5"/>
    <w:rsid w:val="002A433E"/>
    <w:rsid w:val="002A642E"/>
    <w:rsid w:val="002A6BCF"/>
    <w:rsid w:val="002A6E3D"/>
    <w:rsid w:val="002B0AE6"/>
    <w:rsid w:val="002B12D9"/>
    <w:rsid w:val="002B3047"/>
    <w:rsid w:val="002B42C8"/>
    <w:rsid w:val="002B68F7"/>
    <w:rsid w:val="002C2EB1"/>
    <w:rsid w:val="002C3FE9"/>
    <w:rsid w:val="002C5208"/>
    <w:rsid w:val="002C5370"/>
    <w:rsid w:val="002C5DEF"/>
    <w:rsid w:val="002D000C"/>
    <w:rsid w:val="002D05D5"/>
    <w:rsid w:val="002D0760"/>
    <w:rsid w:val="002D31AE"/>
    <w:rsid w:val="002D4704"/>
    <w:rsid w:val="002D61DC"/>
    <w:rsid w:val="002D7281"/>
    <w:rsid w:val="002D7361"/>
    <w:rsid w:val="002E08C6"/>
    <w:rsid w:val="002E1203"/>
    <w:rsid w:val="002E161A"/>
    <w:rsid w:val="002E25A3"/>
    <w:rsid w:val="002E3A0F"/>
    <w:rsid w:val="002E4504"/>
    <w:rsid w:val="002E51E7"/>
    <w:rsid w:val="002E5A78"/>
    <w:rsid w:val="002E6D65"/>
    <w:rsid w:val="002F0659"/>
    <w:rsid w:val="002F171E"/>
    <w:rsid w:val="002F5F62"/>
    <w:rsid w:val="002F60BE"/>
    <w:rsid w:val="00300189"/>
    <w:rsid w:val="003014C8"/>
    <w:rsid w:val="00301544"/>
    <w:rsid w:val="003016EB"/>
    <w:rsid w:val="00301795"/>
    <w:rsid w:val="00302915"/>
    <w:rsid w:val="003031EE"/>
    <w:rsid w:val="003044B7"/>
    <w:rsid w:val="00304693"/>
    <w:rsid w:val="003075C7"/>
    <w:rsid w:val="00307B34"/>
    <w:rsid w:val="00307CA2"/>
    <w:rsid w:val="00310130"/>
    <w:rsid w:val="00314CE7"/>
    <w:rsid w:val="00316EBA"/>
    <w:rsid w:val="00321FEA"/>
    <w:rsid w:val="003238F8"/>
    <w:rsid w:val="003249DB"/>
    <w:rsid w:val="00325F09"/>
    <w:rsid w:val="003267D0"/>
    <w:rsid w:val="00327E01"/>
    <w:rsid w:val="00327E1F"/>
    <w:rsid w:val="0033028B"/>
    <w:rsid w:val="00331D9F"/>
    <w:rsid w:val="00333260"/>
    <w:rsid w:val="0033379A"/>
    <w:rsid w:val="00335671"/>
    <w:rsid w:val="00336F86"/>
    <w:rsid w:val="00337001"/>
    <w:rsid w:val="00340187"/>
    <w:rsid w:val="0034236B"/>
    <w:rsid w:val="00345AC4"/>
    <w:rsid w:val="00350887"/>
    <w:rsid w:val="00351021"/>
    <w:rsid w:val="0035172B"/>
    <w:rsid w:val="00351B0C"/>
    <w:rsid w:val="00352AF7"/>
    <w:rsid w:val="00352F33"/>
    <w:rsid w:val="003533FC"/>
    <w:rsid w:val="00353433"/>
    <w:rsid w:val="00353EEB"/>
    <w:rsid w:val="00354EAA"/>
    <w:rsid w:val="00357324"/>
    <w:rsid w:val="0035738C"/>
    <w:rsid w:val="00357499"/>
    <w:rsid w:val="0036043B"/>
    <w:rsid w:val="0036045F"/>
    <w:rsid w:val="00362891"/>
    <w:rsid w:val="00362B89"/>
    <w:rsid w:val="0036301B"/>
    <w:rsid w:val="003631CA"/>
    <w:rsid w:val="00364F7F"/>
    <w:rsid w:val="0036584D"/>
    <w:rsid w:val="0036751C"/>
    <w:rsid w:val="003702DA"/>
    <w:rsid w:val="00370827"/>
    <w:rsid w:val="003709A4"/>
    <w:rsid w:val="0037109A"/>
    <w:rsid w:val="003721E3"/>
    <w:rsid w:val="003723B9"/>
    <w:rsid w:val="00372611"/>
    <w:rsid w:val="00372D0E"/>
    <w:rsid w:val="00373308"/>
    <w:rsid w:val="00374D40"/>
    <w:rsid w:val="003752F3"/>
    <w:rsid w:val="00375699"/>
    <w:rsid w:val="003758C7"/>
    <w:rsid w:val="00375B32"/>
    <w:rsid w:val="003775AD"/>
    <w:rsid w:val="00384ABD"/>
    <w:rsid w:val="00384ADB"/>
    <w:rsid w:val="00384F8D"/>
    <w:rsid w:val="003861F2"/>
    <w:rsid w:val="00387011"/>
    <w:rsid w:val="0038713A"/>
    <w:rsid w:val="003908FC"/>
    <w:rsid w:val="00391539"/>
    <w:rsid w:val="00392008"/>
    <w:rsid w:val="003933AB"/>
    <w:rsid w:val="00393DBE"/>
    <w:rsid w:val="00395952"/>
    <w:rsid w:val="00396111"/>
    <w:rsid w:val="0039635D"/>
    <w:rsid w:val="00396627"/>
    <w:rsid w:val="003A014C"/>
    <w:rsid w:val="003A0E06"/>
    <w:rsid w:val="003A2DCA"/>
    <w:rsid w:val="003A5C6D"/>
    <w:rsid w:val="003A7645"/>
    <w:rsid w:val="003B1251"/>
    <w:rsid w:val="003B1816"/>
    <w:rsid w:val="003B43AA"/>
    <w:rsid w:val="003B6530"/>
    <w:rsid w:val="003B6A33"/>
    <w:rsid w:val="003B6B7E"/>
    <w:rsid w:val="003C0556"/>
    <w:rsid w:val="003C1260"/>
    <w:rsid w:val="003C25C2"/>
    <w:rsid w:val="003C2E37"/>
    <w:rsid w:val="003C4431"/>
    <w:rsid w:val="003C4817"/>
    <w:rsid w:val="003C5087"/>
    <w:rsid w:val="003D1F87"/>
    <w:rsid w:val="003D2E04"/>
    <w:rsid w:val="003D591B"/>
    <w:rsid w:val="003D5A75"/>
    <w:rsid w:val="003D5E9A"/>
    <w:rsid w:val="003D7AB0"/>
    <w:rsid w:val="003D7CD1"/>
    <w:rsid w:val="003E0695"/>
    <w:rsid w:val="003E13FD"/>
    <w:rsid w:val="003E1E6F"/>
    <w:rsid w:val="003E202A"/>
    <w:rsid w:val="003E654A"/>
    <w:rsid w:val="003E717E"/>
    <w:rsid w:val="003E758F"/>
    <w:rsid w:val="003F000E"/>
    <w:rsid w:val="003F0D2A"/>
    <w:rsid w:val="003F2E6C"/>
    <w:rsid w:val="003F435E"/>
    <w:rsid w:val="003F603B"/>
    <w:rsid w:val="003F6638"/>
    <w:rsid w:val="003F7175"/>
    <w:rsid w:val="003F729C"/>
    <w:rsid w:val="004001D7"/>
    <w:rsid w:val="00402ADD"/>
    <w:rsid w:val="00403E86"/>
    <w:rsid w:val="00404E35"/>
    <w:rsid w:val="0040607F"/>
    <w:rsid w:val="004065C7"/>
    <w:rsid w:val="00407AC6"/>
    <w:rsid w:val="00407F18"/>
    <w:rsid w:val="0041212F"/>
    <w:rsid w:val="004141A2"/>
    <w:rsid w:val="00414768"/>
    <w:rsid w:val="004147DA"/>
    <w:rsid w:val="00415C58"/>
    <w:rsid w:val="004173E1"/>
    <w:rsid w:val="00420D98"/>
    <w:rsid w:val="004213B1"/>
    <w:rsid w:val="00423731"/>
    <w:rsid w:val="0042522A"/>
    <w:rsid w:val="00425601"/>
    <w:rsid w:val="00425F24"/>
    <w:rsid w:val="00426038"/>
    <w:rsid w:val="004261CE"/>
    <w:rsid w:val="00430D44"/>
    <w:rsid w:val="00432E85"/>
    <w:rsid w:val="00433448"/>
    <w:rsid w:val="00435D31"/>
    <w:rsid w:val="004371FC"/>
    <w:rsid w:val="00437FC9"/>
    <w:rsid w:val="004421E8"/>
    <w:rsid w:val="0044294B"/>
    <w:rsid w:val="00443118"/>
    <w:rsid w:val="0044483D"/>
    <w:rsid w:val="00444E45"/>
    <w:rsid w:val="00445F28"/>
    <w:rsid w:val="004463DA"/>
    <w:rsid w:val="00446660"/>
    <w:rsid w:val="0045009C"/>
    <w:rsid w:val="00452B69"/>
    <w:rsid w:val="00453D11"/>
    <w:rsid w:val="00453D54"/>
    <w:rsid w:val="0045590D"/>
    <w:rsid w:val="004566B9"/>
    <w:rsid w:val="00457858"/>
    <w:rsid w:val="004610FF"/>
    <w:rsid w:val="00461A93"/>
    <w:rsid w:val="00463740"/>
    <w:rsid w:val="004644BD"/>
    <w:rsid w:val="00464923"/>
    <w:rsid w:val="00464A4A"/>
    <w:rsid w:val="00464E26"/>
    <w:rsid w:val="00465423"/>
    <w:rsid w:val="00465D00"/>
    <w:rsid w:val="00466D41"/>
    <w:rsid w:val="00467D99"/>
    <w:rsid w:val="004706D6"/>
    <w:rsid w:val="00472267"/>
    <w:rsid w:val="004728F6"/>
    <w:rsid w:val="004774B5"/>
    <w:rsid w:val="00484945"/>
    <w:rsid w:val="004902DC"/>
    <w:rsid w:val="004905B3"/>
    <w:rsid w:val="004905D0"/>
    <w:rsid w:val="00490C93"/>
    <w:rsid w:val="00493B0C"/>
    <w:rsid w:val="004943A3"/>
    <w:rsid w:val="00496C3D"/>
    <w:rsid w:val="00497828"/>
    <w:rsid w:val="004A4B59"/>
    <w:rsid w:val="004A6D09"/>
    <w:rsid w:val="004B6A00"/>
    <w:rsid w:val="004B7519"/>
    <w:rsid w:val="004B7555"/>
    <w:rsid w:val="004B79CD"/>
    <w:rsid w:val="004C0D22"/>
    <w:rsid w:val="004C10F6"/>
    <w:rsid w:val="004C11CF"/>
    <w:rsid w:val="004C15D4"/>
    <w:rsid w:val="004C30C2"/>
    <w:rsid w:val="004C34E6"/>
    <w:rsid w:val="004C5C76"/>
    <w:rsid w:val="004C67CE"/>
    <w:rsid w:val="004C762B"/>
    <w:rsid w:val="004D05DF"/>
    <w:rsid w:val="004D183C"/>
    <w:rsid w:val="004D1DD3"/>
    <w:rsid w:val="004D25BD"/>
    <w:rsid w:val="004D40A2"/>
    <w:rsid w:val="004D476D"/>
    <w:rsid w:val="004D544C"/>
    <w:rsid w:val="004E1084"/>
    <w:rsid w:val="004E142F"/>
    <w:rsid w:val="004E2462"/>
    <w:rsid w:val="004E2D25"/>
    <w:rsid w:val="004E3C36"/>
    <w:rsid w:val="004E404F"/>
    <w:rsid w:val="004E6140"/>
    <w:rsid w:val="004F1972"/>
    <w:rsid w:val="004F230F"/>
    <w:rsid w:val="004F2D92"/>
    <w:rsid w:val="004F3EFB"/>
    <w:rsid w:val="004F48CE"/>
    <w:rsid w:val="004F5A88"/>
    <w:rsid w:val="004F6E83"/>
    <w:rsid w:val="004F6EEF"/>
    <w:rsid w:val="00502000"/>
    <w:rsid w:val="005045ED"/>
    <w:rsid w:val="00506496"/>
    <w:rsid w:val="005077EE"/>
    <w:rsid w:val="00507947"/>
    <w:rsid w:val="0051073C"/>
    <w:rsid w:val="005127B3"/>
    <w:rsid w:val="0051332A"/>
    <w:rsid w:val="00513877"/>
    <w:rsid w:val="00517FD6"/>
    <w:rsid w:val="00522615"/>
    <w:rsid w:val="0052333B"/>
    <w:rsid w:val="00527C2A"/>
    <w:rsid w:val="00533678"/>
    <w:rsid w:val="005348F6"/>
    <w:rsid w:val="005368BD"/>
    <w:rsid w:val="00536CF4"/>
    <w:rsid w:val="005403DD"/>
    <w:rsid w:val="00540E9D"/>
    <w:rsid w:val="00541BAA"/>
    <w:rsid w:val="005423B5"/>
    <w:rsid w:val="00542400"/>
    <w:rsid w:val="005439A7"/>
    <w:rsid w:val="0054639E"/>
    <w:rsid w:val="0055114D"/>
    <w:rsid w:val="005528A6"/>
    <w:rsid w:val="0055358C"/>
    <w:rsid w:val="00554F48"/>
    <w:rsid w:val="00555099"/>
    <w:rsid w:val="00555B92"/>
    <w:rsid w:val="005563E8"/>
    <w:rsid w:val="00557111"/>
    <w:rsid w:val="005575DF"/>
    <w:rsid w:val="00561649"/>
    <w:rsid w:val="00564163"/>
    <w:rsid w:val="005643B7"/>
    <w:rsid w:val="00564578"/>
    <w:rsid w:val="00564616"/>
    <w:rsid w:val="00564B4B"/>
    <w:rsid w:val="0056525C"/>
    <w:rsid w:val="00565DAF"/>
    <w:rsid w:val="00565DD6"/>
    <w:rsid w:val="00572618"/>
    <w:rsid w:val="00574A50"/>
    <w:rsid w:val="00574BDE"/>
    <w:rsid w:val="00576F32"/>
    <w:rsid w:val="00577365"/>
    <w:rsid w:val="00577B87"/>
    <w:rsid w:val="005809EA"/>
    <w:rsid w:val="0058157F"/>
    <w:rsid w:val="00581F74"/>
    <w:rsid w:val="0058299C"/>
    <w:rsid w:val="00582C76"/>
    <w:rsid w:val="00584269"/>
    <w:rsid w:val="00586FEF"/>
    <w:rsid w:val="00590D41"/>
    <w:rsid w:val="005917AA"/>
    <w:rsid w:val="005918C9"/>
    <w:rsid w:val="00592950"/>
    <w:rsid w:val="00593B7C"/>
    <w:rsid w:val="00594DF6"/>
    <w:rsid w:val="00595E66"/>
    <w:rsid w:val="00596194"/>
    <w:rsid w:val="005A3C9A"/>
    <w:rsid w:val="005A418B"/>
    <w:rsid w:val="005A6285"/>
    <w:rsid w:val="005A6EAB"/>
    <w:rsid w:val="005A715D"/>
    <w:rsid w:val="005A773C"/>
    <w:rsid w:val="005B09D7"/>
    <w:rsid w:val="005B0E78"/>
    <w:rsid w:val="005B157F"/>
    <w:rsid w:val="005B1E22"/>
    <w:rsid w:val="005B2990"/>
    <w:rsid w:val="005B45A5"/>
    <w:rsid w:val="005B6295"/>
    <w:rsid w:val="005B6A22"/>
    <w:rsid w:val="005B712B"/>
    <w:rsid w:val="005C0CC2"/>
    <w:rsid w:val="005C1A89"/>
    <w:rsid w:val="005C1D8D"/>
    <w:rsid w:val="005C261B"/>
    <w:rsid w:val="005C4C7B"/>
    <w:rsid w:val="005D0D74"/>
    <w:rsid w:val="005D1BC9"/>
    <w:rsid w:val="005D48E9"/>
    <w:rsid w:val="005D4915"/>
    <w:rsid w:val="005D67D9"/>
    <w:rsid w:val="005E13C2"/>
    <w:rsid w:val="005E3508"/>
    <w:rsid w:val="005E4413"/>
    <w:rsid w:val="005E465F"/>
    <w:rsid w:val="005E47D1"/>
    <w:rsid w:val="005E6C32"/>
    <w:rsid w:val="005E780B"/>
    <w:rsid w:val="005E7A6E"/>
    <w:rsid w:val="005F1216"/>
    <w:rsid w:val="005F4071"/>
    <w:rsid w:val="005F6A72"/>
    <w:rsid w:val="005F7E4F"/>
    <w:rsid w:val="00600D44"/>
    <w:rsid w:val="00601E46"/>
    <w:rsid w:val="00602722"/>
    <w:rsid w:val="00602D23"/>
    <w:rsid w:val="00604C62"/>
    <w:rsid w:val="00604C90"/>
    <w:rsid w:val="00606ECE"/>
    <w:rsid w:val="006075DE"/>
    <w:rsid w:val="006102A6"/>
    <w:rsid w:val="00611F64"/>
    <w:rsid w:val="00612D10"/>
    <w:rsid w:val="00613498"/>
    <w:rsid w:val="00614597"/>
    <w:rsid w:val="00614E77"/>
    <w:rsid w:val="006153D9"/>
    <w:rsid w:val="006159BE"/>
    <w:rsid w:val="00615EA4"/>
    <w:rsid w:val="00621C79"/>
    <w:rsid w:val="006226CF"/>
    <w:rsid w:val="006246F5"/>
    <w:rsid w:val="006253C7"/>
    <w:rsid w:val="00625456"/>
    <w:rsid w:val="00627F86"/>
    <w:rsid w:val="0063288E"/>
    <w:rsid w:val="00633630"/>
    <w:rsid w:val="00633BBB"/>
    <w:rsid w:val="00634632"/>
    <w:rsid w:val="00636785"/>
    <w:rsid w:val="006373E3"/>
    <w:rsid w:val="006407F3"/>
    <w:rsid w:val="006411DF"/>
    <w:rsid w:val="00641CE0"/>
    <w:rsid w:val="006423FB"/>
    <w:rsid w:val="00643DD5"/>
    <w:rsid w:val="0064531A"/>
    <w:rsid w:val="00645B21"/>
    <w:rsid w:val="006522CE"/>
    <w:rsid w:val="00652C46"/>
    <w:rsid w:val="00652FE0"/>
    <w:rsid w:val="006531CA"/>
    <w:rsid w:val="0065527C"/>
    <w:rsid w:val="00655377"/>
    <w:rsid w:val="006569AB"/>
    <w:rsid w:val="006569B9"/>
    <w:rsid w:val="00660374"/>
    <w:rsid w:val="00660E74"/>
    <w:rsid w:val="0066148F"/>
    <w:rsid w:val="0066361C"/>
    <w:rsid w:val="00665224"/>
    <w:rsid w:val="00666323"/>
    <w:rsid w:val="00666604"/>
    <w:rsid w:val="0067054F"/>
    <w:rsid w:val="0067188D"/>
    <w:rsid w:val="00671AB3"/>
    <w:rsid w:val="0067219E"/>
    <w:rsid w:val="00672551"/>
    <w:rsid w:val="0067281E"/>
    <w:rsid w:val="006739EB"/>
    <w:rsid w:val="00676B1A"/>
    <w:rsid w:val="00677801"/>
    <w:rsid w:val="00680856"/>
    <w:rsid w:val="00680AAC"/>
    <w:rsid w:val="006820F1"/>
    <w:rsid w:val="00686892"/>
    <w:rsid w:val="00686F02"/>
    <w:rsid w:val="006923C3"/>
    <w:rsid w:val="00693CCF"/>
    <w:rsid w:val="006942FC"/>
    <w:rsid w:val="0069493B"/>
    <w:rsid w:val="0069499F"/>
    <w:rsid w:val="0069698F"/>
    <w:rsid w:val="006A2C10"/>
    <w:rsid w:val="006A393B"/>
    <w:rsid w:val="006A550A"/>
    <w:rsid w:val="006A6A9D"/>
    <w:rsid w:val="006A6AF2"/>
    <w:rsid w:val="006A6E13"/>
    <w:rsid w:val="006A7EE5"/>
    <w:rsid w:val="006B11D3"/>
    <w:rsid w:val="006B2328"/>
    <w:rsid w:val="006B29BA"/>
    <w:rsid w:val="006B3109"/>
    <w:rsid w:val="006B373C"/>
    <w:rsid w:val="006B66FE"/>
    <w:rsid w:val="006B7058"/>
    <w:rsid w:val="006B73D1"/>
    <w:rsid w:val="006C19B8"/>
    <w:rsid w:val="006C2A0E"/>
    <w:rsid w:val="006C2F59"/>
    <w:rsid w:val="006C3A14"/>
    <w:rsid w:val="006D28EA"/>
    <w:rsid w:val="006D44BB"/>
    <w:rsid w:val="006D4849"/>
    <w:rsid w:val="006D60ED"/>
    <w:rsid w:val="006D7E1D"/>
    <w:rsid w:val="006E0002"/>
    <w:rsid w:val="006E124B"/>
    <w:rsid w:val="006E3310"/>
    <w:rsid w:val="006E3391"/>
    <w:rsid w:val="006E36E2"/>
    <w:rsid w:val="006E4EC8"/>
    <w:rsid w:val="006E5C0F"/>
    <w:rsid w:val="006E6086"/>
    <w:rsid w:val="006E767D"/>
    <w:rsid w:val="006F0208"/>
    <w:rsid w:val="006F0657"/>
    <w:rsid w:val="006F0C69"/>
    <w:rsid w:val="006F0D6E"/>
    <w:rsid w:val="006F3072"/>
    <w:rsid w:val="006F351E"/>
    <w:rsid w:val="00700E1A"/>
    <w:rsid w:val="00700E86"/>
    <w:rsid w:val="00700FBA"/>
    <w:rsid w:val="00701486"/>
    <w:rsid w:val="00701F74"/>
    <w:rsid w:val="0070218C"/>
    <w:rsid w:val="007025EB"/>
    <w:rsid w:val="00704690"/>
    <w:rsid w:val="0070613C"/>
    <w:rsid w:val="007064AE"/>
    <w:rsid w:val="00707678"/>
    <w:rsid w:val="00707DB6"/>
    <w:rsid w:val="00712A37"/>
    <w:rsid w:val="00713CA3"/>
    <w:rsid w:val="007151EA"/>
    <w:rsid w:val="0071543F"/>
    <w:rsid w:val="00716F77"/>
    <w:rsid w:val="0071708C"/>
    <w:rsid w:val="007179D6"/>
    <w:rsid w:val="00723372"/>
    <w:rsid w:val="0072467B"/>
    <w:rsid w:val="00725370"/>
    <w:rsid w:val="00725BD3"/>
    <w:rsid w:val="00727C86"/>
    <w:rsid w:val="00727CE0"/>
    <w:rsid w:val="00727D4B"/>
    <w:rsid w:val="007308F4"/>
    <w:rsid w:val="00731D45"/>
    <w:rsid w:val="0073301A"/>
    <w:rsid w:val="007345EC"/>
    <w:rsid w:val="0073460C"/>
    <w:rsid w:val="00736AA9"/>
    <w:rsid w:val="007374BF"/>
    <w:rsid w:val="00740255"/>
    <w:rsid w:val="007413A9"/>
    <w:rsid w:val="00743E7D"/>
    <w:rsid w:val="00744A24"/>
    <w:rsid w:val="00745E15"/>
    <w:rsid w:val="00746BA6"/>
    <w:rsid w:val="0075056E"/>
    <w:rsid w:val="00750ECF"/>
    <w:rsid w:val="007521E1"/>
    <w:rsid w:val="00753B2D"/>
    <w:rsid w:val="00754DA0"/>
    <w:rsid w:val="00754F53"/>
    <w:rsid w:val="00755B6F"/>
    <w:rsid w:val="00755FDD"/>
    <w:rsid w:val="007567EE"/>
    <w:rsid w:val="00757FC2"/>
    <w:rsid w:val="00760212"/>
    <w:rsid w:val="00760E0A"/>
    <w:rsid w:val="0076196C"/>
    <w:rsid w:val="00762E06"/>
    <w:rsid w:val="007633D7"/>
    <w:rsid w:val="00764102"/>
    <w:rsid w:val="00764282"/>
    <w:rsid w:val="00771A09"/>
    <w:rsid w:val="00772440"/>
    <w:rsid w:val="00773761"/>
    <w:rsid w:val="00774A01"/>
    <w:rsid w:val="00774DA5"/>
    <w:rsid w:val="00775792"/>
    <w:rsid w:val="00776DD4"/>
    <w:rsid w:val="0077714D"/>
    <w:rsid w:val="0078068B"/>
    <w:rsid w:val="0078239B"/>
    <w:rsid w:val="00782D27"/>
    <w:rsid w:val="00786B29"/>
    <w:rsid w:val="0078766E"/>
    <w:rsid w:val="00793F20"/>
    <w:rsid w:val="00795307"/>
    <w:rsid w:val="0079606B"/>
    <w:rsid w:val="00796496"/>
    <w:rsid w:val="00796C54"/>
    <w:rsid w:val="007971B7"/>
    <w:rsid w:val="00797366"/>
    <w:rsid w:val="007A0B31"/>
    <w:rsid w:val="007A0F18"/>
    <w:rsid w:val="007A2941"/>
    <w:rsid w:val="007A49DB"/>
    <w:rsid w:val="007A60A7"/>
    <w:rsid w:val="007A6B7D"/>
    <w:rsid w:val="007A79B8"/>
    <w:rsid w:val="007A7D3B"/>
    <w:rsid w:val="007B0D8F"/>
    <w:rsid w:val="007B4381"/>
    <w:rsid w:val="007C1DBB"/>
    <w:rsid w:val="007C23A5"/>
    <w:rsid w:val="007C31DD"/>
    <w:rsid w:val="007C3731"/>
    <w:rsid w:val="007C3CD6"/>
    <w:rsid w:val="007C5392"/>
    <w:rsid w:val="007C6093"/>
    <w:rsid w:val="007D0475"/>
    <w:rsid w:val="007D087A"/>
    <w:rsid w:val="007D0E58"/>
    <w:rsid w:val="007D338E"/>
    <w:rsid w:val="007D3B85"/>
    <w:rsid w:val="007D3C54"/>
    <w:rsid w:val="007D686C"/>
    <w:rsid w:val="007E064E"/>
    <w:rsid w:val="007E37C9"/>
    <w:rsid w:val="007E4FD0"/>
    <w:rsid w:val="007E7ECA"/>
    <w:rsid w:val="007F0422"/>
    <w:rsid w:val="007F1519"/>
    <w:rsid w:val="007F243F"/>
    <w:rsid w:val="007F3FF1"/>
    <w:rsid w:val="007F5892"/>
    <w:rsid w:val="007F6388"/>
    <w:rsid w:val="007F6BE4"/>
    <w:rsid w:val="007F6F26"/>
    <w:rsid w:val="008004B2"/>
    <w:rsid w:val="008006E7"/>
    <w:rsid w:val="0080071F"/>
    <w:rsid w:val="00801AE5"/>
    <w:rsid w:val="00804032"/>
    <w:rsid w:val="008044C4"/>
    <w:rsid w:val="00804FE2"/>
    <w:rsid w:val="008078F5"/>
    <w:rsid w:val="0081495B"/>
    <w:rsid w:val="0082087A"/>
    <w:rsid w:val="008214E2"/>
    <w:rsid w:val="008215CA"/>
    <w:rsid w:val="0082331C"/>
    <w:rsid w:val="008249B8"/>
    <w:rsid w:val="008257EB"/>
    <w:rsid w:val="008268A9"/>
    <w:rsid w:val="00826EE7"/>
    <w:rsid w:val="00827109"/>
    <w:rsid w:val="00832A6A"/>
    <w:rsid w:val="0083799E"/>
    <w:rsid w:val="00837B5F"/>
    <w:rsid w:val="00841B68"/>
    <w:rsid w:val="00842E45"/>
    <w:rsid w:val="00845DFA"/>
    <w:rsid w:val="00846635"/>
    <w:rsid w:val="008466B3"/>
    <w:rsid w:val="0084756B"/>
    <w:rsid w:val="008475FD"/>
    <w:rsid w:val="00847BAD"/>
    <w:rsid w:val="008503E9"/>
    <w:rsid w:val="00851730"/>
    <w:rsid w:val="00853805"/>
    <w:rsid w:val="00853EC5"/>
    <w:rsid w:val="0085581C"/>
    <w:rsid w:val="0085593D"/>
    <w:rsid w:val="00855D3B"/>
    <w:rsid w:val="008566B3"/>
    <w:rsid w:val="0085780C"/>
    <w:rsid w:val="00860DBE"/>
    <w:rsid w:val="008636E7"/>
    <w:rsid w:val="00863C71"/>
    <w:rsid w:val="00864119"/>
    <w:rsid w:val="00864464"/>
    <w:rsid w:val="00864BFE"/>
    <w:rsid w:val="008668B0"/>
    <w:rsid w:val="00867396"/>
    <w:rsid w:val="00867BB4"/>
    <w:rsid w:val="00870270"/>
    <w:rsid w:val="00870D34"/>
    <w:rsid w:val="00871F74"/>
    <w:rsid w:val="008720B1"/>
    <w:rsid w:val="00873BC9"/>
    <w:rsid w:val="00877C56"/>
    <w:rsid w:val="0088015C"/>
    <w:rsid w:val="008812ED"/>
    <w:rsid w:val="00881867"/>
    <w:rsid w:val="00881A38"/>
    <w:rsid w:val="0088367F"/>
    <w:rsid w:val="00883D5C"/>
    <w:rsid w:val="00884362"/>
    <w:rsid w:val="0088487A"/>
    <w:rsid w:val="00885BF2"/>
    <w:rsid w:val="00886326"/>
    <w:rsid w:val="00886B63"/>
    <w:rsid w:val="00886EF3"/>
    <w:rsid w:val="00892CDC"/>
    <w:rsid w:val="00893A21"/>
    <w:rsid w:val="008957BC"/>
    <w:rsid w:val="00895E36"/>
    <w:rsid w:val="008A000C"/>
    <w:rsid w:val="008A065F"/>
    <w:rsid w:val="008A09C8"/>
    <w:rsid w:val="008A25C1"/>
    <w:rsid w:val="008A2D61"/>
    <w:rsid w:val="008A3DE3"/>
    <w:rsid w:val="008A3E90"/>
    <w:rsid w:val="008A49E8"/>
    <w:rsid w:val="008A6119"/>
    <w:rsid w:val="008B020E"/>
    <w:rsid w:val="008B0F07"/>
    <w:rsid w:val="008B1F12"/>
    <w:rsid w:val="008B43D1"/>
    <w:rsid w:val="008B443F"/>
    <w:rsid w:val="008B4765"/>
    <w:rsid w:val="008B506C"/>
    <w:rsid w:val="008B517D"/>
    <w:rsid w:val="008B640A"/>
    <w:rsid w:val="008C13BF"/>
    <w:rsid w:val="008C597E"/>
    <w:rsid w:val="008C6BA3"/>
    <w:rsid w:val="008C7333"/>
    <w:rsid w:val="008D1508"/>
    <w:rsid w:val="008D3275"/>
    <w:rsid w:val="008D3A29"/>
    <w:rsid w:val="008D4B04"/>
    <w:rsid w:val="008D648E"/>
    <w:rsid w:val="008D7CEE"/>
    <w:rsid w:val="008D7DDB"/>
    <w:rsid w:val="008E074D"/>
    <w:rsid w:val="008E09E1"/>
    <w:rsid w:val="008E2260"/>
    <w:rsid w:val="008E30EC"/>
    <w:rsid w:val="008E7144"/>
    <w:rsid w:val="008E74DC"/>
    <w:rsid w:val="008E7623"/>
    <w:rsid w:val="008E7C4C"/>
    <w:rsid w:val="008F05EB"/>
    <w:rsid w:val="008F09A3"/>
    <w:rsid w:val="008F0CA9"/>
    <w:rsid w:val="008F199B"/>
    <w:rsid w:val="008F1C48"/>
    <w:rsid w:val="008F23C3"/>
    <w:rsid w:val="008F36FA"/>
    <w:rsid w:val="008F4C45"/>
    <w:rsid w:val="008F5024"/>
    <w:rsid w:val="009001B6"/>
    <w:rsid w:val="009007BB"/>
    <w:rsid w:val="009016BD"/>
    <w:rsid w:val="00903291"/>
    <w:rsid w:val="00905F27"/>
    <w:rsid w:val="009077D4"/>
    <w:rsid w:val="00907CE5"/>
    <w:rsid w:val="00910114"/>
    <w:rsid w:val="0091151A"/>
    <w:rsid w:val="00912261"/>
    <w:rsid w:val="00914B46"/>
    <w:rsid w:val="00916DFB"/>
    <w:rsid w:val="00917ED7"/>
    <w:rsid w:val="009206C4"/>
    <w:rsid w:val="0092222A"/>
    <w:rsid w:val="0092248B"/>
    <w:rsid w:val="00922BFD"/>
    <w:rsid w:val="009239E6"/>
    <w:rsid w:val="009306B2"/>
    <w:rsid w:val="00931284"/>
    <w:rsid w:val="0093181A"/>
    <w:rsid w:val="009377DC"/>
    <w:rsid w:val="0094069E"/>
    <w:rsid w:val="009428AA"/>
    <w:rsid w:val="0094437B"/>
    <w:rsid w:val="0094481B"/>
    <w:rsid w:val="009457A6"/>
    <w:rsid w:val="00945965"/>
    <w:rsid w:val="009472D7"/>
    <w:rsid w:val="009500A8"/>
    <w:rsid w:val="00950314"/>
    <w:rsid w:val="009505F1"/>
    <w:rsid w:val="00950FF1"/>
    <w:rsid w:val="00951609"/>
    <w:rsid w:val="009549F3"/>
    <w:rsid w:val="0095559A"/>
    <w:rsid w:val="009560BA"/>
    <w:rsid w:val="0095629D"/>
    <w:rsid w:val="009605FE"/>
    <w:rsid w:val="00961561"/>
    <w:rsid w:val="00964BDE"/>
    <w:rsid w:val="00966412"/>
    <w:rsid w:val="00966641"/>
    <w:rsid w:val="00966982"/>
    <w:rsid w:val="0097016A"/>
    <w:rsid w:val="009713E0"/>
    <w:rsid w:val="00971F78"/>
    <w:rsid w:val="00972767"/>
    <w:rsid w:val="00974C4F"/>
    <w:rsid w:val="009761A1"/>
    <w:rsid w:val="00976AAE"/>
    <w:rsid w:val="00980CBA"/>
    <w:rsid w:val="00981652"/>
    <w:rsid w:val="009816DA"/>
    <w:rsid w:val="00982180"/>
    <w:rsid w:val="009842E7"/>
    <w:rsid w:val="00984B9C"/>
    <w:rsid w:val="00985EC4"/>
    <w:rsid w:val="00986543"/>
    <w:rsid w:val="0098775F"/>
    <w:rsid w:val="00987AC4"/>
    <w:rsid w:val="00990C8B"/>
    <w:rsid w:val="0099158D"/>
    <w:rsid w:val="00992E3A"/>
    <w:rsid w:val="00995544"/>
    <w:rsid w:val="009956B5"/>
    <w:rsid w:val="00996933"/>
    <w:rsid w:val="0099721F"/>
    <w:rsid w:val="009A2766"/>
    <w:rsid w:val="009A42C0"/>
    <w:rsid w:val="009A7924"/>
    <w:rsid w:val="009B0BDC"/>
    <w:rsid w:val="009B61AF"/>
    <w:rsid w:val="009B628E"/>
    <w:rsid w:val="009B7039"/>
    <w:rsid w:val="009C0D0C"/>
    <w:rsid w:val="009C154B"/>
    <w:rsid w:val="009C492F"/>
    <w:rsid w:val="009C7664"/>
    <w:rsid w:val="009C77CD"/>
    <w:rsid w:val="009D167F"/>
    <w:rsid w:val="009D25F0"/>
    <w:rsid w:val="009D46E0"/>
    <w:rsid w:val="009D49EC"/>
    <w:rsid w:val="009D4E43"/>
    <w:rsid w:val="009D4ECC"/>
    <w:rsid w:val="009D5386"/>
    <w:rsid w:val="009D67CB"/>
    <w:rsid w:val="009D75CF"/>
    <w:rsid w:val="009D7AA2"/>
    <w:rsid w:val="009D7E1E"/>
    <w:rsid w:val="009E0303"/>
    <w:rsid w:val="009E2B60"/>
    <w:rsid w:val="009E30F1"/>
    <w:rsid w:val="009E3414"/>
    <w:rsid w:val="009E3494"/>
    <w:rsid w:val="009E697F"/>
    <w:rsid w:val="009E7945"/>
    <w:rsid w:val="009F0E18"/>
    <w:rsid w:val="009F10FB"/>
    <w:rsid w:val="009F6F86"/>
    <w:rsid w:val="00A01013"/>
    <w:rsid w:val="00A01862"/>
    <w:rsid w:val="00A0285D"/>
    <w:rsid w:val="00A0505C"/>
    <w:rsid w:val="00A050B2"/>
    <w:rsid w:val="00A05F4E"/>
    <w:rsid w:val="00A06C93"/>
    <w:rsid w:val="00A10E41"/>
    <w:rsid w:val="00A11B5F"/>
    <w:rsid w:val="00A1228F"/>
    <w:rsid w:val="00A1411A"/>
    <w:rsid w:val="00A14639"/>
    <w:rsid w:val="00A151D7"/>
    <w:rsid w:val="00A15706"/>
    <w:rsid w:val="00A159AF"/>
    <w:rsid w:val="00A159EA"/>
    <w:rsid w:val="00A16DB8"/>
    <w:rsid w:val="00A16E21"/>
    <w:rsid w:val="00A17F54"/>
    <w:rsid w:val="00A2036F"/>
    <w:rsid w:val="00A21F78"/>
    <w:rsid w:val="00A2338C"/>
    <w:rsid w:val="00A236A9"/>
    <w:rsid w:val="00A23AA4"/>
    <w:rsid w:val="00A24427"/>
    <w:rsid w:val="00A267CA"/>
    <w:rsid w:val="00A30177"/>
    <w:rsid w:val="00A30299"/>
    <w:rsid w:val="00A30787"/>
    <w:rsid w:val="00A31455"/>
    <w:rsid w:val="00A32010"/>
    <w:rsid w:val="00A32135"/>
    <w:rsid w:val="00A32D8F"/>
    <w:rsid w:val="00A3466A"/>
    <w:rsid w:val="00A34FE5"/>
    <w:rsid w:val="00A3614A"/>
    <w:rsid w:val="00A3650A"/>
    <w:rsid w:val="00A36989"/>
    <w:rsid w:val="00A36AE2"/>
    <w:rsid w:val="00A37C5B"/>
    <w:rsid w:val="00A429B8"/>
    <w:rsid w:val="00A446E7"/>
    <w:rsid w:val="00A44822"/>
    <w:rsid w:val="00A44FDA"/>
    <w:rsid w:val="00A46B87"/>
    <w:rsid w:val="00A46D7A"/>
    <w:rsid w:val="00A470CF"/>
    <w:rsid w:val="00A52904"/>
    <w:rsid w:val="00A54A17"/>
    <w:rsid w:val="00A54C67"/>
    <w:rsid w:val="00A54CB0"/>
    <w:rsid w:val="00A54EFA"/>
    <w:rsid w:val="00A56290"/>
    <w:rsid w:val="00A5633E"/>
    <w:rsid w:val="00A564B1"/>
    <w:rsid w:val="00A5725D"/>
    <w:rsid w:val="00A5738A"/>
    <w:rsid w:val="00A6262C"/>
    <w:rsid w:val="00A62B1A"/>
    <w:rsid w:val="00A63635"/>
    <w:rsid w:val="00A63D43"/>
    <w:rsid w:val="00A63D9A"/>
    <w:rsid w:val="00A64378"/>
    <w:rsid w:val="00A64535"/>
    <w:rsid w:val="00A653CF"/>
    <w:rsid w:val="00A6723C"/>
    <w:rsid w:val="00A72958"/>
    <w:rsid w:val="00A732D6"/>
    <w:rsid w:val="00A73E34"/>
    <w:rsid w:val="00A7400C"/>
    <w:rsid w:val="00A74E56"/>
    <w:rsid w:val="00A761DE"/>
    <w:rsid w:val="00A81D00"/>
    <w:rsid w:val="00A83590"/>
    <w:rsid w:val="00A83ED1"/>
    <w:rsid w:val="00A846DE"/>
    <w:rsid w:val="00A847F3"/>
    <w:rsid w:val="00A8510A"/>
    <w:rsid w:val="00A864C7"/>
    <w:rsid w:val="00A873E0"/>
    <w:rsid w:val="00A87F46"/>
    <w:rsid w:val="00A924A9"/>
    <w:rsid w:val="00A92722"/>
    <w:rsid w:val="00A94D8B"/>
    <w:rsid w:val="00A95D3C"/>
    <w:rsid w:val="00A95FD2"/>
    <w:rsid w:val="00A9640E"/>
    <w:rsid w:val="00A96975"/>
    <w:rsid w:val="00A97C57"/>
    <w:rsid w:val="00AA025E"/>
    <w:rsid w:val="00AA0358"/>
    <w:rsid w:val="00AA0B56"/>
    <w:rsid w:val="00AA104B"/>
    <w:rsid w:val="00AA19D3"/>
    <w:rsid w:val="00AA26C9"/>
    <w:rsid w:val="00AA3CFA"/>
    <w:rsid w:val="00AA4240"/>
    <w:rsid w:val="00AA4CAC"/>
    <w:rsid w:val="00AA5665"/>
    <w:rsid w:val="00AA5CF5"/>
    <w:rsid w:val="00AA5FBC"/>
    <w:rsid w:val="00AA626A"/>
    <w:rsid w:val="00AB0BAD"/>
    <w:rsid w:val="00AB0F69"/>
    <w:rsid w:val="00AB281A"/>
    <w:rsid w:val="00AB3B26"/>
    <w:rsid w:val="00AB5430"/>
    <w:rsid w:val="00AB6592"/>
    <w:rsid w:val="00AC01FD"/>
    <w:rsid w:val="00AC3BA6"/>
    <w:rsid w:val="00AC46F5"/>
    <w:rsid w:val="00AC49E2"/>
    <w:rsid w:val="00AD16F3"/>
    <w:rsid w:val="00AD1BD3"/>
    <w:rsid w:val="00AD2508"/>
    <w:rsid w:val="00AD33E1"/>
    <w:rsid w:val="00AD3ABC"/>
    <w:rsid w:val="00AD42B2"/>
    <w:rsid w:val="00AD49F7"/>
    <w:rsid w:val="00AE3DA5"/>
    <w:rsid w:val="00AE41D7"/>
    <w:rsid w:val="00AE447A"/>
    <w:rsid w:val="00AE655F"/>
    <w:rsid w:val="00AE6EF4"/>
    <w:rsid w:val="00AE70DA"/>
    <w:rsid w:val="00AE73AB"/>
    <w:rsid w:val="00AE75A1"/>
    <w:rsid w:val="00AE7B29"/>
    <w:rsid w:val="00AF05C4"/>
    <w:rsid w:val="00AF06F3"/>
    <w:rsid w:val="00AF0CC8"/>
    <w:rsid w:val="00AF422A"/>
    <w:rsid w:val="00AF44ED"/>
    <w:rsid w:val="00AF4741"/>
    <w:rsid w:val="00AF68E9"/>
    <w:rsid w:val="00AF6D46"/>
    <w:rsid w:val="00AF7189"/>
    <w:rsid w:val="00AF7329"/>
    <w:rsid w:val="00B02857"/>
    <w:rsid w:val="00B02F54"/>
    <w:rsid w:val="00B03802"/>
    <w:rsid w:val="00B04569"/>
    <w:rsid w:val="00B1099B"/>
    <w:rsid w:val="00B115BB"/>
    <w:rsid w:val="00B12BF7"/>
    <w:rsid w:val="00B12D03"/>
    <w:rsid w:val="00B16125"/>
    <w:rsid w:val="00B178E8"/>
    <w:rsid w:val="00B2331B"/>
    <w:rsid w:val="00B23694"/>
    <w:rsid w:val="00B25469"/>
    <w:rsid w:val="00B33E6E"/>
    <w:rsid w:val="00B340DD"/>
    <w:rsid w:val="00B35ABA"/>
    <w:rsid w:val="00B35CE9"/>
    <w:rsid w:val="00B3747F"/>
    <w:rsid w:val="00B4096C"/>
    <w:rsid w:val="00B4194E"/>
    <w:rsid w:val="00B42E58"/>
    <w:rsid w:val="00B43204"/>
    <w:rsid w:val="00B43A12"/>
    <w:rsid w:val="00B442C4"/>
    <w:rsid w:val="00B448AE"/>
    <w:rsid w:val="00B449B6"/>
    <w:rsid w:val="00B44A02"/>
    <w:rsid w:val="00B44AE4"/>
    <w:rsid w:val="00B4576A"/>
    <w:rsid w:val="00B47657"/>
    <w:rsid w:val="00B50751"/>
    <w:rsid w:val="00B51040"/>
    <w:rsid w:val="00B51CAE"/>
    <w:rsid w:val="00B52066"/>
    <w:rsid w:val="00B523BA"/>
    <w:rsid w:val="00B543F6"/>
    <w:rsid w:val="00B54D95"/>
    <w:rsid w:val="00B560EA"/>
    <w:rsid w:val="00B57D1B"/>
    <w:rsid w:val="00B6137B"/>
    <w:rsid w:val="00B61928"/>
    <w:rsid w:val="00B62738"/>
    <w:rsid w:val="00B634FE"/>
    <w:rsid w:val="00B64E46"/>
    <w:rsid w:val="00B6784F"/>
    <w:rsid w:val="00B7142F"/>
    <w:rsid w:val="00B7190D"/>
    <w:rsid w:val="00B72A73"/>
    <w:rsid w:val="00B74864"/>
    <w:rsid w:val="00B80361"/>
    <w:rsid w:val="00B81511"/>
    <w:rsid w:val="00B82BD1"/>
    <w:rsid w:val="00B838F3"/>
    <w:rsid w:val="00B83F96"/>
    <w:rsid w:val="00B848AE"/>
    <w:rsid w:val="00B90E84"/>
    <w:rsid w:val="00B90F25"/>
    <w:rsid w:val="00B90F5D"/>
    <w:rsid w:val="00B910F6"/>
    <w:rsid w:val="00B921ED"/>
    <w:rsid w:val="00B95669"/>
    <w:rsid w:val="00B9603C"/>
    <w:rsid w:val="00BA2501"/>
    <w:rsid w:val="00BA39A0"/>
    <w:rsid w:val="00BA4866"/>
    <w:rsid w:val="00BA6709"/>
    <w:rsid w:val="00BA6D84"/>
    <w:rsid w:val="00BA7B99"/>
    <w:rsid w:val="00BB1251"/>
    <w:rsid w:val="00BB1794"/>
    <w:rsid w:val="00BB3BDD"/>
    <w:rsid w:val="00BB5A88"/>
    <w:rsid w:val="00BB605A"/>
    <w:rsid w:val="00BB7D6C"/>
    <w:rsid w:val="00BC2996"/>
    <w:rsid w:val="00BC37CA"/>
    <w:rsid w:val="00BC477D"/>
    <w:rsid w:val="00BC5343"/>
    <w:rsid w:val="00BC5512"/>
    <w:rsid w:val="00BC7A93"/>
    <w:rsid w:val="00BD0004"/>
    <w:rsid w:val="00BD01EB"/>
    <w:rsid w:val="00BD039B"/>
    <w:rsid w:val="00BD2591"/>
    <w:rsid w:val="00BD2ED6"/>
    <w:rsid w:val="00BD51E9"/>
    <w:rsid w:val="00BD566F"/>
    <w:rsid w:val="00BD654F"/>
    <w:rsid w:val="00BD66AF"/>
    <w:rsid w:val="00BE29AB"/>
    <w:rsid w:val="00BE497B"/>
    <w:rsid w:val="00BE4D7A"/>
    <w:rsid w:val="00BE5BC9"/>
    <w:rsid w:val="00BF0290"/>
    <w:rsid w:val="00BF2AED"/>
    <w:rsid w:val="00BF48C2"/>
    <w:rsid w:val="00BF56AA"/>
    <w:rsid w:val="00BF695C"/>
    <w:rsid w:val="00C00438"/>
    <w:rsid w:val="00C01BD7"/>
    <w:rsid w:val="00C02250"/>
    <w:rsid w:val="00C0256D"/>
    <w:rsid w:val="00C0337E"/>
    <w:rsid w:val="00C03F99"/>
    <w:rsid w:val="00C041D0"/>
    <w:rsid w:val="00C042FF"/>
    <w:rsid w:val="00C04B10"/>
    <w:rsid w:val="00C04DFB"/>
    <w:rsid w:val="00C05B0A"/>
    <w:rsid w:val="00C06450"/>
    <w:rsid w:val="00C06E33"/>
    <w:rsid w:val="00C07002"/>
    <w:rsid w:val="00C07139"/>
    <w:rsid w:val="00C121FD"/>
    <w:rsid w:val="00C12B34"/>
    <w:rsid w:val="00C13F59"/>
    <w:rsid w:val="00C167ED"/>
    <w:rsid w:val="00C16A0B"/>
    <w:rsid w:val="00C20B59"/>
    <w:rsid w:val="00C22F50"/>
    <w:rsid w:val="00C23118"/>
    <w:rsid w:val="00C256D0"/>
    <w:rsid w:val="00C27498"/>
    <w:rsid w:val="00C2763D"/>
    <w:rsid w:val="00C328D4"/>
    <w:rsid w:val="00C35355"/>
    <w:rsid w:val="00C36FBE"/>
    <w:rsid w:val="00C37D10"/>
    <w:rsid w:val="00C40218"/>
    <w:rsid w:val="00C41462"/>
    <w:rsid w:val="00C41F37"/>
    <w:rsid w:val="00C43825"/>
    <w:rsid w:val="00C43A93"/>
    <w:rsid w:val="00C458A2"/>
    <w:rsid w:val="00C45B0E"/>
    <w:rsid w:val="00C46A09"/>
    <w:rsid w:val="00C46ACC"/>
    <w:rsid w:val="00C47771"/>
    <w:rsid w:val="00C50854"/>
    <w:rsid w:val="00C50D3A"/>
    <w:rsid w:val="00C51026"/>
    <w:rsid w:val="00C52419"/>
    <w:rsid w:val="00C535BC"/>
    <w:rsid w:val="00C5487A"/>
    <w:rsid w:val="00C556D9"/>
    <w:rsid w:val="00C565A9"/>
    <w:rsid w:val="00C56B70"/>
    <w:rsid w:val="00C574D1"/>
    <w:rsid w:val="00C60119"/>
    <w:rsid w:val="00C6174E"/>
    <w:rsid w:val="00C63B0F"/>
    <w:rsid w:val="00C63D03"/>
    <w:rsid w:val="00C654AF"/>
    <w:rsid w:val="00C66CC1"/>
    <w:rsid w:val="00C67744"/>
    <w:rsid w:val="00C7048E"/>
    <w:rsid w:val="00C70854"/>
    <w:rsid w:val="00C719A9"/>
    <w:rsid w:val="00C71EB7"/>
    <w:rsid w:val="00C7243B"/>
    <w:rsid w:val="00C73810"/>
    <w:rsid w:val="00C740E7"/>
    <w:rsid w:val="00C75A7A"/>
    <w:rsid w:val="00C7762C"/>
    <w:rsid w:val="00C77768"/>
    <w:rsid w:val="00C800D9"/>
    <w:rsid w:val="00C80398"/>
    <w:rsid w:val="00C80E9A"/>
    <w:rsid w:val="00C81A49"/>
    <w:rsid w:val="00C841F5"/>
    <w:rsid w:val="00C8478A"/>
    <w:rsid w:val="00C84E48"/>
    <w:rsid w:val="00C86F13"/>
    <w:rsid w:val="00C875EB"/>
    <w:rsid w:val="00C94F00"/>
    <w:rsid w:val="00C9510B"/>
    <w:rsid w:val="00C9552C"/>
    <w:rsid w:val="00CA1399"/>
    <w:rsid w:val="00CA3AE8"/>
    <w:rsid w:val="00CA3EA9"/>
    <w:rsid w:val="00CA6B73"/>
    <w:rsid w:val="00CA6E51"/>
    <w:rsid w:val="00CA757E"/>
    <w:rsid w:val="00CB0327"/>
    <w:rsid w:val="00CB1303"/>
    <w:rsid w:val="00CB2FD0"/>
    <w:rsid w:val="00CB6C99"/>
    <w:rsid w:val="00CB7CCB"/>
    <w:rsid w:val="00CC0250"/>
    <w:rsid w:val="00CC02CA"/>
    <w:rsid w:val="00CC05C3"/>
    <w:rsid w:val="00CC188E"/>
    <w:rsid w:val="00CC399D"/>
    <w:rsid w:val="00CC5259"/>
    <w:rsid w:val="00CC6A21"/>
    <w:rsid w:val="00CD06D2"/>
    <w:rsid w:val="00CD0EF9"/>
    <w:rsid w:val="00CD2B20"/>
    <w:rsid w:val="00CD379D"/>
    <w:rsid w:val="00CD3F65"/>
    <w:rsid w:val="00CD4831"/>
    <w:rsid w:val="00CD5EC2"/>
    <w:rsid w:val="00CD684A"/>
    <w:rsid w:val="00CE1CC7"/>
    <w:rsid w:val="00CE5F0C"/>
    <w:rsid w:val="00CF074C"/>
    <w:rsid w:val="00CF0A90"/>
    <w:rsid w:val="00CF148B"/>
    <w:rsid w:val="00CF2A94"/>
    <w:rsid w:val="00CF36D7"/>
    <w:rsid w:val="00CF4546"/>
    <w:rsid w:val="00CF79F9"/>
    <w:rsid w:val="00D00195"/>
    <w:rsid w:val="00D018D2"/>
    <w:rsid w:val="00D0236F"/>
    <w:rsid w:val="00D03615"/>
    <w:rsid w:val="00D044BC"/>
    <w:rsid w:val="00D06999"/>
    <w:rsid w:val="00D07572"/>
    <w:rsid w:val="00D13A45"/>
    <w:rsid w:val="00D13E60"/>
    <w:rsid w:val="00D1451C"/>
    <w:rsid w:val="00D148B3"/>
    <w:rsid w:val="00D2096B"/>
    <w:rsid w:val="00D20D04"/>
    <w:rsid w:val="00D249D8"/>
    <w:rsid w:val="00D27A33"/>
    <w:rsid w:val="00D31411"/>
    <w:rsid w:val="00D31F09"/>
    <w:rsid w:val="00D365AF"/>
    <w:rsid w:val="00D36D76"/>
    <w:rsid w:val="00D3740D"/>
    <w:rsid w:val="00D40401"/>
    <w:rsid w:val="00D404F7"/>
    <w:rsid w:val="00D413EC"/>
    <w:rsid w:val="00D41892"/>
    <w:rsid w:val="00D444D5"/>
    <w:rsid w:val="00D45AA0"/>
    <w:rsid w:val="00D46ED6"/>
    <w:rsid w:val="00D50686"/>
    <w:rsid w:val="00D507B9"/>
    <w:rsid w:val="00D50857"/>
    <w:rsid w:val="00D508AE"/>
    <w:rsid w:val="00D50906"/>
    <w:rsid w:val="00D50B95"/>
    <w:rsid w:val="00D5472A"/>
    <w:rsid w:val="00D55601"/>
    <w:rsid w:val="00D55BEA"/>
    <w:rsid w:val="00D56478"/>
    <w:rsid w:val="00D60FFA"/>
    <w:rsid w:val="00D610A7"/>
    <w:rsid w:val="00D627BA"/>
    <w:rsid w:val="00D630F8"/>
    <w:rsid w:val="00D6395C"/>
    <w:rsid w:val="00D64195"/>
    <w:rsid w:val="00D647BE"/>
    <w:rsid w:val="00D7118D"/>
    <w:rsid w:val="00D718C0"/>
    <w:rsid w:val="00D724BE"/>
    <w:rsid w:val="00D729AB"/>
    <w:rsid w:val="00D733F1"/>
    <w:rsid w:val="00D75E84"/>
    <w:rsid w:val="00D77208"/>
    <w:rsid w:val="00D7792D"/>
    <w:rsid w:val="00D77DC7"/>
    <w:rsid w:val="00D77FEA"/>
    <w:rsid w:val="00D82082"/>
    <w:rsid w:val="00D83937"/>
    <w:rsid w:val="00D85CCA"/>
    <w:rsid w:val="00D86A23"/>
    <w:rsid w:val="00D86BD2"/>
    <w:rsid w:val="00D87C5A"/>
    <w:rsid w:val="00D90C34"/>
    <w:rsid w:val="00D91592"/>
    <w:rsid w:val="00D91628"/>
    <w:rsid w:val="00D916B3"/>
    <w:rsid w:val="00D93E6B"/>
    <w:rsid w:val="00D94E4D"/>
    <w:rsid w:val="00D9510B"/>
    <w:rsid w:val="00D967BE"/>
    <w:rsid w:val="00D96926"/>
    <w:rsid w:val="00D97473"/>
    <w:rsid w:val="00DA35DA"/>
    <w:rsid w:val="00DA3E3C"/>
    <w:rsid w:val="00DA4108"/>
    <w:rsid w:val="00DA5444"/>
    <w:rsid w:val="00DA5706"/>
    <w:rsid w:val="00DA5DA5"/>
    <w:rsid w:val="00DA7448"/>
    <w:rsid w:val="00DA7A0A"/>
    <w:rsid w:val="00DB0025"/>
    <w:rsid w:val="00DB09BD"/>
    <w:rsid w:val="00DB09E2"/>
    <w:rsid w:val="00DB1AE4"/>
    <w:rsid w:val="00DB25D9"/>
    <w:rsid w:val="00DB2707"/>
    <w:rsid w:val="00DB6130"/>
    <w:rsid w:val="00DB6376"/>
    <w:rsid w:val="00DC04CF"/>
    <w:rsid w:val="00DC2363"/>
    <w:rsid w:val="00DC2390"/>
    <w:rsid w:val="00DC28F9"/>
    <w:rsid w:val="00DC30E0"/>
    <w:rsid w:val="00DC4B6A"/>
    <w:rsid w:val="00DC5527"/>
    <w:rsid w:val="00DC6031"/>
    <w:rsid w:val="00DC6C31"/>
    <w:rsid w:val="00DD10A3"/>
    <w:rsid w:val="00DD1F8C"/>
    <w:rsid w:val="00DD2078"/>
    <w:rsid w:val="00DD22FB"/>
    <w:rsid w:val="00DD447B"/>
    <w:rsid w:val="00DD659D"/>
    <w:rsid w:val="00DE12B2"/>
    <w:rsid w:val="00DE2CC8"/>
    <w:rsid w:val="00DE32FD"/>
    <w:rsid w:val="00DE546F"/>
    <w:rsid w:val="00DE5D4D"/>
    <w:rsid w:val="00DE7BB6"/>
    <w:rsid w:val="00DF1585"/>
    <w:rsid w:val="00DF2F34"/>
    <w:rsid w:val="00DF4662"/>
    <w:rsid w:val="00DF4D5E"/>
    <w:rsid w:val="00DF6C31"/>
    <w:rsid w:val="00E00232"/>
    <w:rsid w:val="00E00741"/>
    <w:rsid w:val="00E00F8F"/>
    <w:rsid w:val="00E030BC"/>
    <w:rsid w:val="00E03387"/>
    <w:rsid w:val="00E05EC5"/>
    <w:rsid w:val="00E06877"/>
    <w:rsid w:val="00E06B83"/>
    <w:rsid w:val="00E07B39"/>
    <w:rsid w:val="00E13622"/>
    <w:rsid w:val="00E13874"/>
    <w:rsid w:val="00E1477B"/>
    <w:rsid w:val="00E14B83"/>
    <w:rsid w:val="00E154C6"/>
    <w:rsid w:val="00E2258E"/>
    <w:rsid w:val="00E227A9"/>
    <w:rsid w:val="00E22AAA"/>
    <w:rsid w:val="00E23CBF"/>
    <w:rsid w:val="00E23FAE"/>
    <w:rsid w:val="00E258E3"/>
    <w:rsid w:val="00E3008C"/>
    <w:rsid w:val="00E30F1C"/>
    <w:rsid w:val="00E33B55"/>
    <w:rsid w:val="00E358D9"/>
    <w:rsid w:val="00E365D7"/>
    <w:rsid w:val="00E36E31"/>
    <w:rsid w:val="00E37CAD"/>
    <w:rsid w:val="00E407D9"/>
    <w:rsid w:val="00E42E35"/>
    <w:rsid w:val="00E43CEC"/>
    <w:rsid w:val="00E4562C"/>
    <w:rsid w:val="00E47542"/>
    <w:rsid w:val="00E4761F"/>
    <w:rsid w:val="00E50957"/>
    <w:rsid w:val="00E5330F"/>
    <w:rsid w:val="00E53A55"/>
    <w:rsid w:val="00E53ADE"/>
    <w:rsid w:val="00E54013"/>
    <w:rsid w:val="00E553EF"/>
    <w:rsid w:val="00E55EA5"/>
    <w:rsid w:val="00E56578"/>
    <w:rsid w:val="00E575A1"/>
    <w:rsid w:val="00E57BC7"/>
    <w:rsid w:val="00E6082F"/>
    <w:rsid w:val="00E60F30"/>
    <w:rsid w:val="00E61EC4"/>
    <w:rsid w:val="00E64C6E"/>
    <w:rsid w:val="00E64EE8"/>
    <w:rsid w:val="00E650A2"/>
    <w:rsid w:val="00E6605A"/>
    <w:rsid w:val="00E672F7"/>
    <w:rsid w:val="00E70F85"/>
    <w:rsid w:val="00E70FC6"/>
    <w:rsid w:val="00E7204B"/>
    <w:rsid w:val="00E7324A"/>
    <w:rsid w:val="00E73A7B"/>
    <w:rsid w:val="00E74024"/>
    <w:rsid w:val="00E75F47"/>
    <w:rsid w:val="00E76B1A"/>
    <w:rsid w:val="00E76C31"/>
    <w:rsid w:val="00E76DF0"/>
    <w:rsid w:val="00E76E47"/>
    <w:rsid w:val="00E76F12"/>
    <w:rsid w:val="00E7758A"/>
    <w:rsid w:val="00E77871"/>
    <w:rsid w:val="00E80970"/>
    <w:rsid w:val="00E81744"/>
    <w:rsid w:val="00E81791"/>
    <w:rsid w:val="00E82179"/>
    <w:rsid w:val="00E83184"/>
    <w:rsid w:val="00E8354F"/>
    <w:rsid w:val="00E84594"/>
    <w:rsid w:val="00E85565"/>
    <w:rsid w:val="00E86F74"/>
    <w:rsid w:val="00E87099"/>
    <w:rsid w:val="00E907FE"/>
    <w:rsid w:val="00E91925"/>
    <w:rsid w:val="00E920CD"/>
    <w:rsid w:val="00E921DC"/>
    <w:rsid w:val="00E92CE0"/>
    <w:rsid w:val="00E94310"/>
    <w:rsid w:val="00E96A83"/>
    <w:rsid w:val="00E970D2"/>
    <w:rsid w:val="00E97604"/>
    <w:rsid w:val="00E977D3"/>
    <w:rsid w:val="00EA1535"/>
    <w:rsid w:val="00EA1FF7"/>
    <w:rsid w:val="00EA3909"/>
    <w:rsid w:val="00EA3A17"/>
    <w:rsid w:val="00EA3B37"/>
    <w:rsid w:val="00EA3E91"/>
    <w:rsid w:val="00EA56E2"/>
    <w:rsid w:val="00EA5B66"/>
    <w:rsid w:val="00EA6491"/>
    <w:rsid w:val="00EA65CD"/>
    <w:rsid w:val="00EA6A24"/>
    <w:rsid w:val="00EA792C"/>
    <w:rsid w:val="00EA7CF6"/>
    <w:rsid w:val="00EB1EEB"/>
    <w:rsid w:val="00EB3BE4"/>
    <w:rsid w:val="00EB4A37"/>
    <w:rsid w:val="00EB4FED"/>
    <w:rsid w:val="00EC0341"/>
    <w:rsid w:val="00EC091E"/>
    <w:rsid w:val="00EC305F"/>
    <w:rsid w:val="00EC4E9B"/>
    <w:rsid w:val="00EC657A"/>
    <w:rsid w:val="00ED0797"/>
    <w:rsid w:val="00ED11B6"/>
    <w:rsid w:val="00ED15F1"/>
    <w:rsid w:val="00ED1FCD"/>
    <w:rsid w:val="00ED24F5"/>
    <w:rsid w:val="00ED30AA"/>
    <w:rsid w:val="00ED5748"/>
    <w:rsid w:val="00ED5D08"/>
    <w:rsid w:val="00ED6413"/>
    <w:rsid w:val="00ED6C1C"/>
    <w:rsid w:val="00EE0406"/>
    <w:rsid w:val="00EE0550"/>
    <w:rsid w:val="00EE091B"/>
    <w:rsid w:val="00EE281C"/>
    <w:rsid w:val="00EE512E"/>
    <w:rsid w:val="00EE6DEF"/>
    <w:rsid w:val="00EE7A9F"/>
    <w:rsid w:val="00EF0221"/>
    <w:rsid w:val="00EF0709"/>
    <w:rsid w:val="00EF0D9F"/>
    <w:rsid w:val="00EF1252"/>
    <w:rsid w:val="00EF5802"/>
    <w:rsid w:val="00EF6BCE"/>
    <w:rsid w:val="00EF6E9D"/>
    <w:rsid w:val="00F0063B"/>
    <w:rsid w:val="00F02116"/>
    <w:rsid w:val="00F040C3"/>
    <w:rsid w:val="00F04BC2"/>
    <w:rsid w:val="00F07364"/>
    <w:rsid w:val="00F10390"/>
    <w:rsid w:val="00F10B1F"/>
    <w:rsid w:val="00F11970"/>
    <w:rsid w:val="00F13367"/>
    <w:rsid w:val="00F13D13"/>
    <w:rsid w:val="00F20DCC"/>
    <w:rsid w:val="00F224E3"/>
    <w:rsid w:val="00F22917"/>
    <w:rsid w:val="00F2335A"/>
    <w:rsid w:val="00F23555"/>
    <w:rsid w:val="00F23815"/>
    <w:rsid w:val="00F23E8A"/>
    <w:rsid w:val="00F23F0B"/>
    <w:rsid w:val="00F24F01"/>
    <w:rsid w:val="00F26B97"/>
    <w:rsid w:val="00F31966"/>
    <w:rsid w:val="00F34AAF"/>
    <w:rsid w:val="00F35181"/>
    <w:rsid w:val="00F37E55"/>
    <w:rsid w:val="00F4178D"/>
    <w:rsid w:val="00F4261B"/>
    <w:rsid w:val="00F4498D"/>
    <w:rsid w:val="00F456E2"/>
    <w:rsid w:val="00F473C9"/>
    <w:rsid w:val="00F47BC2"/>
    <w:rsid w:val="00F508CF"/>
    <w:rsid w:val="00F5107F"/>
    <w:rsid w:val="00F525F0"/>
    <w:rsid w:val="00F528DA"/>
    <w:rsid w:val="00F52AFF"/>
    <w:rsid w:val="00F56486"/>
    <w:rsid w:val="00F56B2A"/>
    <w:rsid w:val="00F6212C"/>
    <w:rsid w:val="00F63240"/>
    <w:rsid w:val="00F635D9"/>
    <w:rsid w:val="00F63DB5"/>
    <w:rsid w:val="00F66A19"/>
    <w:rsid w:val="00F66F6E"/>
    <w:rsid w:val="00F71346"/>
    <w:rsid w:val="00F7142F"/>
    <w:rsid w:val="00F7145F"/>
    <w:rsid w:val="00F7152E"/>
    <w:rsid w:val="00F72CBF"/>
    <w:rsid w:val="00F731A8"/>
    <w:rsid w:val="00F733B0"/>
    <w:rsid w:val="00F7583C"/>
    <w:rsid w:val="00F762CE"/>
    <w:rsid w:val="00F8010E"/>
    <w:rsid w:val="00F80A85"/>
    <w:rsid w:val="00F81E75"/>
    <w:rsid w:val="00F8257D"/>
    <w:rsid w:val="00F82595"/>
    <w:rsid w:val="00F825D6"/>
    <w:rsid w:val="00F833A4"/>
    <w:rsid w:val="00F83E29"/>
    <w:rsid w:val="00F845D3"/>
    <w:rsid w:val="00F84E44"/>
    <w:rsid w:val="00F865C5"/>
    <w:rsid w:val="00F875B9"/>
    <w:rsid w:val="00F876D1"/>
    <w:rsid w:val="00F87B9D"/>
    <w:rsid w:val="00F906EF"/>
    <w:rsid w:val="00F90985"/>
    <w:rsid w:val="00F924B9"/>
    <w:rsid w:val="00F92713"/>
    <w:rsid w:val="00F933F5"/>
    <w:rsid w:val="00F93702"/>
    <w:rsid w:val="00F93716"/>
    <w:rsid w:val="00F93A7D"/>
    <w:rsid w:val="00F96D20"/>
    <w:rsid w:val="00F97A28"/>
    <w:rsid w:val="00FA1E0D"/>
    <w:rsid w:val="00FA276B"/>
    <w:rsid w:val="00FA2AD0"/>
    <w:rsid w:val="00FA49C0"/>
    <w:rsid w:val="00FA49D9"/>
    <w:rsid w:val="00FA650C"/>
    <w:rsid w:val="00FA7E59"/>
    <w:rsid w:val="00FB0963"/>
    <w:rsid w:val="00FB2405"/>
    <w:rsid w:val="00FB2788"/>
    <w:rsid w:val="00FB2F7E"/>
    <w:rsid w:val="00FB43C5"/>
    <w:rsid w:val="00FB47E4"/>
    <w:rsid w:val="00FB4BAC"/>
    <w:rsid w:val="00FB4FA7"/>
    <w:rsid w:val="00FB6277"/>
    <w:rsid w:val="00FB72DB"/>
    <w:rsid w:val="00FB754D"/>
    <w:rsid w:val="00FC060C"/>
    <w:rsid w:val="00FC2407"/>
    <w:rsid w:val="00FC2B35"/>
    <w:rsid w:val="00FC3184"/>
    <w:rsid w:val="00FC428E"/>
    <w:rsid w:val="00FC4DEB"/>
    <w:rsid w:val="00FC4F08"/>
    <w:rsid w:val="00FC5C13"/>
    <w:rsid w:val="00FC6136"/>
    <w:rsid w:val="00FD2056"/>
    <w:rsid w:val="00FD455F"/>
    <w:rsid w:val="00FD5889"/>
    <w:rsid w:val="00FE0E5F"/>
    <w:rsid w:val="00FE11EE"/>
    <w:rsid w:val="00FE2AD9"/>
    <w:rsid w:val="00FE3336"/>
    <w:rsid w:val="00FE410A"/>
    <w:rsid w:val="00FE493B"/>
    <w:rsid w:val="00FE6B3E"/>
    <w:rsid w:val="00FE6B9A"/>
    <w:rsid w:val="00FE6D17"/>
    <w:rsid w:val="00FF0A18"/>
    <w:rsid w:val="00FF31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EA8E6"/>
  <w15:chartTrackingRefBased/>
  <w15:docId w15:val="{F3D25568-0143-4699-AB48-D2B1A509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E15"/>
    <w:rPr>
      <w:lang w:val="en-GB"/>
    </w:rPr>
  </w:style>
  <w:style w:type="paragraph" w:styleId="Heading1">
    <w:name w:val="heading 1"/>
    <w:basedOn w:val="Normal"/>
    <w:next w:val="Normal"/>
    <w:link w:val="Heading1Char"/>
    <w:uiPriority w:val="9"/>
    <w:qFormat/>
    <w:rsid w:val="001D13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5E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5E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A09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5E15"/>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745E15"/>
    <w:rPr>
      <w:rFonts w:asciiTheme="majorHAnsi" w:eastAsiaTheme="majorEastAsia" w:hAnsiTheme="majorHAnsi" w:cstheme="majorBidi"/>
      <w:color w:val="1F3763" w:themeColor="accent1" w:themeShade="7F"/>
      <w:sz w:val="24"/>
      <w:szCs w:val="24"/>
      <w:lang w:val="en-GB"/>
    </w:rPr>
  </w:style>
  <w:style w:type="table" w:styleId="TableGrid">
    <w:name w:val="Table Grid"/>
    <w:basedOn w:val="TableNormal"/>
    <w:uiPriority w:val="39"/>
    <w:rsid w:val="00745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5E15"/>
    <w:pPr>
      <w:ind w:left="720"/>
      <w:contextualSpacing/>
    </w:pPr>
  </w:style>
  <w:style w:type="character" w:customStyle="1" w:styleId="Heading4Char">
    <w:name w:val="Heading 4 Char"/>
    <w:basedOn w:val="DefaultParagraphFont"/>
    <w:link w:val="Heading4"/>
    <w:uiPriority w:val="9"/>
    <w:rsid w:val="008A09C8"/>
    <w:rPr>
      <w:rFonts w:asciiTheme="majorHAnsi" w:eastAsiaTheme="majorEastAsia" w:hAnsiTheme="majorHAnsi" w:cstheme="majorBidi"/>
      <w:i/>
      <w:iCs/>
      <w:color w:val="2F5496" w:themeColor="accent1" w:themeShade="BF"/>
      <w:lang w:val="en-GB"/>
    </w:rPr>
  </w:style>
  <w:style w:type="paragraph" w:styleId="Header">
    <w:name w:val="header"/>
    <w:basedOn w:val="Normal"/>
    <w:link w:val="HeaderChar"/>
    <w:uiPriority w:val="99"/>
    <w:unhideWhenUsed/>
    <w:rsid w:val="00A64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378"/>
    <w:rPr>
      <w:lang w:val="en-GB"/>
    </w:rPr>
  </w:style>
  <w:style w:type="paragraph" w:styleId="Footer">
    <w:name w:val="footer"/>
    <w:basedOn w:val="Normal"/>
    <w:link w:val="FooterChar"/>
    <w:uiPriority w:val="99"/>
    <w:unhideWhenUsed/>
    <w:rsid w:val="00A64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378"/>
    <w:rPr>
      <w:lang w:val="en-GB"/>
    </w:rPr>
  </w:style>
  <w:style w:type="table" w:customStyle="1" w:styleId="TableGrid2">
    <w:name w:val="Table Grid2"/>
    <w:basedOn w:val="TableNormal"/>
    <w:next w:val="TableGrid"/>
    <w:uiPriority w:val="39"/>
    <w:rsid w:val="001A1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krckgcgsb">
    <w:name w:val="gnkrckgcgsb"/>
    <w:basedOn w:val="DefaultParagraphFont"/>
    <w:rsid w:val="00743E7D"/>
  </w:style>
  <w:style w:type="paragraph" w:customStyle="1" w:styleId="EndNoteBibliographyTitle">
    <w:name w:val="EndNote Bibliography Title"/>
    <w:basedOn w:val="Normal"/>
    <w:link w:val="EndNoteBibliographyTitleChar"/>
    <w:rsid w:val="00190CD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90CD7"/>
    <w:rPr>
      <w:rFonts w:ascii="Calibri" w:hAnsi="Calibri" w:cs="Calibri"/>
      <w:noProof/>
      <w:lang w:val="en-US"/>
    </w:rPr>
  </w:style>
  <w:style w:type="paragraph" w:customStyle="1" w:styleId="EndNoteBibliography">
    <w:name w:val="EndNote Bibliography"/>
    <w:basedOn w:val="Normal"/>
    <w:link w:val="EndNoteBibliographyChar"/>
    <w:rsid w:val="00190CD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90CD7"/>
    <w:rPr>
      <w:rFonts w:ascii="Calibri" w:hAnsi="Calibri" w:cs="Calibri"/>
      <w:noProof/>
      <w:lang w:val="en-US"/>
    </w:rPr>
  </w:style>
  <w:style w:type="character" w:customStyle="1" w:styleId="Heading1Char">
    <w:name w:val="Heading 1 Char"/>
    <w:basedOn w:val="DefaultParagraphFont"/>
    <w:link w:val="Heading1"/>
    <w:uiPriority w:val="9"/>
    <w:rsid w:val="001D1322"/>
    <w:rPr>
      <w:rFonts w:asciiTheme="majorHAnsi" w:eastAsiaTheme="majorEastAsia" w:hAnsiTheme="majorHAnsi" w:cstheme="majorBidi"/>
      <w:color w:val="2F5496" w:themeColor="accent1" w:themeShade="BF"/>
      <w:sz w:val="32"/>
      <w:szCs w:val="32"/>
      <w:lang w:val="en-GB"/>
    </w:rPr>
  </w:style>
  <w:style w:type="character" w:styleId="Hyperlink">
    <w:name w:val="Hyperlink"/>
    <w:basedOn w:val="DefaultParagraphFont"/>
    <w:uiPriority w:val="99"/>
    <w:unhideWhenUsed/>
    <w:rsid w:val="001D1322"/>
    <w:rPr>
      <w:color w:val="0563C1" w:themeColor="hyperlink"/>
      <w:u w:val="single"/>
    </w:rPr>
  </w:style>
  <w:style w:type="character" w:styleId="UnresolvedMention">
    <w:name w:val="Unresolved Mention"/>
    <w:basedOn w:val="DefaultParagraphFont"/>
    <w:uiPriority w:val="99"/>
    <w:semiHidden/>
    <w:unhideWhenUsed/>
    <w:rsid w:val="001D1322"/>
    <w:rPr>
      <w:color w:val="605E5C"/>
      <w:shd w:val="clear" w:color="auto" w:fill="E1DFDD"/>
    </w:rPr>
  </w:style>
  <w:style w:type="paragraph" w:styleId="BalloonText">
    <w:name w:val="Balloon Text"/>
    <w:basedOn w:val="Normal"/>
    <w:link w:val="BalloonTextChar"/>
    <w:uiPriority w:val="99"/>
    <w:semiHidden/>
    <w:unhideWhenUsed/>
    <w:rsid w:val="001D13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322"/>
    <w:rPr>
      <w:rFonts w:ascii="Segoe UI" w:hAnsi="Segoe UI" w:cs="Segoe UI"/>
      <w:sz w:val="18"/>
      <w:szCs w:val="18"/>
      <w:lang w:val="en-GB"/>
    </w:rPr>
  </w:style>
  <w:style w:type="paragraph" w:styleId="FootnoteText">
    <w:name w:val="footnote text"/>
    <w:basedOn w:val="Normal"/>
    <w:link w:val="FootnoteTextChar"/>
    <w:uiPriority w:val="99"/>
    <w:unhideWhenUsed/>
    <w:rsid w:val="001D1322"/>
    <w:pPr>
      <w:spacing w:after="0" w:line="240" w:lineRule="auto"/>
    </w:pPr>
    <w:rPr>
      <w:sz w:val="20"/>
      <w:szCs w:val="20"/>
    </w:rPr>
  </w:style>
  <w:style w:type="character" w:customStyle="1" w:styleId="FootnoteTextChar">
    <w:name w:val="Footnote Text Char"/>
    <w:basedOn w:val="DefaultParagraphFont"/>
    <w:link w:val="FootnoteText"/>
    <w:uiPriority w:val="99"/>
    <w:rsid w:val="001D1322"/>
    <w:rPr>
      <w:sz w:val="20"/>
      <w:szCs w:val="20"/>
      <w:lang w:val="en-GB"/>
    </w:rPr>
  </w:style>
  <w:style w:type="character" w:styleId="FootnoteReference">
    <w:name w:val="footnote reference"/>
    <w:aliases w:val="FNRefe Char,BVI fnr Char,BVI fnr Char Char,BVI fnr Car Car Char Char,BVI fnr Car Char Char,BVI fnr Car Car Car Car Char Char Char Char,FNRefe Char Char,BVI fnr Char Char Char,BVI fnr Car Car Char Char Char,BVI fnr Car Char Char Char"/>
    <w:basedOn w:val="DefaultParagraphFont"/>
    <w:uiPriority w:val="99"/>
    <w:unhideWhenUsed/>
    <w:rsid w:val="001D1322"/>
    <w:rPr>
      <w:vertAlign w:val="superscript"/>
    </w:rPr>
  </w:style>
  <w:style w:type="table" w:customStyle="1" w:styleId="TableGrid4">
    <w:name w:val="Table Grid4"/>
    <w:basedOn w:val="TableNormal"/>
    <w:next w:val="TableGrid"/>
    <w:uiPriority w:val="39"/>
    <w:rsid w:val="001D1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link w:val="MDPI31textChar"/>
    <w:qFormat/>
    <w:rsid w:val="001D132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Char">
    <w:name w:val="MDPI_3.1_text Char"/>
    <w:basedOn w:val="DefaultParagraphFont"/>
    <w:link w:val="MDPI31text"/>
    <w:rsid w:val="001D1322"/>
    <w:rPr>
      <w:rFonts w:ascii="Palatino Linotype" w:eastAsia="Times New Roman" w:hAnsi="Palatino Linotype" w:cs="Times New Roman"/>
      <w:snapToGrid w:val="0"/>
      <w:color w:val="000000"/>
      <w:sz w:val="20"/>
      <w:lang w:val="en-US" w:eastAsia="de-DE" w:bidi="en-US"/>
    </w:rPr>
  </w:style>
  <w:style w:type="character" w:styleId="FollowedHyperlink">
    <w:name w:val="FollowedHyperlink"/>
    <w:basedOn w:val="DefaultParagraphFont"/>
    <w:uiPriority w:val="99"/>
    <w:semiHidden/>
    <w:unhideWhenUsed/>
    <w:rsid w:val="001D1322"/>
    <w:rPr>
      <w:color w:val="954F72" w:themeColor="followedHyperlink"/>
      <w:u w:val="single"/>
    </w:rPr>
  </w:style>
  <w:style w:type="numbering" w:customStyle="1" w:styleId="NoList1">
    <w:name w:val="No List1"/>
    <w:next w:val="NoList"/>
    <w:uiPriority w:val="99"/>
    <w:semiHidden/>
    <w:unhideWhenUsed/>
    <w:rsid w:val="001D1322"/>
  </w:style>
  <w:style w:type="table" w:customStyle="1" w:styleId="TableGrid1">
    <w:name w:val="Table Grid1"/>
    <w:basedOn w:val="TableNormal"/>
    <w:next w:val="TableGrid"/>
    <w:uiPriority w:val="39"/>
    <w:rsid w:val="001D1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D1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D1322"/>
    <w:rPr>
      <w:sz w:val="16"/>
      <w:szCs w:val="16"/>
    </w:rPr>
  </w:style>
  <w:style w:type="paragraph" w:styleId="CommentText">
    <w:name w:val="annotation text"/>
    <w:basedOn w:val="Normal"/>
    <w:link w:val="CommentTextChar"/>
    <w:semiHidden/>
    <w:unhideWhenUsed/>
    <w:rsid w:val="001D1322"/>
    <w:pPr>
      <w:spacing w:line="240" w:lineRule="auto"/>
    </w:pPr>
    <w:rPr>
      <w:sz w:val="20"/>
      <w:szCs w:val="20"/>
    </w:rPr>
  </w:style>
  <w:style w:type="character" w:customStyle="1" w:styleId="CommentTextChar">
    <w:name w:val="Comment Text Char"/>
    <w:basedOn w:val="DefaultParagraphFont"/>
    <w:link w:val="CommentText"/>
    <w:semiHidden/>
    <w:rsid w:val="001D1322"/>
    <w:rPr>
      <w:sz w:val="20"/>
      <w:szCs w:val="20"/>
      <w:lang w:val="en-GB"/>
    </w:rPr>
  </w:style>
  <w:style w:type="paragraph" w:styleId="CommentSubject">
    <w:name w:val="annotation subject"/>
    <w:basedOn w:val="CommentText"/>
    <w:next w:val="CommentText"/>
    <w:link w:val="CommentSubjectChar"/>
    <w:uiPriority w:val="99"/>
    <w:semiHidden/>
    <w:unhideWhenUsed/>
    <w:rsid w:val="001D1322"/>
    <w:rPr>
      <w:b/>
      <w:bCs/>
    </w:rPr>
  </w:style>
  <w:style w:type="character" w:customStyle="1" w:styleId="CommentSubjectChar">
    <w:name w:val="Comment Subject Char"/>
    <w:basedOn w:val="CommentTextChar"/>
    <w:link w:val="CommentSubject"/>
    <w:uiPriority w:val="99"/>
    <w:semiHidden/>
    <w:rsid w:val="001D1322"/>
    <w:rPr>
      <w:b/>
      <w:bCs/>
      <w:sz w:val="20"/>
      <w:szCs w:val="20"/>
      <w:lang w:val="en-GB"/>
    </w:rPr>
  </w:style>
  <w:style w:type="paragraph" w:styleId="NormalWeb">
    <w:name w:val="Normal (Web)"/>
    <w:basedOn w:val="Normal"/>
    <w:uiPriority w:val="99"/>
    <w:semiHidden/>
    <w:unhideWhenUsed/>
    <w:rsid w:val="001D1322"/>
    <w:pPr>
      <w:spacing w:before="100" w:beforeAutospacing="1" w:after="100" w:afterAutospacing="1" w:line="240" w:lineRule="auto"/>
    </w:pPr>
    <w:rPr>
      <w:rFonts w:ascii="Times New Roman" w:eastAsiaTheme="minorEastAsia" w:hAnsi="Times New Roman" w:cs="Times New Roman"/>
      <w:sz w:val="24"/>
      <w:szCs w:val="24"/>
      <w:lang w:val="en-AU" w:eastAsia="en-AU"/>
    </w:rPr>
  </w:style>
  <w:style w:type="paragraph" w:styleId="NoSpacing">
    <w:name w:val="No Spacing"/>
    <w:uiPriority w:val="1"/>
    <w:qFormat/>
    <w:rsid w:val="001D1322"/>
    <w:pPr>
      <w:spacing w:after="0" w:line="240" w:lineRule="auto"/>
    </w:pPr>
    <w:rPr>
      <w:lang w:val="en-GB"/>
    </w:rPr>
  </w:style>
  <w:style w:type="paragraph" w:styleId="TOCHeading">
    <w:name w:val="TOC Heading"/>
    <w:basedOn w:val="Heading1"/>
    <w:next w:val="Normal"/>
    <w:uiPriority w:val="39"/>
    <w:unhideWhenUsed/>
    <w:qFormat/>
    <w:rsid w:val="001D1322"/>
    <w:pPr>
      <w:outlineLvl w:val="9"/>
    </w:pPr>
    <w:rPr>
      <w:lang w:val="en-US"/>
    </w:rPr>
  </w:style>
  <w:style w:type="paragraph" w:styleId="TOC2">
    <w:name w:val="toc 2"/>
    <w:basedOn w:val="Normal"/>
    <w:next w:val="Normal"/>
    <w:autoRedefine/>
    <w:uiPriority w:val="39"/>
    <w:unhideWhenUsed/>
    <w:rsid w:val="001D1322"/>
    <w:pPr>
      <w:spacing w:after="100"/>
      <w:ind w:left="220"/>
    </w:pPr>
  </w:style>
  <w:style w:type="character" w:styleId="LineNumber">
    <w:name w:val="line number"/>
    <w:basedOn w:val="DefaultParagraphFont"/>
    <w:uiPriority w:val="99"/>
    <w:semiHidden/>
    <w:unhideWhenUsed/>
    <w:rsid w:val="00A37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9519">
      <w:bodyDiv w:val="1"/>
      <w:marLeft w:val="0"/>
      <w:marRight w:val="0"/>
      <w:marTop w:val="0"/>
      <w:marBottom w:val="0"/>
      <w:divBdr>
        <w:top w:val="none" w:sz="0" w:space="0" w:color="auto"/>
        <w:left w:val="none" w:sz="0" w:space="0" w:color="auto"/>
        <w:bottom w:val="none" w:sz="0" w:space="0" w:color="auto"/>
        <w:right w:val="none" w:sz="0" w:space="0" w:color="auto"/>
      </w:divBdr>
    </w:div>
    <w:div w:id="22827629">
      <w:bodyDiv w:val="1"/>
      <w:marLeft w:val="0"/>
      <w:marRight w:val="0"/>
      <w:marTop w:val="0"/>
      <w:marBottom w:val="0"/>
      <w:divBdr>
        <w:top w:val="none" w:sz="0" w:space="0" w:color="auto"/>
        <w:left w:val="none" w:sz="0" w:space="0" w:color="auto"/>
        <w:bottom w:val="none" w:sz="0" w:space="0" w:color="auto"/>
        <w:right w:val="none" w:sz="0" w:space="0" w:color="auto"/>
      </w:divBdr>
    </w:div>
    <w:div w:id="22951128">
      <w:bodyDiv w:val="1"/>
      <w:marLeft w:val="0"/>
      <w:marRight w:val="0"/>
      <w:marTop w:val="0"/>
      <w:marBottom w:val="0"/>
      <w:divBdr>
        <w:top w:val="none" w:sz="0" w:space="0" w:color="auto"/>
        <w:left w:val="none" w:sz="0" w:space="0" w:color="auto"/>
        <w:bottom w:val="none" w:sz="0" w:space="0" w:color="auto"/>
        <w:right w:val="none" w:sz="0" w:space="0" w:color="auto"/>
      </w:divBdr>
    </w:div>
    <w:div w:id="271715092">
      <w:bodyDiv w:val="1"/>
      <w:marLeft w:val="0"/>
      <w:marRight w:val="0"/>
      <w:marTop w:val="0"/>
      <w:marBottom w:val="0"/>
      <w:divBdr>
        <w:top w:val="none" w:sz="0" w:space="0" w:color="auto"/>
        <w:left w:val="none" w:sz="0" w:space="0" w:color="auto"/>
        <w:bottom w:val="none" w:sz="0" w:space="0" w:color="auto"/>
        <w:right w:val="none" w:sz="0" w:space="0" w:color="auto"/>
      </w:divBdr>
    </w:div>
    <w:div w:id="296953598">
      <w:bodyDiv w:val="1"/>
      <w:marLeft w:val="0"/>
      <w:marRight w:val="0"/>
      <w:marTop w:val="0"/>
      <w:marBottom w:val="0"/>
      <w:divBdr>
        <w:top w:val="none" w:sz="0" w:space="0" w:color="auto"/>
        <w:left w:val="none" w:sz="0" w:space="0" w:color="auto"/>
        <w:bottom w:val="none" w:sz="0" w:space="0" w:color="auto"/>
        <w:right w:val="none" w:sz="0" w:space="0" w:color="auto"/>
      </w:divBdr>
    </w:div>
    <w:div w:id="319817347">
      <w:bodyDiv w:val="1"/>
      <w:marLeft w:val="0"/>
      <w:marRight w:val="0"/>
      <w:marTop w:val="0"/>
      <w:marBottom w:val="0"/>
      <w:divBdr>
        <w:top w:val="none" w:sz="0" w:space="0" w:color="auto"/>
        <w:left w:val="none" w:sz="0" w:space="0" w:color="auto"/>
        <w:bottom w:val="none" w:sz="0" w:space="0" w:color="auto"/>
        <w:right w:val="none" w:sz="0" w:space="0" w:color="auto"/>
      </w:divBdr>
    </w:div>
    <w:div w:id="351803362">
      <w:bodyDiv w:val="1"/>
      <w:marLeft w:val="0"/>
      <w:marRight w:val="0"/>
      <w:marTop w:val="0"/>
      <w:marBottom w:val="0"/>
      <w:divBdr>
        <w:top w:val="none" w:sz="0" w:space="0" w:color="auto"/>
        <w:left w:val="none" w:sz="0" w:space="0" w:color="auto"/>
        <w:bottom w:val="none" w:sz="0" w:space="0" w:color="auto"/>
        <w:right w:val="none" w:sz="0" w:space="0" w:color="auto"/>
      </w:divBdr>
    </w:div>
    <w:div w:id="421100234">
      <w:bodyDiv w:val="1"/>
      <w:marLeft w:val="0"/>
      <w:marRight w:val="0"/>
      <w:marTop w:val="0"/>
      <w:marBottom w:val="0"/>
      <w:divBdr>
        <w:top w:val="none" w:sz="0" w:space="0" w:color="auto"/>
        <w:left w:val="none" w:sz="0" w:space="0" w:color="auto"/>
        <w:bottom w:val="none" w:sz="0" w:space="0" w:color="auto"/>
        <w:right w:val="none" w:sz="0" w:space="0" w:color="auto"/>
      </w:divBdr>
    </w:div>
    <w:div w:id="496655557">
      <w:bodyDiv w:val="1"/>
      <w:marLeft w:val="0"/>
      <w:marRight w:val="0"/>
      <w:marTop w:val="0"/>
      <w:marBottom w:val="0"/>
      <w:divBdr>
        <w:top w:val="none" w:sz="0" w:space="0" w:color="auto"/>
        <w:left w:val="none" w:sz="0" w:space="0" w:color="auto"/>
        <w:bottom w:val="none" w:sz="0" w:space="0" w:color="auto"/>
        <w:right w:val="none" w:sz="0" w:space="0" w:color="auto"/>
      </w:divBdr>
    </w:div>
    <w:div w:id="558437354">
      <w:bodyDiv w:val="1"/>
      <w:marLeft w:val="0"/>
      <w:marRight w:val="0"/>
      <w:marTop w:val="0"/>
      <w:marBottom w:val="0"/>
      <w:divBdr>
        <w:top w:val="none" w:sz="0" w:space="0" w:color="auto"/>
        <w:left w:val="none" w:sz="0" w:space="0" w:color="auto"/>
        <w:bottom w:val="none" w:sz="0" w:space="0" w:color="auto"/>
        <w:right w:val="none" w:sz="0" w:space="0" w:color="auto"/>
      </w:divBdr>
    </w:div>
    <w:div w:id="606885829">
      <w:bodyDiv w:val="1"/>
      <w:marLeft w:val="0"/>
      <w:marRight w:val="0"/>
      <w:marTop w:val="0"/>
      <w:marBottom w:val="0"/>
      <w:divBdr>
        <w:top w:val="none" w:sz="0" w:space="0" w:color="auto"/>
        <w:left w:val="none" w:sz="0" w:space="0" w:color="auto"/>
        <w:bottom w:val="none" w:sz="0" w:space="0" w:color="auto"/>
        <w:right w:val="none" w:sz="0" w:space="0" w:color="auto"/>
      </w:divBdr>
    </w:div>
    <w:div w:id="618418444">
      <w:bodyDiv w:val="1"/>
      <w:marLeft w:val="0"/>
      <w:marRight w:val="0"/>
      <w:marTop w:val="0"/>
      <w:marBottom w:val="0"/>
      <w:divBdr>
        <w:top w:val="none" w:sz="0" w:space="0" w:color="auto"/>
        <w:left w:val="none" w:sz="0" w:space="0" w:color="auto"/>
        <w:bottom w:val="none" w:sz="0" w:space="0" w:color="auto"/>
        <w:right w:val="none" w:sz="0" w:space="0" w:color="auto"/>
      </w:divBdr>
    </w:div>
    <w:div w:id="736589425">
      <w:bodyDiv w:val="1"/>
      <w:marLeft w:val="0"/>
      <w:marRight w:val="0"/>
      <w:marTop w:val="0"/>
      <w:marBottom w:val="0"/>
      <w:divBdr>
        <w:top w:val="none" w:sz="0" w:space="0" w:color="auto"/>
        <w:left w:val="none" w:sz="0" w:space="0" w:color="auto"/>
        <w:bottom w:val="none" w:sz="0" w:space="0" w:color="auto"/>
        <w:right w:val="none" w:sz="0" w:space="0" w:color="auto"/>
      </w:divBdr>
    </w:div>
    <w:div w:id="826825830">
      <w:bodyDiv w:val="1"/>
      <w:marLeft w:val="0"/>
      <w:marRight w:val="0"/>
      <w:marTop w:val="0"/>
      <w:marBottom w:val="0"/>
      <w:divBdr>
        <w:top w:val="none" w:sz="0" w:space="0" w:color="auto"/>
        <w:left w:val="none" w:sz="0" w:space="0" w:color="auto"/>
        <w:bottom w:val="none" w:sz="0" w:space="0" w:color="auto"/>
        <w:right w:val="none" w:sz="0" w:space="0" w:color="auto"/>
      </w:divBdr>
    </w:div>
    <w:div w:id="887566969">
      <w:bodyDiv w:val="1"/>
      <w:marLeft w:val="0"/>
      <w:marRight w:val="0"/>
      <w:marTop w:val="0"/>
      <w:marBottom w:val="0"/>
      <w:divBdr>
        <w:top w:val="none" w:sz="0" w:space="0" w:color="auto"/>
        <w:left w:val="none" w:sz="0" w:space="0" w:color="auto"/>
        <w:bottom w:val="none" w:sz="0" w:space="0" w:color="auto"/>
        <w:right w:val="none" w:sz="0" w:space="0" w:color="auto"/>
      </w:divBdr>
    </w:div>
    <w:div w:id="908462010">
      <w:bodyDiv w:val="1"/>
      <w:marLeft w:val="0"/>
      <w:marRight w:val="0"/>
      <w:marTop w:val="0"/>
      <w:marBottom w:val="0"/>
      <w:divBdr>
        <w:top w:val="none" w:sz="0" w:space="0" w:color="auto"/>
        <w:left w:val="none" w:sz="0" w:space="0" w:color="auto"/>
        <w:bottom w:val="none" w:sz="0" w:space="0" w:color="auto"/>
        <w:right w:val="none" w:sz="0" w:space="0" w:color="auto"/>
      </w:divBdr>
    </w:div>
    <w:div w:id="1038965603">
      <w:bodyDiv w:val="1"/>
      <w:marLeft w:val="0"/>
      <w:marRight w:val="0"/>
      <w:marTop w:val="0"/>
      <w:marBottom w:val="0"/>
      <w:divBdr>
        <w:top w:val="none" w:sz="0" w:space="0" w:color="auto"/>
        <w:left w:val="none" w:sz="0" w:space="0" w:color="auto"/>
        <w:bottom w:val="none" w:sz="0" w:space="0" w:color="auto"/>
        <w:right w:val="none" w:sz="0" w:space="0" w:color="auto"/>
      </w:divBdr>
    </w:div>
    <w:div w:id="1083334646">
      <w:bodyDiv w:val="1"/>
      <w:marLeft w:val="0"/>
      <w:marRight w:val="0"/>
      <w:marTop w:val="0"/>
      <w:marBottom w:val="0"/>
      <w:divBdr>
        <w:top w:val="none" w:sz="0" w:space="0" w:color="auto"/>
        <w:left w:val="none" w:sz="0" w:space="0" w:color="auto"/>
        <w:bottom w:val="none" w:sz="0" w:space="0" w:color="auto"/>
        <w:right w:val="none" w:sz="0" w:space="0" w:color="auto"/>
      </w:divBdr>
    </w:div>
    <w:div w:id="1214150711">
      <w:bodyDiv w:val="1"/>
      <w:marLeft w:val="0"/>
      <w:marRight w:val="0"/>
      <w:marTop w:val="0"/>
      <w:marBottom w:val="0"/>
      <w:divBdr>
        <w:top w:val="none" w:sz="0" w:space="0" w:color="auto"/>
        <w:left w:val="none" w:sz="0" w:space="0" w:color="auto"/>
        <w:bottom w:val="none" w:sz="0" w:space="0" w:color="auto"/>
        <w:right w:val="none" w:sz="0" w:space="0" w:color="auto"/>
      </w:divBdr>
    </w:div>
    <w:div w:id="1230844237">
      <w:bodyDiv w:val="1"/>
      <w:marLeft w:val="0"/>
      <w:marRight w:val="0"/>
      <w:marTop w:val="0"/>
      <w:marBottom w:val="0"/>
      <w:divBdr>
        <w:top w:val="none" w:sz="0" w:space="0" w:color="auto"/>
        <w:left w:val="none" w:sz="0" w:space="0" w:color="auto"/>
        <w:bottom w:val="none" w:sz="0" w:space="0" w:color="auto"/>
        <w:right w:val="none" w:sz="0" w:space="0" w:color="auto"/>
      </w:divBdr>
    </w:div>
    <w:div w:id="1291781617">
      <w:bodyDiv w:val="1"/>
      <w:marLeft w:val="0"/>
      <w:marRight w:val="0"/>
      <w:marTop w:val="0"/>
      <w:marBottom w:val="0"/>
      <w:divBdr>
        <w:top w:val="none" w:sz="0" w:space="0" w:color="auto"/>
        <w:left w:val="none" w:sz="0" w:space="0" w:color="auto"/>
        <w:bottom w:val="none" w:sz="0" w:space="0" w:color="auto"/>
        <w:right w:val="none" w:sz="0" w:space="0" w:color="auto"/>
      </w:divBdr>
    </w:div>
    <w:div w:id="1291863787">
      <w:bodyDiv w:val="1"/>
      <w:marLeft w:val="0"/>
      <w:marRight w:val="0"/>
      <w:marTop w:val="0"/>
      <w:marBottom w:val="0"/>
      <w:divBdr>
        <w:top w:val="none" w:sz="0" w:space="0" w:color="auto"/>
        <w:left w:val="none" w:sz="0" w:space="0" w:color="auto"/>
        <w:bottom w:val="none" w:sz="0" w:space="0" w:color="auto"/>
        <w:right w:val="none" w:sz="0" w:space="0" w:color="auto"/>
      </w:divBdr>
    </w:div>
    <w:div w:id="1293095217">
      <w:bodyDiv w:val="1"/>
      <w:marLeft w:val="0"/>
      <w:marRight w:val="0"/>
      <w:marTop w:val="0"/>
      <w:marBottom w:val="0"/>
      <w:divBdr>
        <w:top w:val="none" w:sz="0" w:space="0" w:color="auto"/>
        <w:left w:val="none" w:sz="0" w:space="0" w:color="auto"/>
        <w:bottom w:val="none" w:sz="0" w:space="0" w:color="auto"/>
        <w:right w:val="none" w:sz="0" w:space="0" w:color="auto"/>
      </w:divBdr>
    </w:div>
    <w:div w:id="1498767443">
      <w:bodyDiv w:val="1"/>
      <w:marLeft w:val="0"/>
      <w:marRight w:val="0"/>
      <w:marTop w:val="0"/>
      <w:marBottom w:val="0"/>
      <w:divBdr>
        <w:top w:val="none" w:sz="0" w:space="0" w:color="auto"/>
        <w:left w:val="none" w:sz="0" w:space="0" w:color="auto"/>
        <w:bottom w:val="none" w:sz="0" w:space="0" w:color="auto"/>
        <w:right w:val="none" w:sz="0" w:space="0" w:color="auto"/>
      </w:divBdr>
    </w:div>
    <w:div w:id="1501769582">
      <w:bodyDiv w:val="1"/>
      <w:marLeft w:val="0"/>
      <w:marRight w:val="0"/>
      <w:marTop w:val="0"/>
      <w:marBottom w:val="0"/>
      <w:divBdr>
        <w:top w:val="none" w:sz="0" w:space="0" w:color="auto"/>
        <w:left w:val="none" w:sz="0" w:space="0" w:color="auto"/>
        <w:bottom w:val="none" w:sz="0" w:space="0" w:color="auto"/>
        <w:right w:val="none" w:sz="0" w:space="0" w:color="auto"/>
      </w:divBdr>
    </w:div>
    <w:div w:id="1534727130">
      <w:bodyDiv w:val="1"/>
      <w:marLeft w:val="0"/>
      <w:marRight w:val="0"/>
      <w:marTop w:val="0"/>
      <w:marBottom w:val="0"/>
      <w:divBdr>
        <w:top w:val="none" w:sz="0" w:space="0" w:color="auto"/>
        <w:left w:val="none" w:sz="0" w:space="0" w:color="auto"/>
        <w:bottom w:val="none" w:sz="0" w:space="0" w:color="auto"/>
        <w:right w:val="none" w:sz="0" w:space="0" w:color="auto"/>
      </w:divBdr>
    </w:div>
    <w:div w:id="1566796358">
      <w:bodyDiv w:val="1"/>
      <w:marLeft w:val="0"/>
      <w:marRight w:val="0"/>
      <w:marTop w:val="0"/>
      <w:marBottom w:val="0"/>
      <w:divBdr>
        <w:top w:val="none" w:sz="0" w:space="0" w:color="auto"/>
        <w:left w:val="none" w:sz="0" w:space="0" w:color="auto"/>
        <w:bottom w:val="none" w:sz="0" w:space="0" w:color="auto"/>
        <w:right w:val="none" w:sz="0" w:space="0" w:color="auto"/>
      </w:divBdr>
    </w:div>
    <w:div w:id="1678725103">
      <w:bodyDiv w:val="1"/>
      <w:marLeft w:val="0"/>
      <w:marRight w:val="0"/>
      <w:marTop w:val="0"/>
      <w:marBottom w:val="0"/>
      <w:divBdr>
        <w:top w:val="none" w:sz="0" w:space="0" w:color="auto"/>
        <w:left w:val="none" w:sz="0" w:space="0" w:color="auto"/>
        <w:bottom w:val="none" w:sz="0" w:space="0" w:color="auto"/>
        <w:right w:val="none" w:sz="0" w:space="0" w:color="auto"/>
      </w:divBdr>
    </w:div>
    <w:div w:id="1713967775">
      <w:bodyDiv w:val="1"/>
      <w:marLeft w:val="0"/>
      <w:marRight w:val="0"/>
      <w:marTop w:val="0"/>
      <w:marBottom w:val="0"/>
      <w:divBdr>
        <w:top w:val="none" w:sz="0" w:space="0" w:color="auto"/>
        <w:left w:val="none" w:sz="0" w:space="0" w:color="auto"/>
        <w:bottom w:val="none" w:sz="0" w:space="0" w:color="auto"/>
        <w:right w:val="none" w:sz="0" w:space="0" w:color="auto"/>
      </w:divBdr>
    </w:div>
    <w:div w:id="1804734056">
      <w:bodyDiv w:val="1"/>
      <w:marLeft w:val="0"/>
      <w:marRight w:val="0"/>
      <w:marTop w:val="0"/>
      <w:marBottom w:val="0"/>
      <w:divBdr>
        <w:top w:val="none" w:sz="0" w:space="0" w:color="auto"/>
        <w:left w:val="none" w:sz="0" w:space="0" w:color="auto"/>
        <w:bottom w:val="none" w:sz="0" w:space="0" w:color="auto"/>
        <w:right w:val="none" w:sz="0" w:space="0" w:color="auto"/>
      </w:divBdr>
    </w:div>
    <w:div w:id="1828396563">
      <w:bodyDiv w:val="1"/>
      <w:marLeft w:val="0"/>
      <w:marRight w:val="0"/>
      <w:marTop w:val="0"/>
      <w:marBottom w:val="0"/>
      <w:divBdr>
        <w:top w:val="none" w:sz="0" w:space="0" w:color="auto"/>
        <w:left w:val="none" w:sz="0" w:space="0" w:color="auto"/>
        <w:bottom w:val="none" w:sz="0" w:space="0" w:color="auto"/>
        <w:right w:val="none" w:sz="0" w:space="0" w:color="auto"/>
      </w:divBdr>
    </w:div>
    <w:div w:id="1850291404">
      <w:bodyDiv w:val="1"/>
      <w:marLeft w:val="0"/>
      <w:marRight w:val="0"/>
      <w:marTop w:val="0"/>
      <w:marBottom w:val="0"/>
      <w:divBdr>
        <w:top w:val="none" w:sz="0" w:space="0" w:color="auto"/>
        <w:left w:val="none" w:sz="0" w:space="0" w:color="auto"/>
        <w:bottom w:val="none" w:sz="0" w:space="0" w:color="auto"/>
        <w:right w:val="none" w:sz="0" w:space="0" w:color="auto"/>
      </w:divBdr>
    </w:div>
    <w:div w:id="1862087329">
      <w:bodyDiv w:val="1"/>
      <w:marLeft w:val="0"/>
      <w:marRight w:val="0"/>
      <w:marTop w:val="0"/>
      <w:marBottom w:val="0"/>
      <w:divBdr>
        <w:top w:val="none" w:sz="0" w:space="0" w:color="auto"/>
        <w:left w:val="none" w:sz="0" w:space="0" w:color="auto"/>
        <w:bottom w:val="none" w:sz="0" w:space="0" w:color="auto"/>
        <w:right w:val="none" w:sz="0" w:space="0" w:color="auto"/>
      </w:divBdr>
    </w:div>
    <w:div w:id="1998411835">
      <w:bodyDiv w:val="1"/>
      <w:marLeft w:val="0"/>
      <w:marRight w:val="0"/>
      <w:marTop w:val="0"/>
      <w:marBottom w:val="0"/>
      <w:divBdr>
        <w:top w:val="none" w:sz="0" w:space="0" w:color="auto"/>
        <w:left w:val="none" w:sz="0" w:space="0" w:color="auto"/>
        <w:bottom w:val="none" w:sz="0" w:space="0" w:color="auto"/>
        <w:right w:val="none" w:sz="0" w:space="0" w:color="auto"/>
      </w:divBdr>
    </w:div>
    <w:div w:id="2020502100">
      <w:bodyDiv w:val="1"/>
      <w:marLeft w:val="0"/>
      <w:marRight w:val="0"/>
      <w:marTop w:val="0"/>
      <w:marBottom w:val="0"/>
      <w:divBdr>
        <w:top w:val="none" w:sz="0" w:space="0" w:color="auto"/>
        <w:left w:val="none" w:sz="0" w:space="0" w:color="auto"/>
        <w:bottom w:val="none" w:sz="0" w:space="0" w:color="auto"/>
        <w:right w:val="none" w:sz="0" w:space="0" w:color="auto"/>
      </w:divBdr>
    </w:div>
    <w:div w:id="208151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chart" Target="charts/chart13.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chart" Target="charts/chart27.xml"/><Relationship Id="rId50" Type="http://schemas.openxmlformats.org/officeDocument/2006/relationships/hyperlink" Target="https://oec.world/en/profile/country/fji/" TargetMode="Externa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image" Target="media/image7.png"/><Relationship Id="rId46" Type="http://schemas.openxmlformats.org/officeDocument/2006/relationships/chart" Target="charts/chart26.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2.png"/><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chart" Target="charts/chart25.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5.png"/><Relationship Id="rId49" Type="http://schemas.openxmlformats.org/officeDocument/2006/relationships/hyperlink" Target="https://yearbook.enerdata.net/total-energy/world-energy-intensity-gdp-data.html"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chart" Target="charts/chart28.xml"/><Relationship Id="rId8" Type="http://schemas.openxmlformats.org/officeDocument/2006/relationships/footer" Target="footer1.xml"/><Relationship Id="rId51" Type="http://schemas.openxmlformats.org/officeDocument/2006/relationships/hyperlink" Target="https://www.sgp.undp.org/index.php?option=com_content&amp;view=article&amp;id=425:chemical-free-farming-paves-the-way-to-sustainability-in-fiji&amp;catid=36:our-stories&amp;Itemid=25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d.docs.live.net/549239fbcf2947a6/Documents/PhD/9.%20iSDG%20Modelling%20Fiji/Scenarios/Fiji%20Scenario%20Analysi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549239fbcf2947a6/Documents/PhD/9.%20iSDG%20Modelling%20Fiji/Scenarios/Fiji%20Scenario%20Analysis%20070420%20new.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549239fbcf2947a6/Documents/PhD/9.%20iSDG%20Modelling%20Fiji/Scenarios/Fiji%20Scenario%20Analysis%20070420%20n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549239fbcf2947a6/Documents/PhD/9.%20iSDG%20Modelling%20Fiji/Scenarios/Fiji%20Scenario%20Analysis%20070420%20new.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d.docs.live.net/549239fbcf2947a6/Documents/PhD/9.%20iSDG%20Modelling%20Fiji/Scenarios/Fiji%20Scenario%20Analysis%20070420%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68023327602747E-2"/>
          <c:y val="1.7970253718285215E-2"/>
          <c:w val="0.91967680758843628"/>
          <c:h val="0.81588971889836692"/>
        </c:manualLayout>
      </c:layout>
      <c:lineChart>
        <c:grouping val="standard"/>
        <c:varyColors val="0"/>
        <c:ser>
          <c:idx val="6"/>
          <c:order val="0"/>
          <c:tx>
            <c:strRef>
              <c:f>'[Fiji Scenario Analysis 070420 new.xlsx]Gov_exp'!$D$3</c:f>
              <c:strCache>
                <c:ptCount val="1"/>
                <c:pt idx="0">
                  <c:v>BAU</c:v>
                </c:pt>
              </c:strCache>
            </c:strRef>
          </c:tx>
          <c:spPr>
            <a:ln w="12700" cap="rnd">
              <a:solidFill>
                <a:srgbClr val="FFC000"/>
              </a:solidFill>
              <a:prstDash val="solid"/>
              <a:round/>
            </a:ln>
            <a:effectLst/>
          </c:spPr>
          <c:marker>
            <c:symbol val="none"/>
          </c:marker>
          <c:cat>
            <c:strRef>
              <c:f>'[Fiji Scenario Analysis 070420 new.xlsx]Gov_exp'!$B$4:$B$45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new.xlsx]Gov_exp'!$D$4:$D$45</c:f>
              <c:numCache>
                <c:formatCode>General</c:formatCode>
                <c:ptCount val="42"/>
                <c:pt idx="0">
                  <c:v>0.58829394311200001</c:v>
                </c:pt>
                <c:pt idx="1">
                  <c:v>0.65577619404599996</c:v>
                </c:pt>
                <c:pt idx="2">
                  <c:v>0.70238708097500002</c:v>
                </c:pt>
                <c:pt idx="3">
                  <c:v>0.76820781128499993</c:v>
                </c:pt>
                <c:pt idx="4">
                  <c:v>0.757908386431</c:v>
                </c:pt>
                <c:pt idx="5">
                  <c:v>0.74455085058000003</c:v>
                </c:pt>
                <c:pt idx="6">
                  <c:v>0.91821382133700002</c:v>
                </c:pt>
                <c:pt idx="7">
                  <c:v>1.0242732165099999</c:v>
                </c:pt>
                <c:pt idx="8">
                  <c:v>1.0145572779000001</c:v>
                </c:pt>
                <c:pt idx="9">
                  <c:v>0.99610861492700009</c:v>
                </c:pt>
                <c:pt idx="10">
                  <c:v>1.00169604142</c:v>
                </c:pt>
                <c:pt idx="11">
                  <c:v>1.1184803194000001</c:v>
                </c:pt>
                <c:pt idx="12">
                  <c:v>1.2270592736800001</c:v>
                </c:pt>
                <c:pt idx="13">
                  <c:v>1.2831099189100001</c:v>
                </c:pt>
                <c:pt idx="14">
                  <c:v>1.2947132265899999</c:v>
                </c:pt>
                <c:pt idx="15">
                  <c:v>1.356246807</c:v>
                </c:pt>
                <c:pt idx="16">
                  <c:v>1.5614891773900001</c:v>
                </c:pt>
                <c:pt idx="17">
                  <c:v>1.5486889314600001</c:v>
                </c:pt>
                <c:pt idx="18">
                  <c:v>1.3969288667399999</c:v>
                </c:pt>
                <c:pt idx="19">
                  <c:v>1.6757910280299999</c:v>
                </c:pt>
                <c:pt idx="20">
                  <c:v>1.6858841675799998</c:v>
                </c:pt>
                <c:pt idx="21">
                  <c:v>1.9566370714700001</c:v>
                </c:pt>
                <c:pt idx="22">
                  <c:v>2.1188292037099998</c:v>
                </c:pt>
                <c:pt idx="23">
                  <c:v>2.2585769973300001</c:v>
                </c:pt>
                <c:pt idx="24">
                  <c:v>2.7453725019999999</c:v>
                </c:pt>
                <c:pt idx="25">
                  <c:v>3.1023025852600004</c:v>
                </c:pt>
                <c:pt idx="26">
                  <c:v>3.2792511146900001</c:v>
                </c:pt>
                <c:pt idx="27">
                  <c:v>3.4836557670400001</c:v>
                </c:pt>
                <c:pt idx="28">
                  <c:v>3.7035823730300002</c:v>
                </c:pt>
                <c:pt idx="29">
                  <c:v>3.9128309668200001</c:v>
                </c:pt>
                <c:pt idx="30">
                  <c:v>4.1356227374800003</c:v>
                </c:pt>
                <c:pt idx="31">
                  <c:v>4.3693050272200002</c:v>
                </c:pt>
                <c:pt idx="32">
                  <c:v>4.6046633567700006</c:v>
                </c:pt>
                <c:pt idx="33">
                  <c:v>4.8465506753199996</c:v>
                </c:pt>
                <c:pt idx="34">
                  <c:v>5.0969839771999998</c:v>
                </c:pt>
                <c:pt idx="35">
                  <c:v>5.3590849397200007</c:v>
                </c:pt>
                <c:pt idx="36">
                  <c:v>5.6298440298100001</c:v>
                </c:pt>
                <c:pt idx="37">
                  <c:v>5.9146089956000001</c:v>
                </c:pt>
                <c:pt idx="38">
                  <c:v>6.2099856402500002</c:v>
                </c:pt>
                <c:pt idx="39">
                  <c:v>6.5181643301499994</c:v>
                </c:pt>
                <c:pt idx="40">
                  <c:v>6.8419480963300003</c:v>
                </c:pt>
                <c:pt idx="41">
                  <c:v>7.1789088294200001</c:v>
                </c:pt>
              </c:numCache>
            </c:numRef>
          </c:val>
          <c:smooth val="0"/>
          <c:extLst>
            <c:ext xmlns:c16="http://schemas.microsoft.com/office/drawing/2014/chart" uri="{C3380CC4-5D6E-409C-BE32-E72D297353CC}">
              <c16:uniqueId val="{00000000-415C-4364-8254-4950A6CAC594}"/>
            </c:ext>
          </c:extLst>
        </c:ser>
        <c:ser>
          <c:idx val="5"/>
          <c:order val="1"/>
          <c:tx>
            <c:strRef>
              <c:f>'[Fiji Scenario Analysis 070420 new.xlsx]Gov_exp'!$E$3</c:f>
              <c:strCache>
                <c:ptCount val="1"/>
                <c:pt idx="0">
                  <c:v>1. GAC</c:v>
                </c:pt>
              </c:strCache>
            </c:strRef>
          </c:tx>
          <c:spPr>
            <a:ln w="12700" cap="rnd">
              <a:solidFill>
                <a:srgbClr val="FF0000"/>
              </a:solidFill>
              <a:prstDash val="solid"/>
              <a:round/>
            </a:ln>
            <a:effectLst/>
          </c:spPr>
          <c:marker>
            <c:symbol val="none"/>
          </c:marker>
          <c:cat>
            <c:strRef>
              <c:f>'[Fiji Scenario Analysis 070420 new.xlsx]Gov_exp'!$B$4:$B$45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new.xlsx]Gov_exp'!$E$4:$E$45</c:f>
              <c:numCache>
                <c:formatCode>General</c:formatCode>
                <c:ptCount val="42"/>
                <c:pt idx="0">
                  <c:v>0.58829394311200001</c:v>
                </c:pt>
                <c:pt idx="1">
                  <c:v>0.65577619404599996</c:v>
                </c:pt>
                <c:pt idx="2">
                  <c:v>0.70238708097500002</c:v>
                </c:pt>
                <c:pt idx="3">
                  <c:v>0.76820781128499993</c:v>
                </c:pt>
                <c:pt idx="4">
                  <c:v>0.757908386431</c:v>
                </c:pt>
                <c:pt idx="5">
                  <c:v>0.74455085058000003</c:v>
                </c:pt>
                <c:pt idx="6">
                  <c:v>0.91821382133700002</c:v>
                </c:pt>
                <c:pt idx="7">
                  <c:v>1.0242732165099999</c:v>
                </c:pt>
                <c:pt idx="8">
                  <c:v>1.0145572779000001</c:v>
                </c:pt>
                <c:pt idx="9">
                  <c:v>0.99610861492700009</c:v>
                </c:pt>
                <c:pt idx="10">
                  <c:v>1.00169604142</c:v>
                </c:pt>
                <c:pt idx="11">
                  <c:v>1.1184803194000001</c:v>
                </c:pt>
                <c:pt idx="12">
                  <c:v>1.2270592736800001</c:v>
                </c:pt>
                <c:pt idx="13">
                  <c:v>1.2831099189100001</c:v>
                </c:pt>
                <c:pt idx="14">
                  <c:v>1.2947132265899999</c:v>
                </c:pt>
                <c:pt idx="15">
                  <c:v>1.356246807</c:v>
                </c:pt>
                <c:pt idx="16">
                  <c:v>1.5614891773900001</c:v>
                </c:pt>
                <c:pt idx="17">
                  <c:v>1.5486889314600001</c:v>
                </c:pt>
                <c:pt idx="18">
                  <c:v>1.3969288667399999</c:v>
                </c:pt>
                <c:pt idx="19">
                  <c:v>1.6757910280299999</c:v>
                </c:pt>
                <c:pt idx="20">
                  <c:v>1.6858841675799998</c:v>
                </c:pt>
                <c:pt idx="21">
                  <c:v>1.9566370714700001</c:v>
                </c:pt>
                <c:pt idx="22">
                  <c:v>2.1188292037099998</c:v>
                </c:pt>
                <c:pt idx="23">
                  <c:v>2.2585769973300001</c:v>
                </c:pt>
                <c:pt idx="24">
                  <c:v>2.7453725019999999</c:v>
                </c:pt>
                <c:pt idx="25">
                  <c:v>3.1023025852600004</c:v>
                </c:pt>
                <c:pt idx="26">
                  <c:v>3.2792511146900001</c:v>
                </c:pt>
                <c:pt idx="27">
                  <c:v>3.4836557670400001</c:v>
                </c:pt>
                <c:pt idx="28">
                  <c:v>3.7035823730300002</c:v>
                </c:pt>
                <c:pt idx="29">
                  <c:v>3.9128309668200001</c:v>
                </c:pt>
                <c:pt idx="30">
                  <c:v>4.0446550164200001</c:v>
                </c:pt>
                <c:pt idx="31">
                  <c:v>4.1357535390200004</c:v>
                </c:pt>
                <c:pt idx="32">
                  <c:v>4.2684139840799995</c:v>
                </c:pt>
                <c:pt idx="33">
                  <c:v>4.4290130617800001</c:v>
                </c:pt>
                <c:pt idx="34">
                  <c:v>4.6109594867099997</c:v>
                </c:pt>
                <c:pt idx="35">
                  <c:v>4.79832235731</c:v>
                </c:pt>
                <c:pt idx="36">
                  <c:v>5.05318010492</c:v>
                </c:pt>
                <c:pt idx="37">
                  <c:v>5.3316536480600005</c:v>
                </c:pt>
                <c:pt idx="38">
                  <c:v>5.6238377574200005</c:v>
                </c:pt>
                <c:pt idx="39">
                  <c:v>5.9316682853699998</c:v>
                </c:pt>
                <c:pt idx="40">
                  <c:v>6.2598853696000001</c:v>
                </c:pt>
                <c:pt idx="41">
                  <c:v>6.5997229334199998</c:v>
                </c:pt>
              </c:numCache>
            </c:numRef>
          </c:val>
          <c:smooth val="0"/>
          <c:extLst>
            <c:ext xmlns:c16="http://schemas.microsoft.com/office/drawing/2014/chart" uri="{C3380CC4-5D6E-409C-BE32-E72D297353CC}">
              <c16:uniqueId val="{00000001-415C-4364-8254-4950A6CAC594}"/>
            </c:ext>
          </c:extLst>
        </c:ser>
        <c:ser>
          <c:idx val="4"/>
          <c:order val="2"/>
          <c:tx>
            <c:strRef>
              <c:f>'[Fiji Scenario Analysis 070420 new.xlsx]Gov_exp'!$F$3</c:f>
              <c:strCache>
                <c:ptCount val="1"/>
                <c:pt idx="0">
                  <c:v>2. GE</c:v>
                </c:pt>
              </c:strCache>
            </c:strRef>
          </c:tx>
          <c:spPr>
            <a:ln w="12700" cap="rnd">
              <a:solidFill>
                <a:srgbClr val="7CBF33"/>
              </a:solidFill>
              <a:round/>
            </a:ln>
            <a:effectLst/>
          </c:spPr>
          <c:marker>
            <c:symbol val="none"/>
          </c:marker>
          <c:cat>
            <c:strRef>
              <c:f>'[Fiji Scenario Analysis 070420 new.xlsx]Gov_exp'!$B$4:$B$45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new.xlsx]Gov_exp'!$F$4:$F$45</c:f>
              <c:numCache>
                <c:formatCode>General</c:formatCode>
                <c:ptCount val="42"/>
                <c:pt idx="0">
                  <c:v>0.58829394311200001</c:v>
                </c:pt>
                <c:pt idx="1">
                  <c:v>0.65577619404599996</c:v>
                </c:pt>
                <c:pt idx="2">
                  <c:v>0.70238708097500002</c:v>
                </c:pt>
                <c:pt idx="3">
                  <c:v>0.76820781128499993</c:v>
                </c:pt>
                <c:pt idx="4">
                  <c:v>0.757908386431</c:v>
                </c:pt>
                <c:pt idx="5">
                  <c:v>0.74455085058000003</c:v>
                </c:pt>
                <c:pt idx="6">
                  <c:v>0.91821382133700002</c:v>
                </c:pt>
                <c:pt idx="7">
                  <c:v>1.0242732165099999</c:v>
                </c:pt>
                <c:pt idx="8">
                  <c:v>1.0145572779000001</c:v>
                </c:pt>
                <c:pt idx="9">
                  <c:v>0.99610861492700009</c:v>
                </c:pt>
                <c:pt idx="10">
                  <c:v>1.00169604142</c:v>
                </c:pt>
                <c:pt idx="11">
                  <c:v>1.1184803194000001</c:v>
                </c:pt>
                <c:pt idx="12">
                  <c:v>1.2270592736800001</c:v>
                </c:pt>
                <c:pt idx="13">
                  <c:v>1.2831099189100001</c:v>
                </c:pt>
                <c:pt idx="14">
                  <c:v>1.2947132265899999</c:v>
                </c:pt>
                <c:pt idx="15">
                  <c:v>1.356246807</c:v>
                </c:pt>
                <c:pt idx="16">
                  <c:v>1.5614891773900001</c:v>
                </c:pt>
                <c:pt idx="17">
                  <c:v>1.5486889314600001</c:v>
                </c:pt>
                <c:pt idx="18">
                  <c:v>1.3969288667399999</c:v>
                </c:pt>
                <c:pt idx="19">
                  <c:v>1.6757910280299999</c:v>
                </c:pt>
                <c:pt idx="20">
                  <c:v>1.6858841675799998</c:v>
                </c:pt>
                <c:pt idx="21">
                  <c:v>1.9566370714700001</c:v>
                </c:pt>
                <c:pt idx="22">
                  <c:v>2.1188292037099998</c:v>
                </c:pt>
                <c:pt idx="23">
                  <c:v>2.2585769973300001</c:v>
                </c:pt>
                <c:pt idx="24">
                  <c:v>2.7453725019999999</c:v>
                </c:pt>
                <c:pt idx="25">
                  <c:v>3.1023025852600004</c:v>
                </c:pt>
                <c:pt idx="26">
                  <c:v>3.2792511146900001</c:v>
                </c:pt>
                <c:pt idx="27">
                  <c:v>3.4836557670400001</c:v>
                </c:pt>
                <c:pt idx="28">
                  <c:v>3.7035823730300002</c:v>
                </c:pt>
                <c:pt idx="29">
                  <c:v>3.9128309668200001</c:v>
                </c:pt>
                <c:pt idx="30">
                  <c:v>4.2358939754599998</c:v>
                </c:pt>
                <c:pt idx="31">
                  <c:v>4.46852176283</c:v>
                </c:pt>
                <c:pt idx="32">
                  <c:v>4.7167450088400003</c:v>
                </c:pt>
                <c:pt idx="33">
                  <c:v>4.9739497369299999</c:v>
                </c:pt>
                <c:pt idx="34">
                  <c:v>5.2424880681400001</c:v>
                </c:pt>
                <c:pt idx="35">
                  <c:v>5.5246023344899999</c:v>
                </c:pt>
                <c:pt idx="36">
                  <c:v>5.8175132591200001</c:v>
                </c:pt>
                <c:pt idx="37">
                  <c:v>6.1251707747799999</c:v>
                </c:pt>
                <c:pt idx="38">
                  <c:v>6.4475701702299997</c:v>
                </c:pt>
                <c:pt idx="39">
                  <c:v>6.7861449118100001</c:v>
                </c:pt>
                <c:pt idx="40">
                  <c:v>7.1416885096599998</c:v>
                </c:pt>
                <c:pt idx="41">
                  <c:v>7.5059253787099998</c:v>
                </c:pt>
              </c:numCache>
            </c:numRef>
          </c:val>
          <c:smooth val="0"/>
          <c:extLst>
            <c:ext xmlns:c16="http://schemas.microsoft.com/office/drawing/2014/chart" uri="{C3380CC4-5D6E-409C-BE32-E72D297353CC}">
              <c16:uniqueId val="{00000002-415C-4364-8254-4950A6CAC594}"/>
            </c:ext>
          </c:extLst>
        </c:ser>
        <c:ser>
          <c:idx val="3"/>
          <c:order val="3"/>
          <c:tx>
            <c:strRef>
              <c:f>'[Fiji Scenario Analysis 070420 new.xlsx]Gov_exp'!$G$3</c:f>
              <c:strCache>
                <c:ptCount val="1"/>
                <c:pt idx="0">
                  <c:v>3. IG</c:v>
                </c:pt>
              </c:strCache>
            </c:strRef>
          </c:tx>
          <c:spPr>
            <a:ln w="12700" cap="rnd">
              <a:solidFill>
                <a:srgbClr val="00B0F0"/>
              </a:solidFill>
              <a:round/>
            </a:ln>
            <a:effectLst/>
          </c:spPr>
          <c:marker>
            <c:symbol val="none"/>
          </c:marker>
          <c:cat>
            <c:strRef>
              <c:f>'[Fiji Scenario Analysis 070420 new.xlsx]Gov_exp'!$B$4:$B$45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new.xlsx]Gov_exp'!$G$4:$G$45</c:f>
              <c:numCache>
                <c:formatCode>General</c:formatCode>
                <c:ptCount val="42"/>
                <c:pt idx="0">
                  <c:v>0.58829394311200001</c:v>
                </c:pt>
                <c:pt idx="1">
                  <c:v>0.65577619404599996</c:v>
                </c:pt>
                <c:pt idx="2">
                  <c:v>0.70238708097500002</c:v>
                </c:pt>
                <c:pt idx="3">
                  <c:v>0.76820781128499993</c:v>
                </c:pt>
                <c:pt idx="4">
                  <c:v>0.757908386431</c:v>
                </c:pt>
                <c:pt idx="5">
                  <c:v>0.74455085058000003</c:v>
                </c:pt>
                <c:pt idx="6">
                  <c:v>0.91821382133700002</c:v>
                </c:pt>
                <c:pt idx="7">
                  <c:v>1.0242732165099999</c:v>
                </c:pt>
                <c:pt idx="8">
                  <c:v>1.0145572779000001</c:v>
                </c:pt>
                <c:pt idx="9">
                  <c:v>0.99610861492700009</c:v>
                </c:pt>
                <c:pt idx="10">
                  <c:v>1.00169604142</c:v>
                </c:pt>
                <c:pt idx="11">
                  <c:v>1.1184803194000001</c:v>
                </c:pt>
                <c:pt idx="12">
                  <c:v>1.2270592736800001</c:v>
                </c:pt>
                <c:pt idx="13">
                  <c:v>1.2831099189100001</c:v>
                </c:pt>
                <c:pt idx="14">
                  <c:v>1.2947132265899999</c:v>
                </c:pt>
                <c:pt idx="15">
                  <c:v>1.356246807</c:v>
                </c:pt>
                <c:pt idx="16">
                  <c:v>1.5614891773900001</c:v>
                </c:pt>
                <c:pt idx="17">
                  <c:v>1.5486889314600001</c:v>
                </c:pt>
                <c:pt idx="18">
                  <c:v>1.3969288667399999</c:v>
                </c:pt>
                <c:pt idx="19">
                  <c:v>1.6757910280299999</c:v>
                </c:pt>
                <c:pt idx="20">
                  <c:v>1.6858841675799998</c:v>
                </c:pt>
                <c:pt idx="21">
                  <c:v>1.9566370714700001</c:v>
                </c:pt>
                <c:pt idx="22">
                  <c:v>2.1188292037099998</c:v>
                </c:pt>
                <c:pt idx="23">
                  <c:v>2.2585769973300001</c:v>
                </c:pt>
                <c:pt idx="24">
                  <c:v>2.7453725019999999</c:v>
                </c:pt>
                <c:pt idx="25">
                  <c:v>3.1023025852600004</c:v>
                </c:pt>
                <c:pt idx="26">
                  <c:v>3.2792511146900001</c:v>
                </c:pt>
                <c:pt idx="27">
                  <c:v>3.4836557670400001</c:v>
                </c:pt>
                <c:pt idx="28">
                  <c:v>3.7035823730300002</c:v>
                </c:pt>
                <c:pt idx="29">
                  <c:v>3.9128309668200001</c:v>
                </c:pt>
                <c:pt idx="30">
                  <c:v>4.4426387960399998</c:v>
                </c:pt>
                <c:pt idx="31">
                  <c:v>4.8711582904200004</c:v>
                </c:pt>
                <c:pt idx="32">
                  <c:v>5.19250038826</c:v>
                </c:pt>
                <c:pt idx="33">
                  <c:v>5.5057091278999994</c:v>
                </c:pt>
                <c:pt idx="34">
                  <c:v>5.8330498371499999</c:v>
                </c:pt>
                <c:pt idx="35">
                  <c:v>6.17861392935</c:v>
                </c:pt>
                <c:pt idx="36">
                  <c:v>6.54042917613</c:v>
                </c:pt>
                <c:pt idx="37">
                  <c:v>6.9240763416400002</c:v>
                </c:pt>
                <c:pt idx="38">
                  <c:v>7.32549959383</c:v>
                </c:pt>
                <c:pt idx="39">
                  <c:v>7.74771100243</c:v>
                </c:pt>
                <c:pt idx="40">
                  <c:v>8.1986111189600006</c:v>
                </c:pt>
                <c:pt idx="41">
                  <c:v>8.6436351888500003</c:v>
                </c:pt>
              </c:numCache>
            </c:numRef>
          </c:val>
          <c:smooth val="0"/>
          <c:extLst>
            <c:ext xmlns:c16="http://schemas.microsoft.com/office/drawing/2014/chart" uri="{C3380CC4-5D6E-409C-BE32-E72D297353CC}">
              <c16:uniqueId val="{00000003-415C-4364-8254-4950A6CAC594}"/>
            </c:ext>
          </c:extLst>
        </c:ser>
        <c:ser>
          <c:idx val="2"/>
          <c:order val="4"/>
          <c:tx>
            <c:strRef>
              <c:f>'[Fiji Scenario Analysis 070420 new.xlsx]Gov_exp'!$H$3</c:f>
              <c:strCache>
                <c:ptCount val="1"/>
                <c:pt idx="0">
                  <c:v>4. ST</c:v>
                </c:pt>
              </c:strCache>
            </c:strRef>
          </c:tx>
          <c:spPr>
            <a:ln w="12700" cap="rnd">
              <a:solidFill>
                <a:srgbClr val="008080"/>
              </a:solidFill>
              <a:round/>
            </a:ln>
            <a:effectLst/>
          </c:spPr>
          <c:marker>
            <c:symbol val="none"/>
          </c:marker>
          <c:cat>
            <c:strRef>
              <c:f>'[Fiji Scenario Analysis 070420 new.xlsx]Gov_exp'!$B$4:$B$45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new.xlsx]Gov_exp'!$H$4:$H$45</c:f>
              <c:numCache>
                <c:formatCode>General</c:formatCode>
                <c:ptCount val="42"/>
                <c:pt idx="0">
                  <c:v>0.58829394311200001</c:v>
                </c:pt>
                <c:pt idx="1">
                  <c:v>0.65577619404599996</c:v>
                </c:pt>
                <c:pt idx="2">
                  <c:v>0.70238708097500002</c:v>
                </c:pt>
                <c:pt idx="3">
                  <c:v>0.76820781128499993</c:v>
                </c:pt>
                <c:pt idx="4">
                  <c:v>0.757908386431</c:v>
                </c:pt>
                <c:pt idx="5">
                  <c:v>0.74455085058000003</c:v>
                </c:pt>
                <c:pt idx="6">
                  <c:v>0.91821382133700002</c:v>
                </c:pt>
                <c:pt idx="7">
                  <c:v>1.0242732165099999</c:v>
                </c:pt>
                <c:pt idx="8">
                  <c:v>1.0145572779000001</c:v>
                </c:pt>
                <c:pt idx="9">
                  <c:v>0.99610861492700009</c:v>
                </c:pt>
                <c:pt idx="10">
                  <c:v>1.00169604142</c:v>
                </c:pt>
                <c:pt idx="11">
                  <c:v>1.1184803194000001</c:v>
                </c:pt>
                <c:pt idx="12">
                  <c:v>1.2270592736800001</c:v>
                </c:pt>
                <c:pt idx="13">
                  <c:v>1.2831099189100001</c:v>
                </c:pt>
                <c:pt idx="14">
                  <c:v>1.2947132265899999</c:v>
                </c:pt>
                <c:pt idx="15">
                  <c:v>1.356246807</c:v>
                </c:pt>
                <c:pt idx="16">
                  <c:v>1.5614891773900001</c:v>
                </c:pt>
                <c:pt idx="17">
                  <c:v>1.5486889314600001</c:v>
                </c:pt>
                <c:pt idx="18">
                  <c:v>1.3969288667399999</c:v>
                </c:pt>
                <c:pt idx="19">
                  <c:v>1.6757910280299999</c:v>
                </c:pt>
                <c:pt idx="20">
                  <c:v>1.6858841675799998</c:v>
                </c:pt>
                <c:pt idx="21">
                  <c:v>1.9566370714700001</c:v>
                </c:pt>
                <c:pt idx="22">
                  <c:v>2.1188292037099998</c:v>
                </c:pt>
                <c:pt idx="23">
                  <c:v>2.2585769973300001</c:v>
                </c:pt>
                <c:pt idx="24">
                  <c:v>2.7453725019999999</c:v>
                </c:pt>
                <c:pt idx="25">
                  <c:v>3.1023025852600004</c:v>
                </c:pt>
                <c:pt idx="26">
                  <c:v>3.2792511146900001</c:v>
                </c:pt>
                <c:pt idx="27">
                  <c:v>3.4836557670400001</c:v>
                </c:pt>
                <c:pt idx="28">
                  <c:v>3.7035823730300002</c:v>
                </c:pt>
                <c:pt idx="29">
                  <c:v>3.9128309668200001</c:v>
                </c:pt>
                <c:pt idx="30">
                  <c:v>4.4136945211600001</c:v>
                </c:pt>
                <c:pt idx="31">
                  <c:v>4.8522204536499993</c:v>
                </c:pt>
                <c:pt idx="32">
                  <c:v>5.2668407820200001</c:v>
                </c:pt>
                <c:pt idx="33">
                  <c:v>5.7094923733500007</c:v>
                </c:pt>
                <c:pt idx="34">
                  <c:v>6.0931668768199998</c:v>
                </c:pt>
                <c:pt idx="35">
                  <c:v>6.4485530296000002</c:v>
                </c:pt>
                <c:pt idx="36">
                  <c:v>6.8145326008799998</c:v>
                </c:pt>
                <c:pt idx="37">
                  <c:v>7.1985858231099993</c:v>
                </c:pt>
                <c:pt idx="38">
                  <c:v>7.6000956661099996</c:v>
                </c:pt>
                <c:pt idx="39">
                  <c:v>8.0210019757399991</c:v>
                </c:pt>
                <c:pt idx="40">
                  <c:v>8.4626612568999988</c:v>
                </c:pt>
                <c:pt idx="41">
                  <c:v>8.8967860596800001</c:v>
                </c:pt>
              </c:numCache>
            </c:numRef>
          </c:val>
          <c:smooth val="0"/>
          <c:extLst>
            <c:ext xmlns:c16="http://schemas.microsoft.com/office/drawing/2014/chart" uri="{C3380CC4-5D6E-409C-BE32-E72D297353CC}">
              <c16:uniqueId val="{00000004-415C-4364-8254-4950A6CAC594}"/>
            </c:ext>
          </c:extLst>
        </c:ser>
        <c:ser>
          <c:idx val="1"/>
          <c:order val="5"/>
          <c:tx>
            <c:strRef>
              <c:f>'[Fiji Scenario Analysis 070420 new.xlsx]Gov_exp'!$I$3</c:f>
              <c:strCache>
                <c:ptCount val="1"/>
                <c:pt idx="0">
                  <c:v>5. ST_CLIMATE</c:v>
                </c:pt>
              </c:strCache>
            </c:strRef>
          </c:tx>
          <c:spPr>
            <a:ln w="12700" cap="rnd">
              <a:solidFill>
                <a:srgbClr val="ED7D31"/>
              </a:solidFill>
              <a:prstDash val="sysDash"/>
              <a:round/>
            </a:ln>
            <a:effectLst/>
          </c:spPr>
          <c:marker>
            <c:symbol val="none"/>
          </c:marker>
          <c:cat>
            <c:strRef>
              <c:f>'[Fiji Scenario Analysis 070420 new.xlsx]Gov_exp'!$B$4:$B$45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new.xlsx]Gov_exp'!$I$4:$I$45</c:f>
              <c:numCache>
                <c:formatCode>General</c:formatCode>
                <c:ptCount val="42"/>
                <c:pt idx="0">
                  <c:v>0.58829394311200001</c:v>
                </c:pt>
                <c:pt idx="1">
                  <c:v>0.65577619404599996</c:v>
                </c:pt>
                <c:pt idx="2">
                  <c:v>0.70238708097500002</c:v>
                </c:pt>
                <c:pt idx="3">
                  <c:v>0.76820781128499993</c:v>
                </c:pt>
                <c:pt idx="4">
                  <c:v>0.757908386431</c:v>
                </c:pt>
                <c:pt idx="5">
                  <c:v>0.74455085058000003</c:v>
                </c:pt>
                <c:pt idx="6">
                  <c:v>0.91821382133700002</c:v>
                </c:pt>
                <c:pt idx="7">
                  <c:v>1.0242732165099999</c:v>
                </c:pt>
                <c:pt idx="8">
                  <c:v>1.0145572779000001</c:v>
                </c:pt>
                <c:pt idx="9">
                  <c:v>0.99610861492700009</c:v>
                </c:pt>
                <c:pt idx="10">
                  <c:v>1.00169604142</c:v>
                </c:pt>
                <c:pt idx="11">
                  <c:v>1.1184803194000001</c:v>
                </c:pt>
                <c:pt idx="12">
                  <c:v>1.2270592736800001</c:v>
                </c:pt>
                <c:pt idx="13">
                  <c:v>1.2831099189100001</c:v>
                </c:pt>
                <c:pt idx="14">
                  <c:v>1.2947132265899999</c:v>
                </c:pt>
                <c:pt idx="15">
                  <c:v>1.356246807</c:v>
                </c:pt>
                <c:pt idx="16">
                  <c:v>1.5614891773900001</c:v>
                </c:pt>
                <c:pt idx="17">
                  <c:v>1.5486889314600001</c:v>
                </c:pt>
                <c:pt idx="18">
                  <c:v>1.3969288667399999</c:v>
                </c:pt>
                <c:pt idx="19">
                  <c:v>1.6757910280299999</c:v>
                </c:pt>
                <c:pt idx="20">
                  <c:v>1.6858841675799998</c:v>
                </c:pt>
                <c:pt idx="21">
                  <c:v>1.9566370714700001</c:v>
                </c:pt>
                <c:pt idx="22">
                  <c:v>2.1188292037099998</c:v>
                </c:pt>
                <c:pt idx="23">
                  <c:v>2.2585769973300001</c:v>
                </c:pt>
                <c:pt idx="24">
                  <c:v>2.7453725019999999</c:v>
                </c:pt>
                <c:pt idx="25">
                  <c:v>3.1023025852600004</c:v>
                </c:pt>
                <c:pt idx="26">
                  <c:v>3.2792511146900001</c:v>
                </c:pt>
                <c:pt idx="27">
                  <c:v>3.4836557670400001</c:v>
                </c:pt>
                <c:pt idx="28">
                  <c:v>3.7035823730300002</c:v>
                </c:pt>
                <c:pt idx="29">
                  <c:v>3.9128309668200001</c:v>
                </c:pt>
                <c:pt idx="30">
                  <c:v>4.6121695489099999</c:v>
                </c:pt>
                <c:pt idx="31">
                  <c:v>5.1324807575799998</c:v>
                </c:pt>
                <c:pt idx="32">
                  <c:v>5.6222119568900002</c:v>
                </c:pt>
                <c:pt idx="33">
                  <c:v>6.0832621635899997</c:v>
                </c:pt>
                <c:pt idx="34">
                  <c:v>6.4837648849700003</c:v>
                </c:pt>
                <c:pt idx="35">
                  <c:v>6.9012899182700007</c:v>
                </c:pt>
                <c:pt idx="36">
                  <c:v>7.2742245733199997</c:v>
                </c:pt>
                <c:pt idx="37">
                  <c:v>7.6637852326400004</c:v>
                </c:pt>
                <c:pt idx="38">
                  <c:v>8.0703174619600002</c:v>
                </c:pt>
                <c:pt idx="39">
                  <c:v>8.4959819207200002</c:v>
                </c:pt>
                <c:pt idx="40">
                  <c:v>8.9420885226800007</c:v>
                </c:pt>
                <c:pt idx="41">
                  <c:v>9.3785078834599993</c:v>
                </c:pt>
              </c:numCache>
            </c:numRef>
          </c:val>
          <c:smooth val="0"/>
          <c:extLst>
            <c:ext xmlns:c16="http://schemas.microsoft.com/office/drawing/2014/chart" uri="{C3380CC4-5D6E-409C-BE32-E72D297353CC}">
              <c16:uniqueId val="{00000005-415C-4364-8254-4950A6CAC594}"/>
            </c:ext>
          </c:extLst>
        </c:ser>
        <c:ser>
          <c:idx val="0"/>
          <c:order val="6"/>
          <c:tx>
            <c:strRef>
              <c:f>'[Fiji Scenario Analysis 070420 new.xlsx]Gov_exp'!$J$3</c:f>
              <c:strCache>
                <c:ptCount val="1"/>
                <c:pt idx="0">
                  <c:v>6. ST_SDG</c:v>
                </c:pt>
              </c:strCache>
            </c:strRef>
          </c:tx>
          <c:spPr>
            <a:ln w="12700" cap="rnd">
              <a:solidFill>
                <a:srgbClr val="4472C4"/>
              </a:solidFill>
              <a:prstDash val="dash"/>
              <a:round/>
            </a:ln>
            <a:effectLst/>
          </c:spPr>
          <c:marker>
            <c:symbol val="none"/>
          </c:marker>
          <c:cat>
            <c:strRef>
              <c:f>'[Fiji Scenario Analysis 070420 new.xlsx]Gov_exp'!$B$4:$B$45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new.xlsx]Gov_exp'!$J$4:$J$45</c:f>
              <c:numCache>
                <c:formatCode>General</c:formatCode>
                <c:ptCount val="42"/>
                <c:pt idx="0">
                  <c:v>0.58829394311200001</c:v>
                </c:pt>
                <c:pt idx="1">
                  <c:v>0.65577619404599996</c:v>
                </c:pt>
                <c:pt idx="2">
                  <c:v>0.70238708097500002</c:v>
                </c:pt>
                <c:pt idx="3">
                  <c:v>0.76820781128499993</c:v>
                </c:pt>
                <c:pt idx="4">
                  <c:v>0.757908386431</c:v>
                </c:pt>
                <c:pt idx="5">
                  <c:v>0.74455085058000003</c:v>
                </c:pt>
                <c:pt idx="6">
                  <c:v>0.91821382133700002</c:v>
                </c:pt>
                <c:pt idx="7">
                  <c:v>1.0242732165099999</c:v>
                </c:pt>
                <c:pt idx="8">
                  <c:v>1.0145572779000001</c:v>
                </c:pt>
                <c:pt idx="9">
                  <c:v>0.99610861492700009</c:v>
                </c:pt>
                <c:pt idx="10">
                  <c:v>1.00169604142</c:v>
                </c:pt>
                <c:pt idx="11">
                  <c:v>1.1184803194000001</c:v>
                </c:pt>
                <c:pt idx="12">
                  <c:v>1.2270592736800001</c:v>
                </c:pt>
                <c:pt idx="13">
                  <c:v>1.2831099189100001</c:v>
                </c:pt>
                <c:pt idx="14">
                  <c:v>1.2947132265899999</c:v>
                </c:pt>
                <c:pt idx="15">
                  <c:v>1.356246807</c:v>
                </c:pt>
                <c:pt idx="16">
                  <c:v>1.5614891773900001</c:v>
                </c:pt>
                <c:pt idx="17">
                  <c:v>1.5486889314600001</c:v>
                </c:pt>
                <c:pt idx="18">
                  <c:v>1.3969288667399999</c:v>
                </c:pt>
                <c:pt idx="19">
                  <c:v>1.6757910280299999</c:v>
                </c:pt>
                <c:pt idx="20">
                  <c:v>1.6858841675799998</c:v>
                </c:pt>
                <c:pt idx="21">
                  <c:v>1.9566370714700001</c:v>
                </c:pt>
                <c:pt idx="22">
                  <c:v>2.1188292037099998</c:v>
                </c:pt>
                <c:pt idx="23">
                  <c:v>2.2585769973300001</c:v>
                </c:pt>
                <c:pt idx="24">
                  <c:v>2.7453725019999999</c:v>
                </c:pt>
                <c:pt idx="25">
                  <c:v>3.1023025852600004</c:v>
                </c:pt>
                <c:pt idx="26">
                  <c:v>3.2792511146900001</c:v>
                </c:pt>
                <c:pt idx="27">
                  <c:v>3.4836557670400001</c:v>
                </c:pt>
                <c:pt idx="28">
                  <c:v>3.7035823730300002</c:v>
                </c:pt>
                <c:pt idx="29">
                  <c:v>3.9128309668200001</c:v>
                </c:pt>
                <c:pt idx="30">
                  <c:v>5.1858864260200006</c:v>
                </c:pt>
                <c:pt idx="31">
                  <c:v>6.2665306485399999</c:v>
                </c:pt>
                <c:pt idx="32">
                  <c:v>7.2592222615799997</c:v>
                </c:pt>
                <c:pt idx="33">
                  <c:v>8.1986180018399999</c:v>
                </c:pt>
                <c:pt idx="34">
                  <c:v>8.9555984515899993</c:v>
                </c:pt>
                <c:pt idx="35">
                  <c:v>9.7598523356399998</c:v>
                </c:pt>
                <c:pt idx="36">
                  <c:v>10.6014893071</c:v>
                </c:pt>
                <c:pt idx="37">
                  <c:v>11.196831426799999</c:v>
                </c:pt>
                <c:pt idx="38">
                  <c:v>11.786486163299999</c:v>
                </c:pt>
                <c:pt idx="39">
                  <c:v>12.389223949</c:v>
                </c:pt>
                <c:pt idx="40">
                  <c:v>13.008511070500001</c:v>
                </c:pt>
                <c:pt idx="41">
                  <c:v>13.5837338371</c:v>
                </c:pt>
              </c:numCache>
            </c:numRef>
          </c:val>
          <c:smooth val="0"/>
          <c:extLst>
            <c:ext xmlns:c16="http://schemas.microsoft.com/office/drawing/2014/chart" uri="{C3380CC4-5D6E-409C-BE32-E72D297353CC}">
              <c16:uniqueId val="{00000006-415C-4364-8254-4950A6CAC594}"/>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Government Expenditure (Billion FJD) </a:t>
                </a:r>
              </a:p>
            </c:rich>
          </c:tx>
          <c:layout>
            <c:manualLayout>
              <c:xMode val="edge"/>
              <c:yMode val="edge"/>
              <c:x val="6.266602078841472E-3"/>
              <c:y val="0.195589527181792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22779759768638E-2"/>
          <c:y val="1.7970371747376437E-2"/>
          <c:w val="0.88895913815062666"/>
          <c:h val="0.81338243146890077"/>
        </c:manualLayout>
      </c:layout>
      <c:lineChart>
        <c:grouping val="standard"/>
        <c:varyColors val="0"/>
        <c:ser>
          <c:idx val="6"/>
          <c:order val="0"/>
          <c:tx>
            <c:strRef>
              <c:f>'[Fiji Scenario Analysis 070420 new.xlsx]UNEMP'!$B$1</c:f>
              <c:strCache>
                <c:ptCount val="1"/>
                <c:pt idx="0">
                  <c:v>BAU</c:v>
                </c:pt>
              </c:strCache>
            </c:strRef>
          </c:tx>
          <c:spPr>
            <a:ln w="12700" cap="rnd">
              <a:solidFill>
                <a:schemeClr val="accent4"/>
              </a:solidFill>
              <a:round/>
            </a:ln>
            <a:effectLst/>
          </c:spPr>
          <c:marker>
            <c:symbol val="none"/>
          </c:marker>
          <c:cat>
            <c:numRef>
              <c:f>'[Fiji Scenario Analysis 070420 new.xlsx]UNEMP'!$A$27:$A$43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new.xlsx]UNEMP'!$B$27:$B$43</c:f>
              <c:numCache>
                <c:formatCode>0.0%</c:formatCode>
                <c:ptCount val="17"/>
                <c:pt idx="0">
                  <c:v>5.6009613241100001E-2</c:v>
                </c:pt>
                <c:pt idx="1">
                  <c:v>5.6546005509900001E-2</c:v>
                </c:pt>
                <c:pt idx="2">
                  <c:v>6.1683458945799997E-2</c:v>
                </c:pt>
                <c:pt idx="3">
                  <c:v>5.6051212582E-2</c:v>
                </c:pt>
                <c:pt idx="4">
                  <c:v>5.2643105981999998E-2</c:v>
                </c:pt>
                <c:pt idx="5">
                  <c:v>5.0342318094799998E-2</c:v>
                </c:pt>
                <c:pt idx="6">
                  <c:v>4.8720490009999999E-2</c:v>
                </c:pt>
                <c:pt idx="7">
                  <c:v>4.7589903441000003E-2</c:v>
                </c:pt>
                <c:pt idx="8">
                  <c:v>4.6828469595999997E-2</c:v>
                </c:pt>
                <c:pt idx="9">
                  <c:v>4.63822418702E-2</c:v>
                </c:pt>
                <c:pt idx="10">
                  <c:v>4.6191780933199998E-2</c:v>
                </c:pt>
                <c:pt idx="11">
                  <c:v>4.6225678976899998E-2</c:v>
                </c:pt>
                <c:pt idx="12">
                  <c:v>4.6392260601399997E-2</c:v>
                </c:pt>
                <c:pt idx="13">
                  <c:v>4.6575873834199998E-2</c:v>
                </c:pt>
                <c:pt idx="14">
                  <c:v>4.6687414819499999E-2</c:v>
                </c:pt>
                <c:pt idx="15">
                  <c:v>4.6749169633900002E-2</c:v>
                </c:pt>
                <c:pt idx="16">
                  <c:v>4.6614436607400001E-2</c:v>
                </c:pt>
              </c:numCache>
            </c:numRef>
          </c:val>
          <c:smooth val="0"/>
          <c:extLst>
            <c:ext xmlns:c16="http://schemas.microsoft.com/office/drawing/2014/chart" uri="{C3380CC4-5D6E-409C-BE32-E72D297353CC}">
              <c16:uniqueId val="{00000000-B318-4B78-B36E-1C0D7FCD4FF8}"/>
            </c:ext>
          </c:extLst>
        </c:ser>
        <c:ser>
          <c:idx val="5"/>
          <c:order val="1"/>
          <c:tx>
            <c:strRef>
              <c:f>'[Fiji Scenario Analysis 070420 new.xlsx]UNEMP'!$C$1</c:f>
              <c:strCache>
                <c:ptCount val="1"/>
                <c:pt idx="0">
                  <c:v>1. GAC</c:v>
                </c:pt>
              </c:strCache>
            </c:strRef>
          </c:tx>
          <c:spPr>
            <a:ln w="12700" cap="rnd">
              <a:solidFill>
                <a:srgbClr val="FF0000"/>
              </a:solidFill>
              <a:round/>
            </a:ln>
            <a:effectLst/>
          </c:spPr>
          <c:marker>
            <c:symbol val="none"/>
          </c:marker>
          <c:cat>
            <c:numRef>
              <c:f>'[Fiji Scenario Analysis 070420 new.xlsx]UNEMP'!$A$27:$A$43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new.xlsx]UNEMP'!$C$27:$C$43</c:f>
              <c:numCache>
                <c:formatCode>0.0%</c:formatCode>
                <c:ptCount val="17"/>
                <c:pt idx="0">
                  <c:v>5.6009613241100001E-2</c:v>
                </c:pt>
                <c:pt idx="1">
                  <c:v>5.6546005509900001E-2</c:v>
                </c:pt>
                <c:pt idx="2">
                  <c:v>6.1683458945799997E-2</c:v>
                </c:pt>
                <c:pt idx="3">
                  <c:v>5.6051212582E-2</c:v>
                </c:pt>
                <c:pt idx="4">
                  <c:v>5.2643105981999998E-2</c:v>
                </c:pt>
                <c:pt idx="5">
                  <c:v>5.0342318094799998E-2</c:v>
                </c:pt>
                <c:pt idx="6">
                  <c:v>4.8832996853900003E-2</c:v>
                </c:pt>
                <c:pt idx="7">
                  <c:v>4.7887524409400001E-2</c:v>
                </c:pt>
                <c:pt idx="8">
                  <c:v>4.7348330543100003E-2</c:v>
                </c:pt>
                <c:pt idx="9">
                  <c:v>4.7394874194900002E-2</c:v>
                </c:pt>
                <c:pt idx="10">
                  <c:v>4.7759494123999997E-2</c:v>
                </c:pt>
                <c:pt idx="11">
                  <c:v>4.8283778921100001E-2</c:v>
                </c:pt>
                <c:pt idx="12">
                  <c:v>4.8768971848300001E-2</c:v>
                </c:pt>
                <c:pt idx="13">
                  <c:v>4.9287382401699997E-2</c:v>
                </c:pt>
                <c:pt idx="14">
                  <c:v>4.98359555989E-2</c:v>
                </c:pt>
                <c:pt idx="15">
                  <c:v>5.0459492860499999E-2</c:v>
                </c:pt>
                <c:pt idx="16">
                  <c:v>5.0947601903600002E-2</c:v>
                </c:pt>
              </c:numCache>
            </c:numRef>
          </c:val>
          <c:smooth val="0"/>
          <c:extLst>
            <c:ext xmlns:c16="http://schemas.microsoft.com/office/drawing/2014/chart" uri="{C3380CC4-5D6E-409C-BE32-E72D297353CC}">
              <c16:uniqueId val="{00000001-B318-4B78-B36E-1C0D7FCD4FF8}"/>
            </c:ext>
          </c:extLst>
        </c:ser>
        <c:ser>
          <c:idx val="4"/>
          <c:order val="2"/>
          <c:tx>
            <c:strRef>
              <c:f>'[Fiji Scenario Analysis 070420 new.xlsx]UNEMP'!$D$1</c:f>
              <c:strCache>
                <c:ptCount val="1"/>
                <c:pt idx="0">
                  <c:v>2. GE</c:v>
                </c:pt>
              </c:strCache>
            </c:strRef>
          </c:tx>
          <c:spPr>
            <a:ln w="12700" cap="rnd">
              <a:solidFill>
                <a:srgbClr val="92D050"/>
              </a:solidFill>
              <a:round/>
            </a:ln>
            <a:effectLst/>
          </c:spPr>
          <c:marker>
            <c:symbol val="none"/>
          </c:marker>
          <c:cat>
            <c:numRef>
              <c:f>'[Fiji Scenario Analysis 070420 new.xlsx]UNEMP'!$A$27:$A$43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new.xlsx]UNEMP'!$D$27:$D$43</c:f>
              <c:numCache>
                <c:formatCode>0.0%</c:formatCode>
                <c:ptCount val="17"/>
                <c:pt idx="0">
                  <c:v>5.6009613241100001E-2</c:v>
                </c:pt>
                <c:pt idx="1">
                  <c:v>5.6546005509900001E-2</c:v>
                </c:pt>
                <c:pt idx="2">
                  <c:v>6.1683458945799997E-2</c:v>
                </c:pt>
                <c:pt idx="3">
                  <c:v>5.6051212582E-2</c:v>
                </c:pt>
                <c:pt idx="4">
                  <c:v>5.2643105981999998E-2</c:v>
                </c:pt>
                <c:pt idx="5">
                  <c:v>5.0342318094799998E-2</c:v>
                </c:pt>
                <c:pt idx="6">
                  <c:v>4.8848129877399997E-2</c:v>
                </c:pt>
                <c:pt idx="7">
                  <c:v>4.8063960172099997E-2</c:v>
                </c:pt>
                <c:pt idx="8">
                  <c:v>4.7629345177400001E-2</c:v>
                </c:pt>
                <c:pt idx="9">
                  <c:v>4.7436903962099999E-2</c:v>
                </c:pt>
                <c:pt idx="10">
                  <c:v>4.7433752242399999E-2</c:v>
                </c:pt>
                <c:pt idx="11">
                  <c:v>4.7626170694999997E-2</c:v>
                </c:pt>
                <c:pt idx="12">
                  <c:v>4.79505311443E-2</c:v>
                </c:pt>
                <c:pt idx="13">
                  <c:v>4.8288989052300002E-2</c:v>
                </c:pt>
                <c:pt idx="14">
                  <c:v>4.8513139517299998E-2</c:v>
                </c:pt>
                <c:pt idx="15">
                  <c:v>4.8634539813999997E-2</c:v>
                </c:pt>
                <c:pt idx="16">
                  <c:v>4.8528067029199998E-2</c:v>
                </c:pt>
              </c:numCache>
            </c:numRef>
          </c:val>
          <c:smooth val="0"/>
          <c:extLst>
            <c:ext xmlns:c16="http://schemas.microsoft.com/office/drawing/2014/chart" uri="{C3380CC4-5D6E-409C-BE32-E72D297353CC}">
              <c16:uniqueId val="{00000002-B318-4B78-B36E-1C0D7FCD4FF8}"/>
            </c:ext>
          </c:extLst>
        </c:ser>
        <c:ser>
          <c:idx val="3"/>
          <c:order val="3"/>
          <c:tx>
            <c:strRef>
              <c:f>'[Fiji Scenario Analysis 070420 new.xlsx]UNEMP'!$E$1</c:f>
              <c:strCache>
                <c:ptCount val="1"/>
                <c:pt idx="0">
                  <c:v>3. IG</c:v>
                </c:pt>
              </c:strCache>
            </c:strRef>
          </c:tx>
          <c:spPr>
            <a:ln w="12700" cap="rnd">
              <a:solidFill>
                <a:srgbClr val="00B0F0"/>
              </a:solidFill>
              <a:round/>
            </a:ln>
            <a:effectLst/>
          </c:spPr>
          <c:marker>
            <c:symbol val="none"/>
          </c:marker>
          <c:cat>
            <c:numRef>
              <c:f>'[Fiji Scenario Analysis 070420 new.xlsx]UNEMP'!$A$27:$A$43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new.xlsx]UNEMP'!$E$27:$E$43</c:f>
              <c:numCache>
                <c:formatCode>0.0%</c:formatCode>
                <c:ptCount val="17"/>
                <c:pt idx="0">
                  <c:v>5.6009613241100001E-2</c:v>
                </c:pt>
                <c:pt idx="1">
                  <c:v>5.6546005509900001E-2</c:v>
                </c:pt>
                <c:pt idx="2">
                  <c:v>6.1683458945799997E-2</c:v>
                </c:pt>
                <c:pt idx="3">
                  <c:v>5.6051212582E-2</c:v>
                </c:pt>
                <c:pt idx="4">
                  <c:v>5.2643105981999998E-2</c:v>
                </c:pt>
                <c:pt idx="5">
                  <c:v>5.0342318094799998E-2</c:v>
                </c:pt>
                <c:pt idx="6">
                  <c:v>4.8257402650899998E-2</c:v>
                </c:pt>
                <c:pt idx="7">
                  <c:v>4.6928141242899998E-2</c:v>
                </c:pt>
                <c:pt idx="8">
                  <c:v>4.6512267975900003E-2</c:v>
                </c:pt>
                <c:pt idx="9">
                  <c:v>4.6524209344100002E-2</c:v>
                </c:pt>
                <c:pt idx="10">
                  <c:v>4.67427166541E-2</c:v>
                </c:pt>
                <c:pt idx="11">
                  <c:v>4.7069744597400001E-2</c:v>
                </c:pt>
                <c:pt idx="12">
                  <c:v>4.7415125777099998E-2</c:v>
                </c:pt>
                <c:pt idx="13">
                  <c:v>4.7724794300199998E-2</c:v>
                </c:pt>
                <c:pt idx="14">
                  <c:v>4.7943063524800003E-2</c:v>
                </c:pt>
                <c:pt idx="15">
                  <c:v>4.8097734354700002E-2</c:v>
                </c:pt>
                <c:pt idx="16">
                  <c:v>4.7992019063599997E-2</c:v>
                </c:pt>
              </c:numCache>
            </c:numRef>
          </c:val>
          <c:smooth val="0"/>
          <c:extLst>
            <c:ext xmlns:c16="http://schemas.microsoft.com/office/drawing/2014/chart" uri="{C3380CC4-5D6E-409C-BE32-E72D297353CC}">
              <c16:uniqueId val="{00000003-B318-4B78-B36E-1C0D7FCD4FF8}"/>
            </c:ext>
          </c:extLst>
        </c:ser>
        <c:ser>
          <c:idx val="2"/>
          <c:order val="4"/>
          <c:tx>
            <c:strRef>
              <c:f>'[Fiji Scenario Analysis 070420 new.xlsx]UNEMP'!$F$1</c:f>
              <c:strCache>
                <c:ptCount val="1"/>
                <c:pt idx="0">
                  <c:v>4. ST</c:v>
                </c:pt>
              </c:strCache>
            </c:strRef>
          </c:tx>
          <c:spPr>
            <a:ln w="12700" cap="rnd">
              <a:solidFill>
                <a:srgbClr val="008080"/>
              </a:solidFill>
              <a:round/>
            </a:ln>
            <a:effectLst/>
          </c:spPr>
          <c:marker>
            <c:symbol val="none"/>
          </c:marker>
          <c:cat>
            <c:numRef>
              <c:f>'[Fiji Scenario Analysis 070420 new.xlsx]UNEMP'!$A$27:$A$43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new.xlsx]UNEMP'!$F$27:$F$43</c:f>
              <c:numCache>
                <c:formatCode>0.0%</c:formatCode>
                <c:ptCount val="17"/>
                <c:pt idx="0">
                  <c:v>5.6009613241100001E-2</c:v>
                </c:pt>
                <c:pt idx="1">
                  <c:v>5.6546005509900001E-2</c:v>
                </c:pt>
                <c:pt idx="2">
                  <c:v>6.1683458945799997E-2</c:v>
                </c:pt>
                <c:pt idx="3">
                  <c:v>5.6051212582E-2</c:v>
                </c:pt>
                <c:pt idx="4">
                  <c:v>5.2643105981999998E-2</c:v>
                </c:pt>
                <c:pt idx="5">
                  <c:v>5.0342318094799998E-2</c:v>
                </c:pt>
                <c:pt idx="6">
                  <c:v>4.8356512525100002E-2</c:v>
                </c:pt>
                <c:pt idx="7">
                  <c:v>4.6941181270799999E-2</c:v>
                </c:pt>
                <c:pt idx="8">
                  <c:v>4.6093369963299997E-2</c:v>
                </c:pt>
                <c:pt idx="9">
                  <c:v>4.5670725181299998E-2</c:v>
                </c:pt>
                <c:pt idx="10">
                  <c:v>4.55876274772E-2</c:v>
                </c:pt>
                <c:pt idx="11">
                  <c:v>4.5715136833500002E-2</c:v>
                </c:pt>
                <c:pt idx="12">
                  <c:v>4.5885391959400001E-2</c:v>
                </c:pt>
                <c:pt idx="13">
                  <c:v>4.6016033310299999E-2</c:v>
                </c:pt>
                <c:pt idx="14">
                  <c:v>4.6015982352000002E-2</c:v>
                </c:pt>
                <c:pt idx="15">
                  <c:v>4.5931951239500002E-2</c:v>
                </c:pt>
                <c:pt idx="16">
                  <c:v>4.5671970040200002E-2</c:v>
                </c:pt>
              </c:numCache>
            </c:numRef>
          </c:val>
          <c:smooth val="0"/>
          <c:extLst>
            <c:ext xmlns:c16="http://schemas.microsoft.com/office/drawing/2014/chart" uri="{C3380CC4-5D6E-409C-BE32-E72D297353CC}">
              <c16:uniqueId val="{00000004-B318-4B78-B36E-1C0D7FCD4FF8}"/>
            </c:ext>
          </c:extLst>
        </c:ser>
        <c:ser>
          <c:idx val="1"/>
          <c:order val="5"/>
          <c:tx>
            <c:strRef>
              <c:f>'[Fiji Scenario Analysis 070420 new.xlsx]UNEMP'!$G$1</c:f>
              <c:strCache>
                <c:ptCount val="1"/>
                <c:pt idx="0">
                  <c:v>5. ST_CLIMATE</c:v>
                </c:pt>
              </c:strCache>
            </c:strRef>
          </c:tx>
          <c:spPr>
            <a:ln w="12700" cap="rnd">
              <a:solidFill>
                <a:schemeClr val="accent2"/>
              </a:solidFill>
              <a:prstDash val="dash"/>
              <a:round/>
            </a:ln>
            <a:effectLst/>
          </c:spPr>
          <c:marker>
            <c:symbol val="none"/>
          </c:marker>
          <c:cat>
            <c:numRef>
              <c:f>'[Fiji Scenario Analysis 070420 new.xlsx]UNEMP'!$A$27:$A$43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new.xlsx]UNEMP'!$G$27:$G$43</c:f>
              <c:numCache>
                <c:formatCode>0.0%</c:formatCode>
                <c:ptCount val="17"/>
                <c:pt idx="0">
                  <c:v>5.6009613241100001E-2</c:v>
                </c:pt>
                <c:pt idx="1">
                  <c:v>5.6546005509900001E-2</c:v>
                </c:pt>
                <c:pt idx="2">
                  <c:v>6.1683458945799997E-2</c:v>
                </c:pt>
                <c:pt idx="3">
                  <c:v>5.6051212582E-2</c:v>
                </c:pt>
                <c:pt idx="4">
                  <c:v>5.2643105981999998E-2</c:v>
                </c:pt>
                <c:pt idx="5">
                  <c:v>5.0342318094799998E-2</c:v>
                </c:pt>
                <c:pt idx="6">
                  <c:v>4.83466419833E-2</c:v>
                </c:pt>
                <c:pt idx="7">
                  <c:v>4.6985162532600003E-2</c:v>
                </c:pt>
                <c:pt idx="8">
                  <c:v>4.6192514791500001E-2</c:v>
                </c:pt>
                <c:pt idx="9">
                  <c:v>4.5816123422199997E-2</c:v>
                </c:pt>
                <c:pt idx="10">
                  <c:v>4.5775930349000002E-2</c:v>
                </c:pt>
                <c:pt idx="11">
                  <c:v>4.5966907981599997E-2</c:v>
                </c:pt>
                <c:pt idx="12">
                  <c:v>4.6238539074000003E-2</c:v>
                </c:pt>
                <c:pt idx="13">
                  <c:v>4.6479458372299998E-2</c:v>
                </c:pt>
                <c:pt idx="14">
                  <c:v>4.6582343391499997E-2</c:v>
                </c:pt>
                <c:pt idx="15">
                  <c:v>4.6583564592599998E-2</c:v>
                </c:pt>
                <c:pt idx="16">
                  <c:v>4.6393436293099999E-2</c:v>
                </c:pt>
              </c:numCache>
            </c:numRef>
          </c:val>
          <c:smooth val="0"/>
          <c:extLst>
            <c:ext xmlns:c16="http://schemas.microsoft.com/office/drawing/2014/chart" uri="{C3380CC4-5D6E-409C-BE32-E72D297353CC}">
              <c16:uniqueId val="{00000005-B318-4B78-B36E-1C0D7FCD4FF8}"/>
            </c:ext>
          </c:extLst>
        </c:ser>
        <c:ser>
          <c:idx val="0"/>
          <c:order val="6"/>
          <c:tx>
            <c:strRef>
              <c:f>'[Fiji Scenario Analysis 070420 new.xlsx]UNEMP'!$H$1</c:f>
              <c:strCache>
                <c:ptCount val="1"/>
                <c:pt idx="0">
                  <c:v>6. ST_SDG</c:v>
                </c:pt>
              </c:strCache>
            </c:strRef>
          </c:tx>
          <c:spPr>
            <a:ln w="12700" cap="rnd">
              <a:solidFill>
                <a:schemeClr val="accent5"/>
              </a:solidFill>
              <a:prstDash val="dash"/>
              <a:round/>
            </a:ln>
            <a:effectLst/>
          </c:spPr>
          <c:marker>
            <c:symbol val="none"/>
          </c:marker>
          <c:cat>
            <c:numRef>
              <c:f>'[Fiji Scenario Analysis 070420 new.xlsx]UNEMP'!$A$27:$A$43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new.xlsx]UNEMP'!$H$27:$H$43</c:f>
              <c:numCache>
                <c:formatCode>0.0%</c:formatCode>
                <c:ptCount val="17"/>
                <c:pt idx="0">
                  <c:v>5.6009613241100001E-2</c:v>
                </c:pt>
                <c:pt idx="1">
                  <c:v>5.6546005509900001E-2</c:v>
                </c:pt>
                <c:pt idx="2">
                  <c:v>6.1683458945799997E-2</c:v>
                </c:pt>
                <c:pt idx="3">
                  <c:v>5.6051212582E-2</c:v>
                </c:pt>
                <c:pt idx="4">
                  <c:v>5.2643105981999998E-2</c:v>
                </c:pt>
                <c:pt idx="5">
                  <c:v>5.0342318094799998E-2</c:v>
                </c:pt>
                <c:pt idx="6">
                  <c:v>4.6475192329100003E-2</c:v>
                </c:pt>
                <c:pt idx="7">
                  <c:v>4.41189396772E-2</c:v>
                </c:pt>
                <c:pt idx="8">
                  <c:v>4.3105269558899997E-2</c:v>
                </c:pt>
                <c:pt idx="9">
                  <c:v>4.2919326401300001E-2</c:v>
                </c:pt>
                <c:pt idx="10">
                  <c:v>4.3121525963700003E-2</c:v>
                </c:pt>
                <c:pt idx="11">
                  <c:v>4.3391857804199997E-2</c:v>
                </c:pt>
                <c:pt idx="12">
                  <c:v>4.36460398519E-2</c:v>
                </c:pt>
                <c:pt idx="13">
                  <c:v>4.40049316755E-2</c:v>
                </c:pt>
                <c:pt idx="14">
                  <c:v>4.4285333081099998E-2</c:v>
                </c:pt>
                <c:pt idx="15">
                  <c:v>4.4513210358400002E-2</c:v>
                </c:pt>
                <c:pt idx="16">
                  <c:v>4.4617943170099997E-2</c:v>
                </c:pt>
              </c:numCache>
            </c:numRef>
          </c:val>
          <c:smooth val="0"/>
          <c:extLst>
            <c:ext xmlns:c16="http://schemas.microsoft.com/office/drawing/2014/chart" uri="{C3380CC4-5D6E-409C-BE32-E72D297353CC}">
              <c16:uniqueId val="{00000006-B318-4B78-B36E-1C0D7FCD4FF8}"/>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3.000000000000000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Unemployment Rate (%)</a:t>
                </a:r>
              </a:p>
            </c:rich>
          </c:tx>
          <c:layout>
            <c:manualLayout>
              <c:xMode val="edge"/>
              <c:yMode val="edge"/>
              <c:x val="6.1225925847740881E-3"/>
              <c:y val="0.300182025380422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2.9283035331039379E-2"/>
          <c:y val="0.94149292077926883"/>
          <c:w val="0.9580875781948166"/>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931363637156702E-2"/>
          <c:y val="1.7970402256593986E-2"/>
          <c:w val="0.89795062732159592"/>
          <c:h val="0.84082265905142151"/>
        </c:manualLayout>
      </c:layout>
      <c:lineChart>
        <c:grouping val="standard"/>
        <c:varyColors val="0"/>
        <c:ser>
          <c:idx val="6"/>
          <c:order val="0"/>
          <c:tx>
            <c:strRef>
              <c:f>'[Fiji Scenario Analysis 070420 new.xlsx]POV'!$B$2</c:f>
              <c:strCache>
                <c:ptCount val="1"/>
                <c:pt idx="0">
                  <c:v>BAU</c:v>
                </c:pt>
              </c:strCache>
            </c:strRef>
          </c:tx>
          <c:spPr>
            <a:ln w="12700" cap="rnd">
              <a:solidFill>
                <a:schemeClr val="accent4"/>
              </a:solidFill>
              <a:round/>
            </a:ln>
            <a:effectLst/>
          </c:spPr>
          <c:marker>
            <c:symbol val="none"/>
          </c:marker>
          <c:cat>
            <c:numRef>
              <c:f>'[Fiji Scenario Analysis 070420 new.xlsx]POV'!$A$28:$A$44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new.xlsx]POV'!$B$28:$B$44</c:f>
              <c:numCache>
                <c:formatCode>General</c:formatCode>
                <c:ptCount val="17"/>
                <c:pt idx="0">
                  <c:v>0.35479374422999999</c:v>
                </c:pt>
                <c:pt idx="1">
                  <c:v>0.345857142999</c:v>
                </c:pt>
                <c:pt idx="2">
                  <c:v>0.32560839950600001</c:v>
                </c:pt>
                <c:pt idx="3">
                  <c:v>0.29767294022099999</c:v>
                </c:pt>
                <c:pt idx="4">
                  <c:v>0.26677369623800001</c:v>
                </c:pt>
                <c:pt idx="5">
                  <c:v>0.23878738096400001</c:v>
                </c:pt>
                <c:pt idx="6">
                  <c:v>0.19988269114599999</c:v>
                </c:pt>
                <c:pt idx="7">
                  <c:v>0.18213492633299999</c:v>
                </c:pt>
                <c:pt idx="8">
                  <c:v>0.175738815439</c:v>
                </c:pt>
                <c:pt idx="9">
                  <c:v>0.17289538589</c:v>
                </c:pt>
                <c:pt idx="10">
                  <c:v>0.17112215436200001</c:v>
                </c:pt>
                <c:pt idx="11">
                  <c:v>0.16959788287899999</c:v>
                </c:pt>
                <c:pt idx="12">
                  <c:v>0.168052999107</c:v>
                </c:pt>
                <c:pt idx="13">
                  <c:v>0.16640912881299999</c:v>
                </c:pt>
                <c:pt idx="14">
                  <c:v>0.16490851619899999</c:v>
                </c:pt>
                <c:pt idx="15">
                  <c:v>0.16353357703800001</c:v>
                </c:pt>
                <c:pt idx="16">
                  <c:v>0.162131901784</c:v>
                </c:pt>
              </c:numCache>
            </c:numRef>
          </c:val>
          <c:smooth val="0"/>
          <c:extLst>
            <c:ext xmlns:c16="http://schemas.microsoft.com/office/drawing/2014/chart" uri="{C3380CC4-5D6E-409C-BE32-E72D297353CC}">
              <c16:uniqueId val="{00000000-626A-4D76-BB20-59CB9DFCC593}"/>
            </c:ext>
          </c:extLst>
        </c:ser>
        <c:ser>
          <c:idx val="5"/>
          <c:order val="1"/>
          <c:tx>
            <c:strRef>
              <c:f>'[Fiji Scenario Analysis 070420 new.xlsx]POV'!$C$2</c:f>
              <c:strCache>
                <c:ptCount val="1"/>
                <c:pt idx="0">
                  <c:v>1. GAC</c:v>
                </c:pt>
              </c:strCache>
            </c:strRef>
          </c:tx>
          <c:spPr>
            <a:ln w="12700" cap="rnd">
              <a:solidFill>
                <a:srgbClr val="FF0000"/>
              </a:solidFill>
              <a:round/>
            </a:ln>
            <a:effectLst/>
          </c:spPr>
          <c:marker>
            <c:symbol val="none"/>
          </c:marker>
          <c:cat>
            <c:numRef>
              <c:f>'[Fiji Scenario Analysis 070420 new.xlsx]POV'!$A$28:$A$44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new.xlsx]POV'!$C$28:$C$44</c:f>
              <c:numCache>
                <c:formatCode>General</c:formatCode>
                <c:ptCount val="17"/>
                <c:pt idx="0">
                  <c:v>0.35479374422999999</c:v>
                </c:pt>
                <c:pt idx="1">
                  <c:v>0.345857142999</c:v>
                </c:pt>
                <c:pt idx="2">
                  <c:v>0.32560839950600001</c:v>
                </c:pt>
                <c:pt idx="3">
                  <c:v>0.29767294022099999</c:v>
                </c:pt>
                <c:pt idx="4">
                  <c:v>0.26677369623800001</c:v>
                </c:pt>
                <c:pt idx="5">
                  <c:v>0.23878738096400001</c:v>
                </c:pt>
                <c:pt idx="6">
                  <c:v>0.19772351915399999</c:v>
                </c:pt>
                <c:pt idx="7">
                  <c:v>0.18153503143800001</c:v>
                </c:pt>
                <c:pt idx="8">
                  <c:v>0.17559819660100001</c:v>
                </c:pt>
                <c:pt idx="9">
                  <c:v>0.172769865568</c:v>
                </c:pt>
                <c:pt idx="10">
                  <c:v>0.17142312545899999</c:v>
                </c:pt>
                <c:pt idx="11">
                  <c:v>0.17050699062800001</c:v>
                </c:pt>
                <c:pt idx="12">
                  <c:v>0.169262003961</c:v>
                </c:pt>
                <c:pt idx="13">
                  <c:v>0.16782084445600001</c:v>
                </c:pt>
                <c:pt idx="14">
                  <c:v>0.166247846713</c:v>
                </c:pt>
                <c:pt idx="15">
                  <c:v>0.16481823009400001</c:v>
                </c:pt>
                <c:pt idx="16">
                  <c:v>0.16350180466899999</c:v>
                </c:pt>
              </c:numCache>
            </c:numRef>
          </c:val>
          <c:smooth val="0"/>
          <c:extLst>
            <c:ext xmlns:c16="http://schemas.microsoft.com/office/drawing/2014/chart" uri="{C3380CC4-5D6E-409C-BE32-E72D297353CC}">
              <c16:uniqueId val="{00000001-626A-4D76-BB20-59CB9DFCC593}"/>
            </c:ext>
          </c:extLst>
        </c:ser>
        <c:ser>
          <c:idx val="4"/>
          <c:order val="2"/>
          <c:tx>
            <c:strRef>
              <c:f>'[Fiji Scenario Analysis 070420 new.xlsx]POV'!$D$2</c:f>
              <c:strCache>
                <c:ptCount val="1"/>
                <c:pt idx="0">
                  <c:v>2. GE</c:v>
                </c:pt>
              </c:strCache>
            </c:strRef>
          </c:tx>
          <c:spPr>
            <a:ln w="12700" cap="rnd">
              <a:solidFill>
                <a:srgbClr val="92D050"/>
              </a:solidFill>
              <a:round/>
            </a:ln>
            <a:effectLst/>
          </c:spPr>
          <c:marker>
            <c:symbol val="none"/>
          </c:marker>
          <c:cat>
            <c:numRef>
              <c:f>'[Fiji Scenario Analysis 070420 new.xlsx]POV'!$A$28:$A$44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new.xlsx]POV'!$D$28:$D$44</c:f>
              <c:numCache>
                <c:formatCode>General</c:formatCode>
                <c:ptCount val="17"/>
                <c:pt idx="0">
                  <c:v>0.35479374422999999</c:v>
                </c:pt>
                <c:pt idx="1">
                  <c:v>0.345857142999</c:v>
                </c:pt>
                <c:pt idx="2">
                  <c:v>0.32560839950600001</c:v>
                </c:pt>
                <c:pt idx="3">
                  <c:v>0.29767294022099999</c:v>
                </c:pt>
                <c:pt idx="4">
                  <c:v>0.26677369623800001</c:v>
                </c:pt>
                <c:pt idx="5">
                  <c:v>0.23878738096400001</c:v>
                </c:pt>
                <c:pt idx="6">
                  <c:v>0.23524162813899999</c:v>
                </c:pt>
                <c:pt idx="7">
                  <c:v>0.210395596519</c:v>
                </c:pt>
                <c:pt idx="8">
                  <c:v>0.18666954014600001</c:v>
                </c:pt>
                <c:pt idx="9">
                  <c:v>0.17774771436299999</c:v>
                </c:pt>
                <c:pt idx="10">
                  <c:v>0.17406675784100001</c:v>
                </c:pt>
                <c:pt idx="11">
                  <c:v>0.171953771428</c:v>
                </c:pt>
                <c:pt idx="12">
                  <c:v>0.170241583073</c:v>
                </c:pt>
                <c:pt idx="13">
                  <c:v>0.1685667747</c:v>
                </c:pt>
                <c:pt idx="14">
                  <c:v>0.16679992270899999</c:v>
                </c:pt>
                <c:pt idx="15">
                  <c:v>0.16511346087600001</c:v>
                </c:pt>
                <c:pt idx="16">
                  <c:v>0.16362828909300001</c:v>
                </c:pt>
              </c:numCache>
            </c:numRef>
          </c:val>
          <c:smooth val="0"/>
          <c:extLst>
            <c:ext xmlns:c16="http://schemas.microsoft.com/office/drawing/2014/chart" uri="{C3380CC4-5D6E-409C-BE32-E72D297353CC}">
              <c16:uniqueId val="{00000002-626A-4D76-BB20-59CB9DFCC593}"/>
            </c:ext>
          </c:extLst>
        </c:ser>
        <c:ser>
          <c:idx val="3"/>
          <c:order val="3"/>
          <c:tx>
            <c:strRef>
              <c:f>'[Fiji Scenario Analysis 070420 new.xlsx]POV'!$E$2</c:f>
              <c:strCache>
                <c:ptCount val="1"/>
                <c:pt idx="0">
                  <c:v>3. IG</c:v>
                </c:pt>
              </c:strCache>
            </c:strRef>
          </c:tx>
          <c:spPr>
            <a:ln w="12700" cap="rnd">
              <a:solidFill>
                <a:srgbClr val="00B0F0"/>
              </a:solidFill>
              <a:round/>
            </a:ln>
            <a:effectLst/>
          </c:spPr>
          <c:marker>
            <c:symbol val="none"/>
          </c:marker>
          <c:cat>
            <c:numRef>
              <c:f>'[Fiji Scenario Analysis 070420 new.xlsx]POV'!$A$28:$A$44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new.xlsx]POV'!$E$28:$E$44</c:f>
              <c:numCache>
                <c:formatCode>General</c:formatCode>
                <c:ptCount val="17"/>
                <c:pt idx="0">
                  <c:v>0.35479374422999999</c:v>
                </c:pt>
                <c:pt idx="1">
                  <c:v>0.345857142999</c:v>
                </c:pt>
                <c:pt idx="2">
                  <c:v>0.32560839950600001</c:v>
                </c:pt>
                <c:pt idx="3">
                  <c:v>0.29767294022099999</c:v>
                </c:pt>
                <c:pt idx="4">
                  <c:v>0.26677369623800001</c:v>
                </c:pt>
                <c:pt idx="5">
                  <c:v>0.23878738096400001</c:v>
                </c:pt>
                <c:pt idx="6">
                  <c:v>0.19694253051400001</c:v>
                </c:pt>
                <c:pt idx="7">
                  <c:v>0.178281259878</c:v>
                </c:pt>
                <c:pt idx="8">
                  <c:v>0.17014286254800001</c:v>
                </c:pt>
                <c:pt idx="9">
                  <c:v>0.166000372664</c:v>
                </c:pt>
                <c:pt idx="10">
                  <c:v>0.16359672929499999</c:v>
                </c:pt>
                <c:pt idx="11">
                  <c:v>0.16168179317799999</c:v>
                </c:pt>
                <c:pt idx="12">
                  <c:v>0.159833831205</c:v>
                </c:pt>
                <c:pt idx="13">
                  <c:v>0.157926013512</c:v>
                </c:pt>
                <c:pt idx="14">
                  <c:v>0.15575521370000001</c:v>
                </c:pt>
                <c:pt idx="15">
                  <c:v>0.15220698823699999</c:v>
                </c:pt>
                <c:pt idx="16">
                  <c:v>0.148005723501</c:v>
                </c:pt>
              </c:numCache>
            </c:numRef>
          </c:val>
          <c:smooth val="0"/>
          <c:extLst>
            <c:ext xmlns:c16="http://schemas.microsoft.com/office/drawing/2014/chart" uri="{C3380CC4-5D6E-409C-BE32-E72D297353CC}">
              <c16:uniqueId val="{00000003-626A-4D76-BB20-59CB9DFCC593}"/>
            </c:ext>
          </c:extLst>
        </c:ser>
        <c:ser>
          <c:idx val="2"/>
          <c:order val="4"/>
          <c:tx>
            <c:strRef>
              <c:f>'[Fiji Scenario Analysis 070420 new.xlsx]POV'!$F$2</c:f>
              <c:strCache>
                <c:ptCount val="1"/>
                <c:pt idx="0">
                  <c:v>4. ST</c:v>
                </c:pt>
              </c:strCache>
            </c:strRef>
          </c:tx>
          <c:spPr>
            <a:ln w="12700" cap="rnd">
              <a:solidFill>
                <a:srgbClr val="008080"/>
              </a:solidFill>
              <a:round/>
            </a:ln>
            <a:effectLst/>
          </c:spPr>
          <c:marker>
            <c:symbol val="none"/>
          </c:marker>
          <c:cat>
            <c:numRef>
              <c:f>'[Fiji Scenario Analysis 070420 new.xlsx]POV'!$A$28:$A$44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new.xlsx]POV'!$F$28:$F$44</c:f>
              <c:numCache>
                <c:formatCode>General</c:formatCode>
                <c:ptCount val="17"/>
                <c:pt idx="0">
                  <c:v>0.35479374422999999</c:v>
                </c:pt>
                <c:pt idx="1">
                  <c:v>0.345857142999</c:v>
                </c:pt>
                <c:pt idx="2">
                  <c:v>0.32560839950600001</c:v>
                </c:pt>
                <c:pt idx="3">
                  <c:v>0.29767294022099999</c:v>
                </c:pt>
                <c:pt idx="4">
                  <c:v>0.26677369623800001</c:v>
                </c:pt>
                <c:pt idx="5">
                  <c:v>0.23878738096400001</c:v>
                </c:pt>
                <c:pt idx="6">
                  <c:v>0.206979697494</c:v>
                </c:pt>
                <c:pt idx="7">
                  <c:v>0.18284661114699999</c:v>
                </c:pt>
                <c:pt idx="8">
                  <c:v>0.17343707413699999</c:v>
                </c:pt>
                <c:pt idx="9">
                  <c:v>0.168552387064</c:v>
                </c:pt>
                <c:pt idx="10">
                  <c:v>0.16551008956300001</c:v>
                </c:pt>
                <c:pt idx="11">
                  <c:v>0.163408167134</c:v>
                </c:pt>
                <c:pt idx="12">
                  <c:v>0.16152008191700001</c:v>
                </c:pt>
                <c:pt idx="13">
                  <c:v>0.15961895316999999</c:v>
                </c:pt>
                <c:pt idx="14">
                  <c:v>0.15762673482199999</c:v>
                </c:pt>
                <c:pt idx="15">
                  <c:v>0.15511886812799999</c:v>
                </c:pt>
                <c:pt idx="16">
                  <c:v>0.15129769279899999</c:v>
                </c:pt>
              </c:numCache>
            </c:numRef>
          </c:val>
          <c:smooth val="0"/>
          <c:extLst>
            <c:ext xmlns:c16="http://schemas.microsoft.com/office/drawing/2014/chart" uri="{C3380CC4-5D6E-409C-BE32-E72D297353CC}">
              <c16:uniqueId val="{00000004-626A-4D76-BB20-59CB9DFCC593}"/>
            </c:ext>
          </c:extLst>
        </c:ser>
        <c:ser>
          <c:idx val="1"/>
          <c:order val="5"/>
          <c:tx>
            <c:strRef>
              <c:f>'[Fiji Scenario Analysis 070420 new.xlsx]POV'!$G$2</c:f>
              <c:strCache>
                <c:ptCount val="1"/>
                <c:pt idx="0">
                  <c:v>5. ST_CLIMATE</c:v>
                </c:pt>
              </c:strCache>
            </c:strRef>
          </c:tx>
          <c:spPr>
            <a:ln w="12700" cap="rnd">
              <a:solidFill>
                <a:schemeClr val="accent2"/>
              </a:solidFill>
              <a:prstDash val="dash"/>
              <a:round/>
            </a:ln>
            <a:effectLst/>
          </c:spPr>
          <c:marker>
            <c:symbol val="none"/>
          </c:marker>
          <c:cat>
            <c:numRef>
              <c:f>'[Fiji Scenario Analysis 070420 new.xlsx]POV'!$A$28:$A$44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new.xlsx]POV'!$G$28:$G$44</c:f>
              <c:numCache>
                <c:formatCode>General</c:formatCode>
                <c:ptCount val="17"/>
                <c:pt idx="0">
                  <c:v>0.35479374422999999</c:v>
                </c:pt>
                <c:pt idx="1">
                  <c:v>0.345857142999</c:v>
                </c:pt>
                <c:pt idx="2">
                  <c:v>0.32560839950600001</c:v>
                </c:pt>
                <c:pt idx="3">
                  <c:v>0.29767294022099999</c:v>
                </c:pt>
                <c:pt idx="4">
                  <c:v>0.26677369623800001</c:v>
                </c:pt>
                <c:pt idx="5">
                  <c:v>0.23878738096400001</c:v>
                </c:pt>
                <c:pt idx="6">
                  <c:v>0.24427876723600001</c:v>
                </c:pt>
                <c:pt idx="7">
                  <c:v>0.19514925567800001</c:v>
                </c:pt>
                <c:pt idx="8">
                  <c:v>0.17820665119000001</c:v>
                </c:pt>
                <c:pt idx="9">
                  <c:v>0.17133757652600001</c:v>
                </c:pt>
                <c:pt idx="10">
                  <c:v>0.16752063091800001</c:v>
                </c:pt>
                <c:pt idx="11">
                  <c:v>0.16496462619999999</c:v>
                </c:pt>
                <c:pt idx="12">
                  <c:v>0.163013867507</c:v>
                </c:pt>
                <c:pt idx="13">
                  <c:v>0.16117808868700001</c:v>
                </c:pt>
                <c:pt idx="14">
                  <c:v>0.159294365292</c:v>
                </c:pt>
                <c:pt idx="15">
                  <c:v>0.15730185036899999</c:v>
                </c:pt>
                <c:pt idx="16">
                  <c:v>0.15471235508299999</c:v>
                </c:pt>
              </c:numCache>
            </c:numRef>
          </c:val>
          <c:smooth val="0"/>
          <c:extLst>
            <c:ext xmlns:c16="http://schemas.microsoft.com/office/drawing/2014/chart" uri="{C3380CC4-5D6E-409C-BE32-E72D297353CC}">
              <c16:uniqueId val="{00000005-626A-4D76-BB20-59CB9DFCC593}"/>
            </c:ext>
          </c:extLst>
        </c:ser>
        <c:ser>
          <c:idx val="0"/>
          <c:order val="6"/>
          <c:tx>
            <c:strRef>
              <c:f>'[Fiji Scenario Analysis 070420 new.xlsx]POV'!$H$2</c:f>
              <c:strCache>
                <c:ptCount val="1"/>
                <c:pt idx="0">
                  <c:v>6. ST_SDG</c:v>
                </c:pt>
              </c:strCache>
            </c:strRef>
          </c:tx>
          <c:spPr>
            <a:ln w="12700" cap="rnd">
              <a:solidFill>
                <a:schemeClr val="accent5"/>
              </a:solidFill>
              <a:prstDash val="dash"/>
              <a:round/>
            </a:ln>
            <a:effectLst/>
          </c:spPr>
          <c:marker>
            <c:symbol val="none"/>
          </c:marker>
          <c:cat>
            <c:numRef>
              <c:f>'[Fiji Scenario Analysis 070420 new.xlsx]POV'!$A$28:$A$44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new.xlsx]POV'!$H$28:$H$44</c:f>
              <c:numCache>
                <c:formatCode>General</c:formatCode>
                <c:ptCount val="17"/>
                <c:pt idx="0">
                  <c:v>0.35479374422999999</c:v>
                </c:pt>
                <c:pt idx="1">
                  <c:v>0.345857142999</c:v>
                </c:pt>
                <c:pt idx="2">
                  <c:v>0.32560839950600001</c:v>
                </c:pt>
                <c:pt idx="3">
                  <c:v>0.29767294022099999</c:v>
                </c:pt>
                <c:pt idx="4">
                  <c:v>0.26677369623800001</c:v>
                </c:pt>
                <c:pt idx="5">
                  <c:v>0.23878738096400001</c:v>
                </c:pt>
                <c:pt idx="6">
                  <c:v>0.19806085763</c:v>
                </c:pt>
                <c:pt idx="7">
                  <c:v>0.17570520216499999</c:v>
                </c:pt>
                <c:pt idx="8">
                  <c:v>0.166356377193</c:v>
                </c:pt>
                <c:pt idx="9">
                  <c:v>0.16231051994599999</c:v>
                </c:pt>
                <c:pt idx="10">
                  <c:v>0.15980683552399999</c:v>
                </c:pt>
                <c:pt idx="11">
                  <c:v>0.15775541894299999</c:v>
                </c:pt>
                <c:pt idx="12">
                  <c:v>0.15551965745900001</c:v>
                </c:pt>
                <c:pt idx="13">
                  <c:v>0.15217016424300001</c:v>
                </c:pt>
                <c:pt idx="14">
                  <c:v>0.148224791316</c:v>
                </c:pt>
                <c:pt idx="15">
                  <c:v>0.14524100805099999</c:v>
                </c:pt>
                <c:pt idx="16">
                  <c:v>0.143256837517</c:v>
                </c:pt>
              </c:numCache>
            </c:numRef>
          </c:val>
          <c:smooth val="0"/>
          <c:extLst>
            <c:ext xmlns:c16="http://schemas.microsoft.com/office/drawing/2014/chart" uri="{C3380CC4-5D6E-409C-BE32-E72D297353CC}">
              <c16:uniqueId val="{00000006-626A-4D76-BB20-59CB9DFCC593}"/>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ax val="0.4"/>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Proportion of population below national poverty line (%)</a:t>
                </a:r>
              </a:p>
            </c:rich>
          </c:tx>
          <c:layout>
            <c:manualLayout>
              <c:xMode val="edge"/>
              <c:yMode val="edge"/>
              <c:x val="2.6376669297755871E-3"/>
              <c:y val="0.1427490813648293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5.000000000000001E-2"/>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5542675490406E-2"/>
          <c:y val="1.9971296296296296E-2"/>
          <c:w val="0.9001664482832622"/>
          <c:h val="0.81338425925925928"/>
        </c:manualLayout>
      </c:layout>
      <c:lineChart>
        <c:grouping val="standard"/>
        <c:varyColors val="0"/>
        <c:ser>
          <c:idx val="6"/>
          <c:order val="0"/>
          <c:tx>
            <c:strRef>
              <c:f>'[Fiji Scenario Analysis 070420 new.xlsx]GINI'!$B$1</c:f>
              <c:strCache>
                <c:ptCount val="1"/>
                <c:pt idx="0">
                  <c:v>BAU</c:v>
                </c:pt>
              </c:strCache>
            </c:strRef>
          </c:tx>
          <c:spPr>
            <a:ln w="12700" cap="rnd">
              <a:solidFill>
                <a:schemeClr val="accent4"/>
              </a:solidFill>
              <a:round/>
            </a:ln>
            <a:effectLst/>
          </c:spPr>
          <c:marker>
            <c:symbol val="none"/>
          </c:marker>
          <c:cat>
            <c:numRef>
              <c:f>'[Fiji Scenario Analysis 070420 new.xlsx]GINI'!$A$27:$A$43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new.xlsx]GINI'!$B$27:$B$43</c:f>
              <c:numCache>
                <c:formatCode>General</c:formatCode>
                <c:ptCount val="17"/>
                <c:pt idx="0">
                  <c:v>0.36743996803099999</c:v>
                </c:pt>
                <c:pt idx="1">
                  <c:v>0.36275298715499998</c:v>
                </c:pt>
                <c:pt idx="2">
                  <c:v>0.35792264757600001</c:v>
                </c:pt>
                <c:pt idx="3">
                  <c:v>0.35320215488700002</c:v>
                </c:pt>
                <c:pt idx="4">
                  <c:v>0.34912758034899999</c:v>
                </c:pt>
                <c:pt idx="5">
                  <c:v>0.345376103888</c:v>
                </c:pt>
                <c:pt idx="6">
                  <c:v>0.33770529519600001</c:v>
                </c:pt>
                <c:pt idx="7">
                  <c:v>0.33465180663299998</c:v>
                </c:pt>
                <c:pt idx="8">
                  <c:v>0.33165681373200001</c:v>
                </c:pt>
                <c:pt idx="9">
                  <c:v>0.32882895399200002</c:v>
                </c:pt>
                <c:pt idx="10">
                  <c:v>0.32614052916300001</c:v>
                </c:pt>
                <c:pt idx="11">
                  <c:v>0.32344704055599999</c:v>
                </c:pt>
                <c:pt idx="12">
                  <c:v>0.32090833597899998</c:v>
                </c:pt>
                <c:pt idx="13">
                  <c:v>0.31842326916199998</c:v>
                </c:pt>
                <c:pt idx="14">
                  <c:v>0.315963989103</c:v>
                </c:pt>
                <c:pt idx="15">
                  <c:v>0.31354245216400001</c:v>
                </c:pt>
                <c:pt idx="16">
                  <c:v>0.31115811483799999</c:v>
                </c:pt>
              </c:numCache>
            </c:numRef>
          </c:val>
          <c:smooth val="0"/>
          <c:extLst>
            <c:ext xmlns:c16="http://schemas.microsoft.com/office/drawing/2014/chart" uri="{C3380CC4-5D6E-409C-BE32-E72D297353CC}">
              <c16:uniqueId val="{00000000-572F-4128-806C-E5C6634C95FD}"/>
            </c:ext>
          </c:extLst>
        </c:ser>
        <c:ser>
          <c:idx val="5"/>
          <c:order val="1"/>
          <c:tx>
            <c:strRef>
              <c:f>'[Fiji Scenario Analysis 070420 new.xlsx]GINI'!$C$1</c:f>
              <c:strCache>
                <c:ptCount val="1"/>
                <c:pt idx="0">
                  <c:v>1. GAC</c:v>
                </c:pt>
              </c:strCache>
            </c:strRef>
          </c:tx>
          <c:spPr>
            <a:ln w="12700" cap="rnd">
              <a:solidFill>
                <a:srgbClr val="FF0000"/>
              </a:solidFill>
              <a:round/>
            </a:ln>
            <a:effectLst/>
          </c:spPr>
          <c:marker>
            <c:symbol val="none"/>
          </c:marker>
          <c:cat>
            <c:numRef>
              <c:f>'[Fiji Scenario Analysis 070420 new.xlsx]GINI'!$A$27:$A$43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new.xlsx]GINI'!$C$27:$C$43</c:f>
              <c:numCache>
                <c:formatCode>General</c:formatCode>
                <c:ptCount val="17"/>
                <c:pt idx="0">
                  <c:v>0.36743996803099999</c:v>
                </c:pt>
                <c:pt idx="1">
                  <c:v>0.36275298715499998</c:v>
                </c:pt>
                <c:pt idx="2">
                  <c:v>0.35792264757600001</c:v>
                </c:pt>
                <c:pt idx="3">
                  <c:v>0.35320215488700002</c:v>
                </c:pt>
                <c:pt idx="4">
                  <c:v>0.34912758034899999</c:v>
                </c:pt>
                <c:pt idx="5">
                  <c:v>0.34720060474999997</c:v>
                </c:pt>
                <c:pt idx="6">
                  <c:v>0.34573048149899999</c:v>
                </c:pt>
                <c:pt idx="7">
                  <c:v>0.34460755224599998</c:v>
                </c:pt>
                <c:pt idx="8">
                  <c:v>0.342298515867</c:v>
                </c:pt>
                <c:pt idx="9">
                  <c:v>0.34152150871300002</c:v>
                </c:pt>
                <c:pt idx="10">
                  <c:v>0.34057463917399999</c:v>
                </c:pt>
                <c:pt idx="11">
                  <c:v>0.33761103616100002</c:v>
                </c:pt>
                <c:pt idx="12">
                  <c:v>0.33522511579800002</c:v>
                </c:pt>
                <c:pt idx="13">
                  <c:v>0.33291617997599998</c:v>
                </c:pt>
                <c:pt idx="14">
                  <c:v>0.33065033856699999</c:v>
                </c:pt>
                <c:pt idx="15">
                  <c:v>0.32845837599400002</c:v>
                </c:pt>
                <c:pt idx="16">
                  <c:v>0.32630421134699999</c:v>
                </c:pt>
              </c:numCache>
            </c:numRef>
          </c:val>
          <c:smooth val="0"/>
          <c:extLst>
            <c:ext xmlns:c16="http://schemas.microsoft.com/office/drawing/2014/chart" uri="{C3380CC4-5D6E-409C-BE32-E72D297353CC}">
              <c16:uniqueId val="{00000001-572F-4128-806C-E5C6634C95FD}"/>
            </c:ext>
          </c:extLst>
        </c:ser>
        <c:ser>
          <c:idx val="4"/>
          <c:order val="2"/>
          <c:tx>
            <c:strRef>
              <c:f>'[Fiji Scenario Analysis 070420 new.xlsx]GINI'!$D$1</c:f>
              <c:strCache>
                <c:ptCount val="1"/>
                <c:pt idx="0">
                  <c:v>2. GE</c:v>
                </c:pt>
              </c:strCache>
            </c:strRef>
          </c:tx>
          <c:spPr>
            <a:ln w="12700" cap="rnd">
              <a:solidFill>
                <a:srgbClr val="92D050"/>
              </a:solidFill>
              <a:round/>
            </a:ln>
            <a:effectLst/>
          </c:spPr>
          <c:marker>
            <c:symbol val="none"/>
          </c:marker>
          <c:cat>
            <c:numRef>
              <c:f>'[Fiji Scenario Analysis 070420 new.xlsx]GINI'!$A$27:$A$43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new.xlsx]GINI'!$D$27:$D$43</c:f>
              <c:numCache>
                <c:formatCode>General</c:formatCode>
                <c:ptCount val="17"/>
                <c:pt idx="0">
                  <c:v>0.36743996803099999</c:v>
                </c:pt>
                <c:pt idx="1">
                  <c:v>0.36275298715499998</c:v>
                </c:pt>
                <c:pt idx="2">
                  <c:v>0.35792264757600001</c:v>
                </c:pt>
                <c:pt idx="3">
                  <c:v>0.35320215488700002</c:v>
                </c:pt>
                <c:pt idx="4">
                  <c:v>0.34912758034899999</c:v>
                </c:pt>
                <c:pt idx="5">
                  <c:v>0.35363337185999999</c:v>
                </c:pt>
                <c:pt idx="6">
                  <c:v>0.348936471523</c:v>
                </c:pt>
                <c:pt idx="7">
                  <c:v>0.34671967080600002</c:v>
                </c:pt>
                <c:pt idx="8">
                  <c:v>0.34416015258600002</c:v>
                </c:pt>
                <c:pt idx="9">
                  <c:v>0.341569536841</c:v>
                </c:pt>
                <c:pt idx="10">
                  <c:v>0.33904258468499998</c:v>
                </c:pt>
                <c:pt idx="11">
                  <c:v>0.33652136966000001</c:v>
                </c:pt>
                <c:pt idx="12">
                  <c:v>0.33408195245299999</c:v>
                </c:pt>
                <c:pt idx="13">
                  <c:v>0.33172725213699999</c:v>
                </c:pt>
                <c:pt idx="14">
                  <c:v>0.32937832835199998</c:v>
                </c:pt>
                <c:pt idx="15">
                  <c:v>0.32704663725900002</c:v>
                </c:pt>
                <c:pt idx="16">
                  <c:v>0.324732472755</c:v>
                </c:pt>
              </c:numCache>
            </c:numRef>
          </c:val>
          <c:smooth val="0"/>
          <c:extLst>
            <c:ext xmlns:c16="http://schemas.microsoft.com/office/drawing/2014/chart" uri="{C3380CC4-5D6E-409C-BE32-E72D297353CC}">
              <c16:uniqueId val="{00000002-572F-4128-806C-E5C6634C95FD}"/>
            </c:ext>
          </c:extLst>
        </c:ser>
        <c:ser>
          <c:idx val="3"/>
          <c:order val="3"/>
          <c:tx>
            <c:strRef>
              <c:f>'[Fiji Scenario Analysis 070420 new.xlsx]GINI'!$E$1</c:f>
              <c:strCache>
                <c:ptCount val="1"/>
                <c:pt idx="0">
                  <c:v>3. IG</c:v>
                </c:pt>
              </c:strCache>
            </c:strRef>
          </c:tx>
          <c:spPr>
            <a:ln w="12700" cap="rnd">
              <a:solidFill>
                <a:srgbClr val="00B0F0"/>
              </a:solidFill>
              <a:round/>
            </a:ln>
            <a:effectLst/>
          </c:spPr>
          <c:marker>
            <c:symbol val="none"/>
          </c:marker>
          <c:cat>
            <c:numRef>
              <c:f>'[Fiji Scenario Analysis 070420 new.xlsx]GINI'!$A$27:$A$43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new.xlsx]GINI'!$E$27:$E$43</c:f>
              <c:numCache>
                <c:formatCode>General</c:formatCode>
                <c:ptCount val="17"/>
                <c:pt idx="0">
                  <c:v>0.36743996803099999</c:v>
                </c:pt>
                <c:pt idx="1">
                  <c:v>0.36275298715499998</c:v>
                </c:pt>
                <c:pt idx="2">
                  <c:v>0.35792264757600001</c:v>
                </c:pt>
                <c:pt idx="3">
                  <c:v>0.35320215488700002</c:v>
                </c:pt>
                <c:pt idx="4">
                  <c:v>0.34912758034899999</c:v>
                </c:pt>
                <c:pt idx="5">
                  <c:v>0.33886550592699999</c:v>
                </c:pt>
                <c:pt idx="6">
                  <c:v>0.31919306040099998</c:v>
                </c:pt>
                <c:pt idx="7">
                  <c:v>0.31501036013799999</c:v>
                </c:pt>
                <c:pt idx="8">
                  <c:v>0.31122673965199998</c:v>
                </c:pt>
                <c:pt idx="9">
                  <c:v>0.30817247560900002</c:v>
                </c:pt>
                <c:pt idx="10">
                  <c:v>0.30536911049600002</c:v>
                </c:pt>
                <c:pt idx="11">
                  <c:v>0.30262920302599999</c:v>
                </c:pt>
                <c:pt idx="12">
                  <c:v>0.29995759191900001</c:v>
                </c:pt>
                <c:pt idx="13">
                  <c:v>0.29733205715099997</c:v>
                </c:pt>
                <c:pt idx="14">
                  <c:v>0.294730509217</c:v>
                </c:pt>
                <c:pt idx="15">
                  <c:v>0.29219551167399999</c:v>
                </c:pt>
                <c:pt idx="16">
                  <c:v>0.28965298520799998</c:v>
                </c:pt>
              </c:numCache>
            </c:numRef>
          </c:val>
          <c:smooth val="0"/>
          <c:extLst>
            <c:ext xmlns:c16="http://schemas.microsoft.com/office/drawing/2014/chart" uri="{C3380CC4-5D6E-409C-BE32-E72D297353CC}">
              <c16:uniqueId val="{00000003-572F-4128-806C-E5C6634C95FD}"/>
            </c:ext>
          </c:extLst>
        </c:ser>
        <c:ser>
          <c:idx val="2"/>
          <c:order val="4"/>
          <c:tx>
            <c:strRef>
              <c:f>'[Fiji Scenario Analysis 070420 new.xlsx]GINI'!$F$1</c:f>
              <c:strCache>
                <c:ptCount val="1"/>
                <c:pt idx="0">
                  <c:v>4. ST</c:v>
                </c:pt>
              </c:strCache>
            </c:strRef>
          </c:tx>
          <c:spPr>
            <a:ln w="12700" cap="rnd">
              <a:solidFill>
                <a:srgbClr val="008080"/>
              </a:solidFill>
              <a:round/>
            </a:ln>
            <a:effectLst/>
          </c:spPr>
          <c:marker>
            <c:symbol val="none"/>
          </c:marker>
          <c:cat>
            <c:numRef>
              <c:f>'[Fiji Scenario Analysis 070420 new.xlsx]GINI'!$A$27:$A$43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new.xlsx]GINI'!$F$27:$F$43</c:f>
              <c:numCache>
                <c:formatCode>General</c:formatCode>
                <c:ptCount val="17"/>
                <c:pt idx="0">
                  <c:v>0.36743996803099999</c:v>
                </c:pt>
                <c:pt idx="1">
                  <c:v>0.36275298715499998</c:v>
                </c:pt>
                <c:pt idx="2">
                  <c:v>0.35792264757600001</c:v>
                </c:pt>
                <c:pt idx="3">
                  <c:v>0.35320215488700002</c:v>
                </c:pt>
                <c:pt idx="4">
                  <c:v>0.34912758034899999</c:v>
                </c:pt>
                <c:pt idx="5">
                  <c:v>0.34389552540200002</c:v>
                </c:pt>
                <c:pt idx="6">
                  <c:v>0.32525546957099999</c:v>
                </c:pt>
                <c:pt idx="7">
                  <c:v>0.31980658043900001</c:v>
                </c:pt>
                <c:pt idx="8">
                  <c:v>0.31529914925399999</c:v>
                </c:pt>
                <c:pt idx="9">
                  <c:v>0.31164471411400002</c:v>
                </c:pt>
                <c:pt idx="10">
                  <c:v>0.30908917781200002</c:v>
                </c:pt>
                <c:pt idx="11">
                  <c:v>0.30625556860100001</c:v>
                </c:pt>
                <c:pt idx="12">
                  <c:v>0.30352947679999998</c:v>
                </c:pt>
                <c:pt idx="13">
                  <c:v>0.30084095676</c:v>
                </c:pt>
                <c:pt idx="14">
                  <c:v>0.29816151481499997</c:v>
                </c:pt>
                <c:pt idx="15">
                  <c:v>0.295500780879</c:v>
                </c:pt>
                <c:pt idx="16">
                  <c:v>0.29292986818200001</c:v>
                </c:pt>
              </c:numCache>
            </c:numRef>
          </c:val>
          <c:smooth val="0"/>
          <c:extLst>
            <c:ext xmlns:c16="http://schemas.microsoft.com/office/drawing/2014/chart" uri="{C3380CC4-5D6E-409C-BE32-E72D297353CC}">
              <c16:uniqueId val="{00000004-572F-4128-806C-E5C6634C95FD}"/>
            </c:ext>
          </c:extLst>
        </c:ser>
        <c:ser>
          <c:idx val="1"/>
          <c:order val="5"/>
          <c:tx>
            <c:strRef>
              <c:f>'[Fiji Scenario Analysis 070420 new.xlsx]GINI'!$G$1</c:f>
              <c:strCache>
                <c:ptCount val="1"/>
                <c:pt idx="0">
                  <c:v>5. ST_CLIMATE</c:v>
                </c:pt>
              </c:strCache>
            </c:strRef>
          </c:tx>
          <c:spPr>
            <a:ln w="12700" cap="rnd">
              <a:solidFill>
                <a:schemeClr val="accent2"/>
              </a:solidFill>
              <a:prstDash val="dash"/>
              <a:round/>
            </a:ln>
            <a:effectLst/>
          </c:spPr>
          <c:marker>
            <c:symbol val="none"/>
          </c:marker>
          <c:cat>
            <c:numRef>
              <c:f>'[Fiji Scenario Analysis 070420 new.xlsx]GINI'!$A$27:$A$43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new.xlsx]GINI'!$G$27:$G$43</c:f>
              <c:numCache>
                <c:formatCode>General</c:formatCode>
                <c:ptCount val="17"/>
                <c:pt idx="0">
                  <c:v>0.36743996803099999</c:v>
                </c:pt>
                <c:pt idx="1">
                  <c:v>0.36275298715499998</c:v>
                </c:pt>
                <c:pt idx="2">
                  <c:v>0.35792264757600001</c:v>
                </c:pt>
                <c:pt idx="3">
                  <c:v>0.35320215488700002</c:v>
                </c:pt>
                <c:pt idx="4">
                  <c:v>0.34912758034899999</c:v>
                </c:pt>
                <c:pt idx="5">
                  <c:v>0.34379248989599998</c:v>
                </c:pt>
                <c:pt idx="6">
                  <c:v>0.32475032501700002</c:v>
                </c:pt>
                <c:pt idx="7">
                  <c:v>0.31898301773100002</c:v>
                </c:pt>
                <c:pt idx="8">
                  <c:v>0.31467520842699997</c:v>
                </c:pt>
                <c:pt idx="9">
                  <c:v>0.31105150261300002</c:v>
                </c:pt>
                <c:pt idx="10">
                  <c:v>0.30837046278500002</c:v>
                </c:pt>
                <c:pt idx="11">
                  <c:v>0.30553701425099999</c:v>
                </c:pt>
                <c:pt idx="12">
                  <c:v>0.30284175990700002</c:v>
                </c:pt>
                <c:pt idx="13">
                  <c:v>0.30013558729200002</c:v>
                </c:pt>
                <c:pt idx="14">
                  <c:v>0.29743460112300002</c:v>
                </c:pt>
                <c:pt idx="15">
                  <c:v>0.29474599815500002</c:v>
                </c:pt>
                <c:pt idx="16">
                  <c:v>0.29214893672499997</c:v>
                </c:pt>
              </c:numCache>
            </c:numRef>
          </c:val>
          <c:smooth val="0"/>
          <c:extLst>
            <c:ext xmlns:c16="http://schemas.microsoft.com/office/drawing/2014/chart" uri="{C3380CC4-5D6E-409C-BE32-E72D297353CC}">
              <c16:uniqueId val="{00000005-572F-4128-806C-E5C6634C95FD}"/>
            </c:ext>
          </c:extLst>
        </c:ser>
        <c:ser>
          <c:idx val="0"/>
          <c:order val="6"/>
          <c:tx>
            <c:strRef>
              <c:f>'[Fiji Scenario Analysis 070420 new.xlsx]GINI'!$H$1</c:f>
              <c:strCache>
                <c:ptCount val="1"/>
                <c:pt idx="0">
                  <c:v>6. ST_SDG</c:v>
                </c:pt>
              </c:strCache>
            </c:strRef>
          </c:tx>
          <c:spPr>
            <a:ln w="12700" cap="rnd">
              <a:solidFill>
                <a:srgbClr val="4472C4"/>
              </a:solidFill>
              <a:prstDash val="sysDash"/>
              <a:round/>
            </a:ln>
            <a:effectLst/>
          </c:spPr>
          <c:marker>
            <c:symbol val="none"/>
          </c:marker>
          <c:cat>
            <c:numRef>
              <c:f>'[Fiji Scenario Analysis 070420 new.xlsx]GINI'!$A$27:$A$43</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new.xlsx]GINI'!$H$27:$H$43</c:f>
              <c:numCache>
                <c:formatCode>General</c:formatCode>
                <c:ptCount val="17"/>
                <c:pt idx="0">
                  <c:v>0.36743996803099999</c:v>
                </c:pt>
                <c:pt idx="1">
                  <c:v>0.36275298715499998</c:v>
                </c:pt>
                <c:pt idx="2">
                  <c:v>0.35792264757600001</c:v>
                </c:pt>
                <c:pt idx="3">
                  <c:v>0.35320215488700002</c:v>
                </c:pt>
                <c:pt idx="4">
                  <c:v>0.34912758034899999</c:v>
                </c:pt>
                <c:pt idx="5">
                  <c:v>0.33397945154699998</c:v>
                </c:pt>
                <c:pt idx="6">
                  <c:v>0.28978374910100002</c:v>
                </c:pt>
                <c:pt idx="7">
                  <c:v>0.27484720124399997</c:v>
                </c:pt>
                <c:pt idx="8">
                  <c:v>0.27016742439000002</c:v>
                </c:pt>
                <c:pt idx="9">
                  <c:v>0.26551995175900001</c:v>
                </c:pt>
                <c:pt idx="10">
                  <c:v>0.26077989285199998</c:v>
                </c:pt>
                <c:pt idx="11">
                  <c:v>0.25585676336500002</c:v>
                </c:pt>
                <c:pt idx="12">
                  <c:v>0.25327915867400003</c:v>
                </c:pt>
                <c:pt idx="13">
                  <c:v>0.25009573825800002</c:v>
                </c:pt>
                <c:pt idx="14">
                  <c:v>0.24687144308100001</c:v>
                </c:pt>
                <c:pt idx="15">
                  <c:v>0.24375067369100001</c:v>
                </c:pt>
                <c:pt idx="16">
                  <c:v>0.24074151909300001</c:v>
                </c:pt>
              </c:numCache>
            </c:numRef>
          </c:val>
          <c:smooth val="0"/>
          <c:extLst>
            <c:ext xmlns:c16="http://schemas.microsoft.com/office/drawing/2014/chart" uri="{C3380CC4-5D6E-409C-BE32-E72D297353CC}">
              <c16:uniqueId val="{00000006-572F-4128-806C-E5C6634C95FD}"/>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Gini Coefficient</a:t>
                </a:r>
              </a:p>
            </c:rich>
          </c:tx>
          <c:layout>
            <c:manualLayout>
              <c:xMode val="edge"/>
              <c:yMode val="edge"/>
              <c:x val="6.3062276928552118E-3"/>
              <c:y val="0.371932095550313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283864263159992E-2"/>
          <c:y val="1.7970371747376437E-2"/>
          <c:w val="0.90459810543986574"/>
          <c:h val="0.78430740740740745"/>
        </c:manualLayout>
      </c:layout>
      <c:lineChart>
        <c:grouping val="standard"/>
        <c:varyColors val="0"/>
        <c:ser>
          <c:idx val="6"/>
          <c:order val="0"/>
          <c:tx>
            <c:strRef>
              <c:f>'[Fiji Scenario Analysis 070420 new.xlsx]SCHOOL'!$B$2</c:f>
              <c:strCache>
                <c:ptCount val="1"/>
                <c:pt idx="0">
                  <c:v>BAU</c:v>
                </c:pt>
              </c:strCache>
            </c:strRef>
          </c:tx>
          <c:spPr>
            <a:ln w="12700" cap="rnd">
              <a:solidFill>
                <a:schemeClr val="accent4"/>
              </a:solidFill>
              <a:round/>
            </a:ln>
            <a:effectLst/>
          </c:spPr>
          <c:marker>
            <c:symbol val="none"/>
          </c:marker>
          <c:cat>
            <c:strRef>
              <c:f>'[Fiji Scenario Analysis 070420 new.xlsx]SCHOOL'!$A$28:$A$44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new.xlsx]SCHOOL'!$B$28:$B$44</c:f>
              <c:numCache>
                <c:formatCode>General</c:formatCode>
                <c:ptCount val="17"/>
                <c:pt idx="0">
                  <c:v>10.3305578544</c:v>
                </c:pt>
                <c:pt idx="1">
                  <c:v>10.373223728099999</c:v>
                </c:pt>
                <c:pt idx="2">
                  <c:v>10.4189322561</c:v>
                </c:pt>
                <c:pt idx="3">
                  <c:v>10.4683769344</c:v>
                </c:pt>
                <c:pt idx="4">
                  <c:v>10.5222372757</c:v>
                </c:pt>
                <c:pt idx="5">
                  <c:v>10.580929567</c:v>
                </c:pt>
                <c:pt idx="6">
                  <c:v>10.6443761124</c:v>
                </c:pt>
                <c:pt idx="7">
                  <c:v>10.711638942800001</c:v>
                </c:pt>
                <c:pt idx="8">
                  <c:v>10.7806402201</c:v>
                </c:pt>
                <c:pt idx="9">
                  <c:v>10.8501040441</c:v>
                </c:pt>
                <c:pt idx="10">
                  <c:v>10.9195206192</c:v>
                </c:pt>
                <c:pt idx="11">
                  <c:v>10.9888637744</c:v>
                </c:pt>
                <c:pt idx="12">
                  <c:v>11.058084471400001</c:v>
                </c:pt>
                <c:pt idx="13">
                  <c:v>11.126982310000001</c:v>
                </c:pt>
                <c:pt idx="14">
                  <c:v>11.195092709000001</c:v>
                </c:pt>
                <c:pt idx="15">
                  <c:v>11.2621097688</c:v>
                </c:pt>
                <c:pt idx="16">
                  <c:v>11.327706537499999</c:v>
                </c:pt>
              </c:numCache>
            </c:numRef>
          </c:val>
          <c:smooth val="0"/>
          <c:extLst>
            <c:ext xmlns:c16="http://schemas.microsoft.com/office/drawing/2014/chart" uri="{C3380CC4-5D6E-409C-BE32-E72D297353CC}">
              <c16:uniqueId val="{00000000-93FE-4EFC-904E-53CDCEE40D23}"/>
            </c:ext>
          </c:extLst>
        </c:ser>
        <c:ser>
          <c:idx val="5"/>
          <c:order val="1"/>
          <c:tx>
            <c:strRef>
              <c:f>'[Fiji Scenario Analysis 070420 new.xlsx]SCHOOL'!$C$2</c:f>
              <c:strCache>
                <c:ptCount val="1"/>
                <c:pt idx="0">
                  <c:v>1. GAC</c:v>
                </c:pt>
              </c:strCache>
            </c:strRef>
          </c:tx>
          <c:spPr>
            <a:ln w="12700" cap="rnd">
              <a:solidFill>
                <a:srgbClr val="FF0000"/>
              </a:solidFill>
              <a:round/>
            </a:ln>
            <a:effectLst/>
          </c:spPr>
          <c:marker>
            <c:symbol val="none"/>
          </c:marker>
          <c:cat>
            <c:strRef>
              <c:f>'[Fiji Scenario Analysis 070420 new.xlsx]SCHOOL'!$A$28:$A$44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new.xlsx]SCHOOL'!$C$28:$C$44</c:f>
              <c:numCache>
                <c:formatCode>General</c:formatCode>
                <c:ptCount val="17"/>
                <c:pt idx="0">
                  <c:v>10.3305578544</c:v>
                </c:pt>
                <c:pt idx="1">
                  <c:v>10.373223728099999</c:v>
                </c:pt>
                <c:pt idx="2">
                  <c:v>10.4189322561</c:v>
                </c:pt>
                <c:pt idx="3">
                  <c:v>10.4683769344</c:v>
                </c:pt>
                <c:pt idx="4">
                  <c:v>10.5222372757</c:v>
                </c:pt>
                <c:pt idx="5">
                  <c:v>10.580929567</c:v>
                </c:pt>
                <c:pt idx="6">
                  <c:v>10.644522355299999</c:v>
                </c:pt>
                <c:pt idx="7">
                  <c:v>10.7115135602</c:v>
                </c:pt>
                <c:pt idx="8">
                  <c:v>10.7786529564</c:v>
                </c:pt>
                <c:pt idx="9">
                  <c:v>10.844203891699999</c:v>
                </c:pt>
                <c:pt idx="10">
                  <c:v>10.9074814159</c:v>
                </c:pt>
                <c:pt idx="11">
                  <c:v>10.9686285241</c:v>
                </c:pt>
                <c:pt idx="12">
                  <c:v>11.028136825700001</c:v>
                </c:pt>
                <c:pt idx="13">
                  <c:v>11.0864050919</c:v>
                </c:pt>
                <c:pt idx="14">
                  <c:v>11.1435343161</c:v>
                </c:pt>
                <c:pt idx="15">
                  <c:v>11.199592237599999</c:v>
                </c:pt>
                <c:pt idx="16">
                  <c:v>11.2544668249</c:v>
                </c:pt>
              </c:numCache>
            </c:numRef>
          </c:val>
          <c:smooth val="0"/>
          <c:extLst>
            <c:ext xmlns:c16="http://schemas.microsoft.com/office/drawing/2014/chart" uri="{C3380CC4-5D6E-409C-BE32-E72D297353CC}">
              <c16:uniqueId val="{00000001-93FE-4EFC-904E-53CDCEE40D23}"/>
            </c:ext>
          </c:extLst>
        </c:ser>
        <c:ser>
          <c:idx val="4"/>
          <c:order val="2"/>
          <c:tx>
            <c:strRef>
              <c:f>'[Fiji Scenario Analysis 070420 new.xlsx]SCHOOL'!$D$2</c:f>
              <c:strCache>
                <c:ptCount val="1"/>
                <c:pt idx="0">
                  <c:v>2. GE</c:v>
                </c:pt>
              </c:strCache>
            </c:strRef>
          </c:tx>
          <c:spPr>
            <a:ln w="12700" cap="rnd">
              <a:solidFill>
                <a:srgbClr val="92D050"/>
              </a:solidFill>
              <a:round/>
            </a:ln>
            <a:effectLst/>
          </c:spPr>
          <c:marker>
            <c:symbol val="none"/>
          </c:marker>
          <c:cat>
            <c:strRef>
              <c:f>'[Fiji Scenario Analysis 070420 new.xlsx]SCHOOL'!$A$28:$A$44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new.xlsx]SCHOOL'!$D$28:$D$44</c:f>
              <c:numCache>
                <c:formatCode>General</c:formatCode>
                <c:ptCount val="17"/>
                <c:pt idx="0">
                  <c:v>10.3305578544</c:v>
                </c:pt>
                <c:pt idx="1">
                  <c:v>10.373223728099999</c:v>
                </c:pt>
                <c:pt idx="2">
                  <c:v>10.4189322561</c:v>
                </c:pt>
                <c:pt idx="3">
                  <c:v>10.4683769344</c:v>
                </c:pt>
                <c:pt idx="4">
                  <c:v>10.5222372757</c:v>
                </c:pt>
                <c:pt idx="5">
                  <c:v>10.580929567</c:v>
                </c:pt>
                <c:pt idx="6">
                  <c:v>10.644042486</c:v>
                </c:pt>
                <c:pt idx="7">
                  <c:v>10.7084575637</c:v>
                </c:pt>
                <c:pt idx="8">
                  <c:v>10.7727564434</c:v>
                </c:pt>
                <c:pt idx="9">
                  <c:v>10.8373853034</c:v>
                </c:pt>
                <c:pt idx="10">
                  <c:v>10.90225541</c:v>
                </c:pt>
                <c:pt idx="11">
                  <c:v>10.96732868</c:v>
                </c:pt>
                <c:pt idx="12">
                  <c:v>11.032553116000001</c:v>
                </c:pt>
                <c:pt idx="13">
                  <c:v>11.097802566</c:v>
                </c:pt>
                <c:pt idx="14">
                  <c:v>11.1627767017</c:v>
                </c:pt>
                <c:pt idx="15">
                  <c:v>11.227267734</c:v>
                </c:pt>
                <c:pt idx="16">
                  <c:v>11.290876534400001</c:v>
                </c:pt>
              </c:numCache>
            </c:numRef>
          </c:val>
          <c:smooth val="0"/>
          <c:extLst>
            <c:ext xmlns:c16="http://schemas.microsoft.com/office/drawing/2014/chart" uri="{C3380CC4-5D6E-409C-BE32-E72D297353CC}">
              <c16:uniqueId val="{00000002-93FE-4EFC-904E-53CDCEE40D23}"/>
            </c:ext>
          </c:extLst>
        </c:ser>
        <c:ser>
          <c:idx val="3"/>
          <c:order val="3"/>
          <c:tx>
            <c:strRef>
              <c:f>'[Fiji Scenario Analysis 070420 new.xlsx]SCHOOL'!$E$2</c:f>
              <c:strCache>
                <c:ptCount val="1"/>
                <c:pt idx="0">
                  <c:v>3. IG</c:v>
                </c:pt>
              </c:strCache>
            </c:strRef>
          </c:tx>
          <c:spPr>
            <a:ln w="12700" cap="rnd">
              <a:solidFill>
                <a:srgbClr val="00B0F0"/>
              </a:solidFill>
              <a:round/>
            </a:ln>
            <a:effectLst/>
          </c:spPr>
          <c:marker>
            <c:symbol val="none"/>
          </c:marker>
          <c:cat>
            <c:strRef>
              <c:f>'[Fiji Scenario Analysis 070420 new.xlsx]SCHOOL'!$A$28:$A$44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new.xlsx]SCHOOL'!$E$28:$E$44</c:f>
              <c:numCache>
                <c:formatCode>General</c:formatCode>
                <c:ptCount val="17"/>
                <c:pt idx="0">
                  <c:v>10.3305578544</c:v>
                </c:pt>
                <c:pt idx="1">
                  <c:v>10.373223728099999</c:v>
                </c:pt>
                <c:pt idx="2">
                  <c:v>10.4189322561</c:v>
                </c:pt>
                <c:pt idx="3">
                  <c:v>10.4683769344</c:v>
                </c:pt>
                <c:pt idx="4">
                  <c:v>10.5222372757</c:v>
                </c:pt>
                <c:pt idx="5">
                  <c:v>10.580929567</c:v>
                </c:pt>
                <c:pt idx="6">
                  <c:v>10.6445402016</c:v>
                </c:pt>
                <c:pt idx="7">
                  <c:v>10.7132199167</c:v>
                </c:pt>
                <c:pt idx="8">
                  <c:v>10.78604129</c:v>
                </c:pt>
                <c:pt idx="9">
                  <c:v>10.8620416261</c:v>
                </c:pt>
                <c:pt idx="10">
                  <c:v>10.9401615857</c:v>
                </c:pt>
                <c:pt idx="11">
                  <c:v>11.019732360300001</c:v>
                </c:pt>
                <c:pt idx="12">
                  <c:v>11.100232800900001</c:v>
                </c:pt>
                <c:pt idx="13">
                  <c:v>11.1811910169</c:v>
                </c:pt>
                <c:pt idx="14">
                  <c:v>11.2620122756</c:v>
                </c:pt>
                <c:pt idx="15">
                  <c:v>11.342341317900001</c:v>
                </c:pt>
                <c:pt idx="16">
                  <c:v>11.421846031799999</c:v>
                </c:pt>
              </c:numCache>
            </c:numRef>
          </c:val>
          <c:smooth val="0"/>
          <c:extLst>
            <c:ext xmlns:c16="http://schemas.microsoft.com/office/drawing/2014/chart" uri="{C3380CC4-5D6E-409C-BE32-E72D297353CC}">
              <c16:uniqueId val="{00000003-93FE-4EFC-904E-53CDCEE40D23}"/>
            </c:ext>
          </c:extLst>
        </c:ser>
        <c:ser>
          <c:idx val="2"/>
          <c:order val="4"/>
          <c:tx>
            <c:strRef>
              <c:f>'[Fiji Scenario Analysis 070420 new.xlsx]SCHOOL'!$F$2</c:f>
              <c:strCache>
                <c:ptCount val="1"/>
                <c:pt idx="0">
                  <c:v>4. ST</c:v>
                </c:pt>
              </c:strCache>
            </c:strRef>
          </c:tx>
          <c:spPr>
            <a:ln w="12700" cap="rnd">
              <a:solidFill>
                <a:srgbClr val="008080"/>
              </a:solidFill>
              <a:round/>
            </a:ln>
            <a:effectLst/>
          </c:spPr>
          <c:marker>
            <c:symbol val="none"/>
          </c:marker>
          <c:cat>
            <c:strRef>
              <c:f>'[Fiji Scenario Analysis 070420 new.xlsx]SCHOOL'!$A$28:$A$44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new.xlsx]SCHOOL'!$F$28:$F$44</c:f>
              <c:numCache>
                <c:formatCode>General</c:formatCode>
                <c:ptCount val="17"/>
                <c:pt idx="0">
                  <c:v>10.3305578544</c:v>
                </c:pt>
                <c:pt idx="1">
                  <c:v>10.373223728099999</c:v>
                </c:pt>
                <c:pt idx="2">
                  <c:v>10.4189322561</c:v>
                </c:pt>
                <c:pt idx="3">
                  <c:v>10.4683769344</c:v>
                </c:pt>
                <c:pt idx="4">
                  <c:v>10.5222372757</c:v>
                </c:pt>
                <c:pt idx="5">
                  <c:v>10.580929567</c:v>
                </c:pt>
                <c:pt idx="6">
                  <c:v>10.644126745499999</c:v>
                </c:pt>
                <c:pt idx="7">
                  <c:v>10.709881912</c:v>
                </c:pt>
                <c:pt idx="8">
                  <c:v>10.779212894200001</c:v>
                </c:pt>
                <c:pt idx="9">
                  <c:v>10.851403250600001</c:v>
                </c:pt>
                <c:pt idx="10">
                  <c:v>10.925712645799999</c:v>
                </c:pt>
                <c:pt idx="11">
                  <c:v>11.0017918326</c:v>
                </c:pt>
                <c:pt idx="12">
                  <c:v>11.079183608199999</c:v>
                </c:pt>
                <c:pt idx="13">
                  <c:v>11.1573715807</c:v>
                </c:pt>
                <c:pt idx="14">
                  <c:v>11.235715684300001</c:v>
                </c:pt>
                <c:pt idx="15">
                  <c:v>11.3138385496</c:v>
                </c:pt>
                <c:pt idx="16">
                  <c:v>11.3913868264</c:v>
                </c:pt>
              </c:numCache>
            </c:numRef>
          </c:val>
          <c:smooth val="0"/>
          <c:extLst>
            <c:ext xmlns:c16="http://schemas.microsoft.com/office/drawing/2014/chart" uri="{C3380CC4-5D6E-409C-BE32-E72D297353CC}">
              <c16:uniqueId val="{00000004-93FE-4EFC-904E-53CDCEE40D23}"/>
            </c:ext>
          </c:extLst>
        </c:ser>
        <c:ser>
          <c:idx val="1"/>
          <c:order val="5"/>
          <c:tx>
            <c:strRef>
              <c:f>'[Fiji Scenario Analysis 070420 new.xlsx]SCHOOL'!$G$2</c:f>
              <c:strCache>
                <c:ptCount val="1"/>
                <c:pt idx="0">
                  <c:v>5. ST_CLIMATE</c:v>
                </c:pt>
              </c:strCache>
            </c:strRef>
          </c:tx>
          <c:spPr>
            <a:ln w="12700" cap="rnd">
              <a:solidFill>
                <a:schemeClr val="accent2"/>
              </a:solidFill>
              <a:prstDash val="dash"/>
              <a:round/>
            </a:ln>
            <a:effectLst/>
          </c:spPr>
          <c:marker>
            <c:symbol val="none"/>
          </c:marker>
          <c:cat>
            <c:strRef>
              <c:f>'[Fiji Scenario Analysis 070420 new.xlsx]SCHOOL'!$A$28:$A$44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new.xlsx]SCHOOL'!$G$28:$G$44</c:f>
              <c:numCache>
                <c:formatCode>General</c:formatCode>
                <c:ptCount val="17"/>
                <c:pt idx="0">
                  <c:v>10.3305578544</c:v>
                </c:pt>
                <c:pt idx="1">
                  <c:v>10.373223728099999</c:v>
                </c:pt>
                <c:pt idx="2">
                  <c:v>10.4189322561</c:v>
                </c:pt>
                <c:pt idx="3">
                  <c:v>10.4683769344</c:v>
                </c:pt>
                <c:pt idx="4">
                  <c:v>10.5222372757</c:v>
                </c:pt>
                <c:pt idx="5">
                  <c:v>10.580929567</c:v>
                </c:pt>
                <c:pt idx="6">
                  <c:v>10.6441207141</c:v>
                </c:pt>
                <c:pt idx="7">
                  <c:v>10.711111730300001</c:v>
                </c:pt>
                <c:pt idx="8">
                  <c:v>10.781353066799999</c:v>
                </c:pt>
                <c:pt idx="9">
                  <c:v>10.853940296999999</c:v>
                </c:pt>
                <c:pt idx="10">
                  <c:v>10.9283236752</c:v>
                </c:pt>
                <c:pt idx="11">
                  <c:v>11.004305732000001</c:v>
                </c:pt>
                <c:pt idx="12">
                  <c:v>11.081524140799999</c:v>
                </c:pt>
                <c:pt idx="13">
                  <c:v>11.159478651900001</c:v>
                </c:pt>
                <c:pt idx="14">
                  <c:v>11.237521472599999</c:v>
                </c:pt>
                <c:pt idx="15">
                  <c:v>11.3152680263</c:v>
                </c:pt>
                <c:pt idx="16">
                  <c:v>11.392343882</c:v>
                </c:pt>
              </c:numCache>
            </c:numRef>
          </c:val>
          <c:smooth val="0"/>
          <c:extLst>
            <c:ext xmlns:c16="http://schemas.microsoft.com/office/drawing/2014/chart" uri="{C3380CC4-5D6E-409C-BE32-E72D297353CC}">
              <c16:uniqueId val="{00000005-93FE-4EFC-904E-53CDCEE40D23}"/>
            </c:ext>
          </c:extLst>
        </c:ser>
        <c:ser>
          <c:idx val="0"/>
          <c:order val="6"/>
          <c:tx>
            <c:strRef>
              <c:f>'[Fiji Scenario Analysis 070420 new.xlsx]SCHOOL'!$H$2</c:f>
              <c:strCache>
                <c:ptCount val="1"/>
                <c:pt idx="0">
                  <c:v>6. ST_SDG</c:v>
                </c:pt>
              </c:strCache>
            </c:strRef>
          </c:tx>
          <c:spPr>
            <a:ln w="12700" cap="rnd">
              <a:solidFill>
                <a:srgbClr val="4472C4"/>
              </a:solidFill>
              <a:prstDash val="sysDash"/>
              <a:round/>
            </a:ln>
            <a:effectLst/>
          </c:spPr>
          <c:marker>
            <c:symbol val="none"/>
          </c:marker>
          <c:cat>
            <c:strRef>
              <c:f>'[Fiji Scenario Analysis 070420 new.xlsx]SCHOOL'!$A$28:$A$44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new.xlsx]SCHOOL'!$H$28:$H$44</c:f>
              <c:numCache>
                <c:formatCode>General</c:formatCode>
                <c:ptCount val="17"/>
                <c:pt idx="0">
                  <c:v>10.3305578544</c:v>
                </c:pt>
                <c:pt idx="1">
                  <c:v>10.373223728099999</c:v>
                </c:pt>
                <c:pt idx="2">
                  <c:v>10.4189322561</c:v>
                </c:pt>
                <c:pt idx="3">
                  <c:v>10.4683769344</c:v>
                </c:pt>
                <c:pt idx="4">
                  <c:v>10.5222372757</c:v>
                </c:pt>
                <c:pt idx="5">
                  <c:v>10.580929567</c:v>
                </c:pt>
                <c:pt idx="6">
                  <c:v>10.644445515699999</c:v>
                </c:pt>
                <c:pt idx="7">
                  <c:v>10.714395379100001</c:v>
                </c:pt>
                <c:pt idx="8">
                  <c:v>10.792624054099999</c:v>
                </c:pt>
                <c:pt idx="9">
                  <c:v>10.8798565825</c:v>
                </c:pt>
                <c:pt idx="10">
                  <c:v>10.975702713</c:v>
                </c:pt>
                <c:pt idx="11">
                  <c:v>11.075771100100001</c:v>
                </c:pt>
                <c:pt idx="12">
                  <c:v>11.1768523861</c:v>
                </c:pt>
                <c:pt idx="13">
                  <c:v>11.2776127118</c:v>
                </c:pt>
                <c:pt idx="14">
                  <c:v>11.377084909300001</c:v>
                </c:pt>
                <c:pt idx="15">
                  <c:v>11.4747934706</c:v>
                </c:pt>
                <c:pt idx="16">
                  <c:v>11.5703619051</c:v>
                </c:pt>
              </c:numCache>
            </c:numRef>
          </c:val>
          <c:smooth val="0"/>
          <c:extLst>
            <c:ext xmlns:c16="http://schemas.microsoft.com/office/drawing/2014/chart" uri="{C3380CC4-5D6E-409C-BE32-E72D297353CC}">
              <c16:uniqueId val="{00000006-93FE-4EFC-904E-53CDCEE40D23}"/>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Average</a:t>
                </a:r>
                <a:r>
                  <a:rPr lang="en-AU" baseline="0"/>
                  <a:t> years of schooling</a:t>
                </a:r>
                <a:endParaRPr lang="en-AU"/>
              </a:p>
            </c:rich>
          </c:tx>
          <c:layout>
            <c:manualLayout>
              <c:xMode val="edge"/>
              <c:yMode val="edge"/>
              <c:x val="6.5118965159268677E-3"/>
              <c:y val="0.241897333755266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0.5"/>
      </c:valAx>
      <c:spPr>
        <a:noFill/>
        <a:ln>
          <a:noFill/>
        </a:ln>
        <a:effectLst/>
      </c:spPr>
    </c:plotArea>
    <c:legend>
      <c:legendPos val="b"/>
      <c:layout>
        <c:manualLayout>
          <c:xMode val="edge"/>
          <c:yMode val="edge"/>
          <c:x val="8.3161834884275823E-2"/>
          <c:y val="0.93205888179071961"/>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3508857400517"/>
          <c:y val="1.7970371747376437E-2"/>
          <c:w val="0.88554707880270478"/>
          <c:h val="0.80946450617283949"/>
        </c:manualLayout>
      </c:layout>
      <c:lineChart>
        <c:grouping val="standard"/>
        <c:varyColors val="0"/>
        <c:ser>
          <c:idx val="6"/>
          <c:order val="0"/>
          <c:tx>
            <c:strRef>
              <c:f>'[Fiji Scenario Analysis 070420 new.xlsx]LIFE'!$B$2</c:f>
              <c:strCache>
                <c:ptCount val="1"/>
                <c:pt idx="0">
                  <c:v>BAU</c:v>
                </c:pt>
              </c:strCache>
            </c:strRef>
          </c:tx>
          <c:spPr>
            <a:ln w="12700" cap="rnd">
              <a:solidFill>
                <a:schemeClr val="accent4"/>
              </a:solidFill>
              <a:round/>
            </a:ln>
            <a:effectLst/>
          </c:spPr>
          <c:marker>
            <c:symbol val="none"/>
          </c:marker>
          <c:cat>
            <c:numRef>
              <c:f>'[Fiji Scenario Analysis 070420 new.xlsx]LIFE'!$A$28:$A$44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new.xlsx]LIFE'!$B$28:$B$44</c:f>
              <c:numCache>
                <c:formatCode>General</c:formatCode>
                <c:ptCount val="17"/>
                <c:pt idx="0">
                  <c:v>66.757396049700006</c:v>
                </c:pt>
                <c:pt idx="1">
                  <c:v>66.810970651100007</c:v>
                </c:pt>
                <c:pt idx="2">
                  <c:v>66.854002348199998</c:v>
                </c:pt>
                <c:pt idx="3">
                  <c:v>66.915686123499995</c:v>
                </c:pt>
                <c:pt idx="4">
                  <c:v>66.975779841900007</c:v>
                </c:pt>
                <c:pt idx="5">
                  <c:v>66.9764006061</c:v>
                </c:pt>
                <c:pt idx="6">
                  <c:v>67.051873975800007</c:v>
                </c:pt>
                <c:pt idx="7">
                  <c:v>67.070065793799998</c:v>
                </c:pt>
                <c:pt idx="8">
                  <c:v>67.100651430799999</c:v>
                </c:pt>
                <c:pt idx="9">
                  <c:v>67.134363757599999</c:v>
                </c:pt>
                <c:pt idx="10">
                  <c:v>67.161402201599998</c:v>
                </c:pt>
                <c:pt idx="11">
                  <c:v>67.188898480299997</c:v>
                </c:pt>
                <c:pt idx="12">
                  <c:v>67.223216431799997</c:v>
                </c:pt>
                <c:pt idx="13">
                  <c:v>67.227876941299996</c:v>
                </c:pt>
                <c:pt idx="14">
                  <c:v>67.263550568300005</c:v>
                </c:pt>
                <c:pt idx="15">
                  <c:v>67.301885715200001</c:v>
                </c:pt>
                <c:pt idx="16">
                  <c:v>67.330490491500001</c:v>
                </c:pt>
              </c:numCache>
            </c:numRef>
          </c:val>
          <c:smooth val="0"/>
          <c:extLst>
            <c:ext xmlns:c16="http://schemas.microsoft.com/office/drawing/2014/chart" uri="{C3380CC4-5D6E-409C-BE32-E72D297353CC}">
              <c16:uniqueId val="{00000000-0A31-47EF-A796-7CEFE096AA83}"/>
            </c:ext>
          </c:extLst>
        </c:ser>
        <c:ser>
          <c:idx val="5"/>
          <c:order val="1"/>
          <c:tx>
            <c:strRef>
              <c:f>'[Fiji Scenario Analysis 070420 new.xlsx]LIFE'!$C$2</c:f>
              <c:strCache>
                <c:ptCount val="1"/>
                <c:pt idx="0">
                  <c:v>1. GAC</c:v>
                </c:pt>
              </c:strCache>
            </c:strRef>
          </c:tx>
          <c:spPr>
            <a:ln w="12700" cap="rnd">
              <a:solidFill>
                <a:srgbClr val="FF0000"/>
              </a:solidFill>
              <a:round/>
            </a:ln>
            <a:effectLst/>
          </c:spPr>
          <c:marker>
            <c:symbol val="none"/>
          </c:marker>
          <c:cat>
            <c:numRef>
              <c:f>'[Fiji Scenario Analysis 070420 new.xlsx]LIFE'!$A$28:$A$44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new.xlsx]LIFE'!$C$28:$C$44</c:f>
              <c:numCache>
                <c:formatCode>General</c:formatCode>
                <c:ptCount val="17"/>
                <c:pt idx="0">
                  <c:v>66.757396049700006</c:v>
                </c:pt>
                <c:pt idx="1">
                  <c:v>66.810970651100007</c:v>
                </c:pt>
                <c:pt idx="2">
                  <c:v>66.854002348199998</c:v>
                </c:pt>
                <c:pt idx="3">
                  <c:v>66.915686123499995</c:v>
                </c:pt>
                <c:pt idx="4">
                  <c:v>66.975779841900007</c:v>
                </c:pt>
                <c:pt idx="5">
                  <c:v>66.9764006061</c:v>
                </c:pt>
                <c:pt idx="6">
                  <c:v>67.029760226199997</c:v>
                </c:pt>
                <c:pt idx="7">
                  <c:v>67.021086139900007</c:v>
                </c:pt>
                <c:pt idx="8">
                  <c:v>67.021804302500001</c:v>
                </c:pt>
                <c:pt idx="9">
                  <c:v>67.021028407000003</c:v>
                </c:pt>
                <c:pt idx="10">
                  <c:v>67.0161402839</c:v>
                </c:pt>
                <c:pt idx="11">
                  <c:v>67.015847161600007</c:v>
                </c:pt>
                <c:pt idx="12">
                  <c:v>67.026501707199998</c:v>
                </c:pt>
                <c:pt idx="13">
                  <c:v>67.010434307099999</c:v>
                </c:pt>
                <c:pt idx="14">
                  <c:v>67.0276707883</c:v>
                </c:pt>
                <c:pt idx="15">
                  <c:v>67.029248975900003</c:v>
                </c:pt>
                <c:pt idx="16">
                  <c:v>67.043095364300001</c:v>
                </c:pt>
              </c:numCache>
            </c:numRef>
          </c:val>
          <c:smooth val="0"/>
          <c:extLst>
            <c:ext xmlns:c16="http://schemas.microsoft.com/office/drawing/2014/chart" uri="{C3380CC4-5D6E-409C-BE32-E72D297353CC}">
              <c16:uniqueId val="{00000001-0A31-47EF-A796-7CEFE096AA83}"/>
            </c:ext>
          </c:extLst>
        </c:ser>
        <c:ser>
          <c:idx val="4"/>
          <c:order val="2"/>
          <c:tx>
            <c:strRef>
              <c:f>'[Fiji Scenario Analysis 070420 new.xlsx]LIFE'!$D$2</c:f>
              <c:strCache>
                <c:ptCount val="1"/>
                <c:pt idx="0">
                  <c:v>2. GE</c:v>
                </c:pt>
              </c:strCache>
            </c:strRef>
          </c:tx>
          <c:spPr>
            <a:ln w="12700" cap="rnd">
              <a:solidFill>
                <a:srgbClr val="92D050"/>
              </a:solidFill>
              <a:round/>
            </a:ln>
            <a:effectLst/>
          </c:spPr>
          <c:marker>
            <c:symbol val="none"/>
          </c:marker>
          <c:cat>
            <c:numRef>
              <c:f>'[Fiji Scenario Analysis 070420 new.xlsx]LIFE'!$A$28:$A$44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new.xlsx]LIFE'!$D$28:$D$44</c:f>
              <c:numCache>
                <c:formatCode>General</c:formatCode>
                <c:ptCount val="17"/>
                <c:pt idx="0">
                  <c:v>66.757396049700006</c:v>
                </c:pt>
                <c:pt idx="1">
                  <c:v>66.810970651100007</c:v>
                </c:pt>
                <c:pt idx="2">
                  <c:v>66.854002348199998</c:v>
                </c:pt>
                <c:pt idx="3">
                  <c:v>66.915686123499995</c:v>
                </c:pt>
                <c:pt idx="4">
                  <c:v>66.975779841900007</c:v>
                </c:pt>
                <c:pt idx="5">
                  <c:v>66.9764006061</c:v>
                </c:pt>
                <c:pt idx="6">
                  <c:v>67.033381752799997</c:v>
                </c:pt>
                <c:pt idx="7">
                  <c:v>67.043188784199998</c:v>
                </c:pt>
                <c:pt idx="8">
                  <c:v>67.066740012099999</c:v>
                </c:pt>
                <c:pt idx="9">
                  <c:v>67.092817835399998</c:v>
                </c:pt>
                <c:pt idx="10">
                  <c:v>67.116871987799996</c:v>
                </c:pt>
                <c:pt idx="11">
                  <c:v>67.142771169599996</c:v>
                </c:pt>
                <c:pt idx="12">
                  <c:v>67.170889686600006</c:v>
                </c:pt>
                <c:pt idx="13">
                  <c:v>67.192616686799994</c:v>
                </c:pt>
                <c:pt idx="14">
                  <c:v>67.221030875699995</c:v>
                </c:pt>
                <c:pt idx="15">
                  <c:v>67.248851506700007</c:v>
                </c:pt>
                <c:pt idx="16">
                  <c:v>67.274015300599999</c:v>
                </c:pt>
              </c:numCache>
            </c:numRef>
          </c:val>
          <c:smooth val="0"/>
          <c:extLst>
            <c:ext xmlns:c16="http://schemas.microsoft.com/office/drawing/2014/chart" uri="{C3380CC4-5D6E-409C-BE32-E72D297353CC}">
              <c16:uniqueId val="{00000002-0A31-47EF-A796-7CEFE096AA83}"/>
            </c:ext>
          </c:extLst>
        </c:ser>
        <c:ser>
          <c:idx val="3"/>
          <c:order val="3"/>
          <c:tx>
            <c:strRef>
              <c:f>'[Fiji Scenario Analysis 070420 new.xlsx]LIFE'!$E$2</c:f>
              <c:strCache>
                <c:ptCount val="1"/>
                <c:pt idx="0">
                  <c:v>3. IG</c:v>
                </c:pt>
              </c:strCache>
            </c:strRef>
          </c:tx>
          <c:spPr>
            <a:ln w="12700" cap="rnd">
              <a:solidFill>
                <a:srgbClr val="00B0F0"/>
              </a:solidFill>
              <a:round/>
            </a:ln>
            <a:effectLst/>
          </c:spPr>
          <c:marker>
            <c:symbol val="none"/>
          </c:marker>
          <c:cat>
            <c:numRef>
              <c:f>'[Fiji Scenario Analysis 070420 new.xlsx]LIFE'!$A$28:$A$44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new.xlsx]LIFE'!$E$28:$E$44</c:f>
              <c:numCache>
                <c:formatCode>General</c:formatCode>
                <c:ptCount val="17"/>
                <c:pt idx="0">
                  <c:v>66.757396049700006</c:v>
                </c:pt>
                <c:pt idx="1">
                  <c:v>66.810970651100007</c:v>
                </c:pt>
                <c:pt idx="2">
                  <c:v>66.854002348199998</c:v>
                </c:pt>
                <c:pt idx="3">
                  <c:v>66.915686123499995</c:v>
                </c:pt>
                <c:pt idx="4">
                  <c:v>66.975779841900007</c:v>
                </c:pt>
                <c:pt idx="5">
                  <c:v>66.9764006061</c:v>
                </c:pt>
                <c:pt idx="6">
                  <c:v>67.074660855000005</c:v>
                </c:pt>
                <c:pt idx="7">
                  <c:v>67.126944598999998</c:v>
                </c:pt>
                <c:pt idx="8">
                  <c:v>67.184150980400005</c:v>
                </c:pt>
                <c:pt idx="9">
                  <c:v>67.2389096645</c:v>
                </c:pt>
                <c:pt idx="10">
                  <c:v>67.281995715299999</c:v>
                </c:pt>
                <c:pt idx="11">
                  <c:v>67.323903688499996</c:v>
                </c:pt>
                <c:pt idx="12">
                  <c:v>67.370746615300007</c:v>
                </c:pt>
                <c:pt idx="13">
                  <c:v>67.385947177399999</c:v>
                </c:pt>
                <c:pt idx="14">
                  <c:v>67.431128854299999</c:v>
                </c:pt>
                <c:pt idx="15">
                  <c:v>67.457221826400001</c:v>
                </c:pt>
                <c:pt idx="16">
                  <c:v>67.491588534000002</c:v>
                </c:pt>
              </c:numCache>
            </c:numRef>
          </c:val>
          <c:smooth val="0"/>
          <c:extLst>
            <c:ext xmlns:c16="http://schemas.microsoft.com/office/drawing/2014/chart" uri="{C3380CC4-5D6E-409C-BE32-E72D297353CC}">
              <c16:uniqueId val="{00000003-0A31-47EF-A796-7CEFE096AA83}"/>
            </c:ext>
          </c:extLst>
        </c:ser>
        <c:ser>
          <c:idx val="2"/>
          <c:order val="4"/>
          <c:tx>
            <c:strRef>
              <c:f>'[Fiji Scenario Analysis 070420 new.xlsx]LIFE'!$F$2</c:f>
              <c:strCache>
                <c:ptCount val="1"/>
                <c:pt idx="0">
                  <c:v>4. ST</c:v>
                </c:pt>
              </c:strCache>
            </c:strRef>
          </c:tx>
          <c:spPr>
            <a:ln w="12700" cap="rnd">
              <a:solidFill>
                <a:srgbClr val="008080"/>
              </a:solidFill>
              <a:round/>
            </a:ln>
            <a:effectLst/>
          </c:spPr>
          <c:marker>
            <c:symbol val="none"/>
          </c:marker>
          <c:cat>
            <c:numRef>
              <c:f>'[Fiji Scenario Analysis 070420 new.xlsx]LIFE'!$A$28:$A$44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new.xlsx]LIFE'!$F$28:$F$44</c:f>
              <c:numCache>
                <c:formatCode>General</c:formatCode>
                <c:ptCount val="17"/>
                <c:pt idx="0">
                  <c:v>66.757396049700006</c:v>
                </c:pt>
                <c:pt idx="1">
                  <c:v>66.810970651100007</c:v>
                </c:pt>
                <c:pt idx="2">
                  <c:v>66.854002348199998</c:v>
                </c:pt>
                <c:pt idx="3">
                  <c:v>66.915686123499995</c:v>
                </c:pt>
                <c:pt idx="4">
                  <c:v>66.975779841900007</c:v>
                </c:pt>
                <c:pt idx="5">
                  <c:v>66.9764006061</c:v>
                </c:pt>
                <c:pt idx="6">
                  <c:v>67.066227983800005</c:v>
                </c:pt>
                <c:pt idx="7">
                  <c:v>67.112166102499998</c:v>
                </c:pt>
                <c:pt idx="8">
                  <c:v>67.171265100100001</c:v>
                </c:pt>
                <c:pt idx="9">
                  <c:v>67.231930379399998</c:v>
                </c:pt>
                <c:pt idx="10">
                  <c:v>67.284116085500003</c:v>
                </c:pt>
                <c:pt idx="11">
                  <c:v>67.333446155999994</c:v>
                </c:pt>
                <c:pt idx="12">
                  <c:v>67.382011376500003</c:v>
                </c:pt>
                <c:pt idx="13">
                  <c:v>67.4208905741</c:v>
                </c:pt>
                <c:pt idx="14">
                  <c:v>67.464821631600003</c:v>
                </c:pt>
                <c:pt idx="15">
                  <c:v>67.506408732400004</c:v>
                </c:pt>
                <c:pt idx="16">
                  <c:v>67.542234797099994</c:v>
                </c:pt>
              </c:numCache>
            </c:numRef>
          </c:val>
          <c:smooth val="0"/>
          <c:extLst>
            <c:ext xmlns:c16="http://schemas.microsoft.com/office/drawing/2014/chart" uri="{C3380CC4-5D6E-409C-BE32-E72D297353CC}">
              <c16:uniqueId val="{00000004-0A31-47EF-A796-7CEFE096AA83}"/>
            </c:ext>
          </c:extLst>
        </c:ser>
        <c:ser>
          <c:idx val="1"/>
          <c:order val="5"/>
          <c:tx>
            <c:strRef>
              <c:f>'[Fiji Scenario Analysis 070420 new.xlsx]LIFE'!$G$2</c:f>
              <c:strCache>
                <c:ptCount val="1"/>
                <c:pt idx="0">
                  <c:v>5. ST_CLIMATE</c:v>
                </c:pt>
              </c:strCache>
            </c:strRef>
          </c:tx>
          <c:spPr>
            <a:ln w="12700" cap="rnd">
              <a:solidFill>
                <a:schemeClr val="accent2"/>
              </a:solidFill>
              <a:prstDash val="dash"/>
              <a:round/>
            </a:ln>
            <a:effectLst/>
          </c:spPr>
          <c:marker>
            <c:symbol val="none"/>
          </c:marker>
          <c:cat>
            <c:numRef>
              <c:f>'[Fiji Scenario Analysis 070420 new.xlsx]LIFE'!$A$28:$A$44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new.xlsx]LIFE'!$G$28:$G$44</c:f>
              <c:numCache>
                <c:formatCode>General</c:formatCode>
                <c:ptCount val="17"/>
                <c:pt idx="0">
                  <c:v>66.757396049700006</c:v>
                </c:pt>
                <c:pt idx="1">
                  <c:v>66.810970651100007</c:v>
                </c:pt>
                <c:pt idx="2">
                  <c:v>66.854002348199998</c:v>
                </c:pt>
                <c:pt idx="3">
                  <c:v>66.915686123499995</c:v>
                </c:pt>
                <c:pt idx="4">
                  <c:v>66.975779841900007</c:v>
                </c:pt>
                <c:pt idx="5">
                  <c:v>66.9764006061</c:v>
                </c:pt>
                <c:pt idx="6">
                  <c:v>67.066512426299994</c:v>
                </c:pt>
                <c:pt idx="7">
                  <c:v>67.112726793500002</c:v>
                </c:pt>
                <c:pt idx="8">
                  <c:v>67.1729032426</c:v>
                </c:pt>
                <c:pt idx="9">
                  <c:v>67.234686354100006</c:v>
                </c:pt>
                <c:pt idx="10">
                  <c:v>67.289179094999994</c:v>
                </c:pt>
                <c:pt idx="11">
                  <c:v>67.339501675299999</c:v>
                </c:pt>
                <c:pt idx="12">
                  <c:v>67.3881510744</c:v>
                </c:pt>
                <c:pt idx="13">
                  <c:v>67.427464278100004</c:v>
                </c:pt>
                <c:pt idx="14">
                  <c:v>67.471072127300005</c:v>
                </c:pt>
                <c:pt idx="15">
                  <c:v>67.512149368500005</c:v>
                </c:pt>
                <c:pt idx="16">
                  <c:v>67.547759372100003</c:v>
                </c:pt>
              </c:numCache>
            </c:numRef>
          </c:val>
          <c:smooth val="0"/>
          <c:extLst>
            <c:ext xmlns:c16="http://schemas.microsoft.com/office/drawing/2014/chart" uri="{C3380CC4-5D6E-409C-BE32-E72D297353CC}">
              <c16:uniqueId val="{00000005-0A31-47EF-A796-7CEFE096AA83}"/>
            </c:ext>
          </c:extLst>
        </c:ser>
        <c:ser>
          <c:idx val="0"/>
          <c:order val="6"/>
          <c:tx>
            <c:strRef>
              <c:f>'[Fiji Scenario Analysis 070420 new.xlsx]LIFE'!$H$2</c:f>
              <c:strCache>
                <c:ptCount val="1"/>
                <c:pt idx="0">
                  <c:v>6. ST_SDG</c:v>
                </c:pt>
              </c:strCache>
            </c:strRef>
          </c:tx>
          <c:spPr>
            <a:ln w="12700" cap="rnd">
              <a:solidFill>
                <a:schemeClr val="accent5"/>
              </a:solidFill>
              <a:prstDash val="dash"/>
              <a:round/>
            </a:ln>
            <a:effectLst/>
          </c:spPr>
          <c:marker>
            <c:symbol val="none"/>
          </c:marker>
          <c:cat>
            <c:numRef>
              <c:f>'[Fiji Scenario Analysis 070420 new.xlsx]LIFE'!$A$28:$A$44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new.xlsx]LIFE'!$H$28:$H$44</c:f>
              <c:numCache>
                <c:formatCode>General</c:formatCode>
                <c:ptCount val="17"/>
                <c:pt idx="0">
                  <c:v>66.757396049700006</c:v>
                </c:pt>
                <c:pt idx="1">
                  <c:v>66.810970651100007</c:v>
                </c:pt>
                <c:pt idx="2">
                  <c:v>66.854002348199998</c:v>
                </c:pt>
                <c:pt idx="3">
                  <c:v>66.915686123499995</c:v>
                </c:pt>
                <c:pt idx="4">
                  <c:v>66.975779841900007</c:v>
                </c:pt>
                <c:pt idx="5">
                  <c:v>66.9764006061</c:v>
                </c:pt>
                <c:pt idx="6">
                  <c:v>67.101850195699996</c:v>
                </c:pt>
                <c:pt idx="7">
                  <c:v>67.190817899699994</c:v>
                </c:pt>
                <c:pt idx="8">
                  <c:v>67.293424159400004</c:v>
                </c:pt>
                <c:pt idx="9">
                  <c:v>67.396508929500001</c:v>
                </c:pt>
                <c:pt idx="10">
                  <c:v>67.495186947799994</c:v>
                </c:pt>
                <c:pt idx="11">
                  <c:v>67.592573378099999</c:v>
                </c:pt>
                <c:pt idx="12">
                  <c:v>67.686400042200006</c:v>
                </c:pt>
                <c:pt idx="13">
                  <c:v>67.760824484300002</c:v>
                </c:pt>
                <c:pt idx="14">
                  <c:v>67.828188607000001</c:v>
                </c:pt>
                <c:pt idx="15">
                  <c:v>67.886244454600003</c:v>
                </c:pt>
                <c:pt idx="16">
                  <c:v>67.932996215599999</c:v>
                </c:pt>
              </c:numCache>
            </c:numRef>
          </c:val>
          <c:smooth val="0"/>
          <c:extLst>
            <c:ext xmlns:c16="http://schemas.microsoft.com/office/drawing/2014/chart" uri="{C3380CC4-5D6E-409C-BE32-E72D297353CC}">
              <c16:uniqueId val="{00000006-0A31-47EF-A796-7CEFE096AA83}"/>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ax val="70"/>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Average Life Expectancy (years)</a:t>
                </a:r>
              </a:p>
            </c:rich>
          </c:tx>
          <c:layout>
            <c:manualLayout>
              <c:xMode val="edge"/>
              <c:yMode val="edge"/>
              <c:x val="1.2825067041669648E-2"/>
              <c:y val="0.2121077798766840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0.5"/>
      </c:valAx>
      <c:spPr>
        <a:noFill/>
        <a:ln>
          <a:noFill/>
        </a:ln>
        <a:effectLst/>
      </c:spPr>
    </c:plotArea>
    <c:legend>
      <c:legendPos val="b"/>
      <c:layout>
        <c:manualLayout>
          <c:xMode val="edge"/>
          <c:yMode val="edge"/>
          <c:x val="3.8885866539409848E-2"/>
          <c:y val="0.94149292077926883"/>
          <c:w val="0.94848484848484849"/>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65176893049017E-2"/>
          <c:y val="1.7034568271744367E-2"/>
          <c:w val="0.88090950144815339"/>
          <c:h val="0.8114471994192215"/>
        </c:manualLayout>
      </c:layout>
      <c:lineChart>
        <c:grouping val="standard"/>
        <c:varyColors val="0"/>
        <c:ser>
          <c:idx val="1"/>
          <c:order val="0"/>
          <c:tx>
            <c:strRef>
              <c:f>'[Fiji Scenario Analysis.xlsx]GHG2'!$B$2</c:f>
              <c:strCache>
                <c:ptCount val="1"/>
                <c:pt idx="0">
                  <c:v>BAU</c:v>
                </c:pt>
              </c:strCache>
            </c:strRef>
          </c:tx>
          <c:spPr>
            <a:ln w="12700" cap="rnd">
              <a:solidFill>
                <a:srgbClr val="FFC000"/>
              </a:solidFill>
              <a:round/>
            </a:ln>
            <a:effectLst/>
          </c:spPr>
          <c:marker>
            <c:symbol val="none"/>
          </c:marker>
          <c:cat>
            <c:strRef>
              <c:f>'[Fiji Scenario Analysis.xlsx]GHG2'!$A$28:$A$44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Analysis.xlsx]GHG2'!$B$28:$B$44</c:f>
              <c:numCache>
                <c:formatCode>General</c:formatCode>
                <c:ptCount val="17"/>
                <c:pt idx="0">
                  <c:v>2.3173329628700001</c:v>
                </c:pt>
                <c:pt idx="1">
                  <c:v>2.2969253995300001</c:v>
                </c:pt>
                <c:pt idx="2">
                  <c:v>2.2816996937899998</c:v>
                </c:pt>
                <c:pt idx="3">
                  <c:v>2.2821183456799998</c:v>
                </c:pt>
                <c:pt idx="4">
                  <c:v>2.2912892596600001</c:v>
                </c:pt>
                <c:pt idx="5">
                  <c:v>2.3003685733699997</c:v>
                </c:pt>
                <c:pt idx="6">
                  <c:v>2.3085407981500001</c:v>
                </c:pt>
                <c:pt idx="7">
                  <c:v>2.3201064716500004</c:v>
                </c:pt>
                <c:pt idx="8">
                  <c:v>2.3305972292399999</c:v>
                </c:pt>
                <c:pt idx="9">
                  <c:v>2.34185982748</c:v>
                </c:pt>
                <c:pt idx="10">
                  <c:v>2.3628944127400002</c:v>
                </c:pt>
                <c:pt idx="11">
                  <c:v>2.4140751300200001</c:v>
                </c:pt>
                <c:pt idx="12">
                  <c:v>2.4841117929799998</c:v>
                </c:pt>
                <c:pt idx="13">
                  <c:v>2.5442865744400001</c:v>
                </c:pt>
                <c:pt idx="14">
                  <c:v>2.5863584204000003</c:v>
                </c:pt>
                <c:pt idx="15">
                  <c:v>2.6213864606200001</c:v>
                </c:pt>
                <c:pt idx="16">
                  <c:v>2.6601786812600001</c:v>
                </c:pt>
              </c:numCache>
            </c:numRef>
          </c:val>
          <c:smooth val="0"/>
          <c:extLst>
            <c:ext xmlns:c16="http://schemas.microsoft.com/office/drawing/2014/chart" uri="{C3380CC4-5D6E-409C-BE32-E72D297353CC}">
              <c16:uniqueId val="{00000000-C114-49F4-85D1-E373F8183135}"/>
            </c:ext>
          </c:extLst>
        </c:ser>
        <c:ser>
          <c:idx val="2"/>
          <c:order val="1"/>
          <c:tx>
            <c:strRef>
              <c:f>'[Fiji Scenario Analysis.xlsx]GHG2'!$C$2</c:f>
              <c:strCache>
                <c:ptCount val="1"/>
                <c:pt idx="0">
                  <c:v>1. GAC</c:v>
                </c:pt>
              </c:strCache>
            </c:strRef>
          </c:tx>
          <c:spPr>
            <a:ln w="12700" cap="rnd">
              <a:solidFill>
                <a:srgbClr val="FF0000"/>
              </a:solidFill>
              <a:round/>
            </a:ln>
            <a:effectLst/>
          </c:spPr>
          <c:marker>
            <c:symbol val="none"/>
          </c:marker>
          <c:cat>
            <c:strRef>
              <c:f>'[Fiji Scenario Analysis.xlsx]GHG2'!$A$28:$A$44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Analysis.xlsx]GHG2'!$C$28:$C$44</c:f>
              <c:numCache>
                <c:formatCode>General</c:formatCode>
                <c:ptCount val="17"/>
                <c:pt idx="0">
                  <c:v>2.3173329628700001</c:v>
                </c:pt>
                <c:pt idx="1">
                  <c:v>2.2969253995300001</c:v>
                </c:pt>
                <c:pt idx="2">
                  <c:v>2.2816996937899998</c:v>
                </c:pt>
                <c:pt idx="3">
                  <c:v>2.2821183456799998</c:v>
                </c:pt>
                <c:pt idx="4">
                  <c:v>2.2912892596600001</c:v>
                </c:pt>
                <c:pt idx="5">
                  <c:v>2.3058922889</c:v>
                </c:pt>
                <c:pt idx="6">
                  <c:v>2.3135159969900001</c:v>
                </c:pt>
                <c:pt idx="7">
                  <c:v>2.33344793923</c:v>
                </c:pt>
                <c:pt idx="8">
                  <c:v>2.3590250575100002</c:v>
                </c:pt>
                <c:pt idx="9">
                  <c:v>2.3870262434499998</c:v>
                </c:pt>
                <c:pt idx="10">
                  <c:v>2.4290664091699998</c:v>
                </c:pt>
                <c:pt idx="11">
                  <c:v>2.5014379637099999</c:v>
                </c:pt>
                <c:pt idx="12">
                  <c:v>2.58474582878</c:v>
                </c:pt>
                <c:pt idx="13">
                  <c:v>2.6623171770500003</c:v>
                </c:pt>
                <c:pt idx="14">
                  <c:v>2.7352268775900002</c:v>
                </c:pt>
                <c:pt idx="15">
                  <c:v>2.8049025802899998</c:v>
                </c:pt>
                <c:pt idx="16">
                  <c:v>2.8706389230999996</c:v>
                </c:pt>
              </c:numCache>
            </c:numRef>
          </c:val>
          <c:smooth val="0"/>
          <c:extLst>
            <c:ext xmlns:c16="http://schemas.microsoft.com/office/drawing/2014/chart" uri="{C3380CC4-5D6E-409C-BE32-E72D297353CC}">
              <c16:uniqueId val="{00000001-C114-49F4-85D1-E373F8183135}"/>
            </c:ext>
          </c:extLst>
        </c:ser>
        <c:ser>
          <c:idx val="3"/>
          <c:order val="2"/>
          <c:tx>
            <c:strRef>
              <c:f>'[Fiji Scenario Analysis.xlsx]GHG2'!$D$2</c:f>
              <c:strCache>
                <c:ptCount val="1"/>
                <c:pt idx="0">
                  <c:v>2. GE</c:v>
                </c:pt>
              </c:strCache>
            </c:strRef>
          </c:tx>
          <c:spPr>
            <a:ln w="12700" cap="rnd">
              <a:solidFill>
                <a:srgbClr val="92D050"/>
              </a:solidFill>
              <a:round/>
            </a:ln>
            <a:effectLst/>
          </c:spPr>
          <c:marker>
            <c:symbol val="none"/>
          </c:marker>
          <c:cat>
            <c:strRef>
              <c:f>'[Fiji Scenario Analysis.xlsx]GHG2'!$A$28:$A$44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Analysis.xlsx]GHG2'!$D$28:$D$44</c:f>
              <c:numCache>
                <c:formatCode>General</c:formatCode>
                <c:ptCount val="17"/>
                <c:pt idx="0">
                  <c:v>2.3173329628700001</c:v>
                </c:pt>
                <c:pt idx="1">
                  <c:v>2.2969253995300001</c:v>
                </c:pt>
                <c:pt idx="2">
                  <c:v>2.2816996937899998</c:v>
                </c:pt>
                <c:pt idx="3">
                  <c:v>2.2821183456799998</c:v>
                </c:pt>
                <c:pt idx="4">
                  <c:v>2.2912892596600001</c:v>
                </c:pt>
                <c:pt idx="5">
                  <c:v>2.2927451467499997</c:v>
                </c:pt>
                <c:pt idx="6">
                  <c:v>2.29488807681</c:v>
                </c:pt>
                <c:pt idx="7">
                  <c:v>2.2960221545099997</c:v>
                </c:pt>
                <c:pt idx="8">
                  <c:v>2.2940808776500003</c:v>
                </c:pt>
                <c:pt idx="9">
                  <c:v>2.2935135126200001</c:v>
                </c:pt>
                <c:pt idx="10">
                  <c:v>2.2962683566399997</c:v>
                </c:pt>
                <c:pt idx="11">
                  <c:v>2.3001223721900002</c:v>
                </c:pt>
                <c:pt idx="12">
                  <c:v>2.3038085599400002</c:v>
                </c:pt>
                <c:pt idx="13">
                  <c:v>2.3074936698699999</c:v>
                </c:pt>
                <c:pt idx="14">
                  <c:v>2.3101465280800002</c:v>
                </c:pt>
                <c:pt idx="15">
                  <c:v>2.31242381224</c:v>
                </c:pt>
                <c:pt idx="16">
                  <c:v>2.3163963722799998</c:v>
                </c:pt>
              </c:numCache>
            </c:numRef>
          </c:val>
          <c:smooth val="0"/>
          <c:extLst>
            <c:ext xmlns:c16="http://schemas.microsoft.com/office/drawing/2014/chart" uri="{C3380CC4-5D6E-409C-BE32-E72D297353CC}">
              <c16:uniqueId val="{00000002-C114-49F4-85D1-E373F8183135}"/>
            </c:ext>
          </c:extLst>
        </c:ser>
        <c:ser>
          <c:idx val="4"/>
          <c:order val="3"/>
          <c:tx>
            <c:strRef>
              <c:f>'[Fiji Scenario Analysis.xlsx]GHG2'!$E$2</c:f>
              <c:strCache>
                <c:ptCount val="1"/>
                <c:pt idx="0">
                  <c:v>3. IG</c:v>
                </c:pt>
              </c:strCache>
            </c:strRef>
          </c:tx>
          <c:spPr>
            <a:ln w="12700" cap="rnd">
              <a:solidFill>
                <a:srgbClr val="00B0F0"/>
              </a:solidFill>
              <a:round/>
            </a:ln>
            <a:effectLst/>
          </c:spPr>
          <c:marker>
            <c:symbol val="none"/>
          </c:marker>
          <c:cat>
            <c:strRef>
              <c:f>'[Fiji Scenario Analysis.xlsx]GHG2'!$A$28:$A$44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Analysis.xlsx]GHG2'!$E$28:$E$44</c:f>
              <c:numCache>
                <c:formatCode>General</c:formatCode>
                <c:ptCount val="17"/>
                <c:pt idx="0">
                  <c:v>2.3173329628700001</c:v>
                </c:pt>
                <c:pt idx="1">
                  <c:v>2.2969253995300001</c:v>
                </c:pt>
                <c:pt idx="2">
                  <c:v>2.2816996937899998</c:v>
                </c:pt>
                <c:pt idx="3">
                  <c:v>2.2821183456799998</c:v>
                </c:pt>
                <c:pt idx="4">
                  <c:v>2.2912892596600001</c:v>
                </c:pt>
                <c:pt idx="5">
                  <c:v>2.2979468729299999</c:v>
                </c:pt>
                <c:pt idx="6">
                  <c:v>2.3080717182999999</c:v>
                </c:pt>
                <c:pt idx="7">
                  <c:v>2.3284912642100002</c:v>
                </c:pt>
                <c:pt idx="8">
                  <c:v>2.3536974424800001</c:v>
                </c:pt>
                <c:pt idx="9">
                  <c:v>2.38865411427</c:v>
                </c:pt>
                <c:pt idx="10">
                  <c:v>2.4579353728000002</c:v>
                </c:pt>
                <c:pt idx="11">
                  <c:v>2.5668168815399999</c:v>
                </c:pt>
                <c:pt idx="12">
                  <c:v>2.6821275819600001</c:v>
                </c:pt>
                <c:pt idx="13">
                  <c:v>2.7781628923700001</c:v>
                </c:pt>
                <c:pt idx="14">
                  <c:v>2.86260344038</c:v>
                </c:pt>
                <c:pt idx="15">
                  <c:v>2.9553068281499999</c:v>
                </c:pt>
                <c:pt idx="16">
                  <c:v>3.057004896</c:v>
                </c:pt>
              </c:numCache>
            </c:numRef>
          </c:val>
          <c:smooth val="0"/>
          <c:extLst>
            <c:ext xmlns:c16="http://schemas.microsoft.com/office/drawing/2014/chart" uri="{C3380CC4-5D6E-409C-BE32-E72D297353CC}">
              <c16:uniqueId val="{00000003-C114-49F4-85D1-E373F8183135}"/>
            </c:ext>
          </c:extLst>
        </c:ser>
        <c:ser>
          <c:idx val="5"/>
          <c:order val="4"/>
          <c:tx>
            <c:strRef>
              <c:f>'[Fiji Scenario Analysis.xlsx]GHG2'!$F$2</c:f>
              <c:strCache>
                <c:ptCount val="1"/>
                <c:pt idx="0">
                  <c:v>4. ST</c:v>
                </c:pt>
              </c:strCache>
            </c:strRef>
          </c:tx>
          <c:spPr>
            <a:ln w="12700" cap="rnd">
              <a:solidFill>
                <a:srgbClr val="008080"/>
              </a:solidFill>
              <a:round/>
            </a:ln>
            <a:effectLst/>
          </c:spPr>
          <c:marker>
            <c:symbol val="none"/>
          </c:marker>
          <c:cat>
            <c:strRef>
              <c:f>'[Fiji Scenario Analysis.xlsx]GHG2'!$A$28:$A$44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Analysis.xlsx]GHG2'!$F$28:$F$44</c:f>
              <c:numCache>
                <c:formatCode>General</c:formatCode>
                <c:ptCount val="17"/>
                <c:pt idx="0">
                  <c:v>2.3173329628700001</c:v>
                </c:pt>
                <c:pt idx="1">
                  <c:v>2.2969253995300001</c:v>
                </c:pt>
                <c:pt idx="2">
                  <c:v>2.2816996937899998</c:v>
                </c:pt>
                <c:pt idx="3">
                  <c:v>2.2821183456799998</c:v>
                </c:pt>
                <c:pt idx="4">
                  <c:v>2.2912892596600001</c:v>
                </c:pt>
                <c:pt idx="5">
                  <c:v>2.2898689610199998</c:v>
                </c:pt>
                <c:pt idx="6">
                  <c:v>2.2991062176700003</c:v>
                </c:pt>
                <c:pt idx="7">
                  <c:v>2.3072840216199997</c:v>
                </c:pt>
                <c:pt idx="8">
                  <c:v>2.3154708359799998</c:v>
                </c:pt>
                <c:pt idx="9">
                  <c:v>2.3259668890399996</c:v>
                </c:pt>
                <c:pt idx="10">
                  <c:v>2.3593970681400003</c:v>
                </c:pt>
                <c:pt idx="11">
                  <c:v>2.4217211382900001</c:v>
                </c:pt>
                <c:pt idx="12">
                  <c:v>2.4799729245699997</c:v>
                </c:pt>
                <c:pt idx="13">
                  <c:v>2.5223093321099999</c:v>
                </c:pt>
                <c:pt idx="14">
                  <c:v>2.5575199437</c:v>
                </c:pt>
                <c:pt idx="15">
                  <c:v>2.59151704263</c:v>
                </c:pt>
                <c:pt idx="16">
                  <c:v>2.62904616933</c:v>
                </c:pt>
              </c:numCache>
            </c:numRef>
          </c:val>
          <c:smooth val="0"/>
          <c:extLst>
            <c:ext xmlns:c16="http://schemas.microsoft.com/office/drawing/2014/chart" uri="{C3380CC4-5D6E-409C-BE32-E72D297353CC}">
              <c16:uniqueId val="{00000004-C114-49F4-85D1-E373F8183135}"/>
            </c:ext>
          </c:extLst>
        </c:ser>
        <c:ser>
          <c:idx val="6"/>
          <c:order val="5"/>
          <c:tx>
            <c:strRef>
              <c:f>'[Fiji Scenario Analysis.xlsx]GHG2'!$G$2</c:f>
              <c:strCache>
                <c:ptCount val="1"/>
                <c:pt idx="0">
                  <c:v>5. ST_CLIMATE</c:v>
                </c:pt>
              </c:strCache>
            </c:strRef>
          </c:tx>
          <c:spPr>
            <a:ln w="12700" cap="rnd">
              <a:solidFill>
                <a:srgbClr val="ED7D31"/>
              </a:solidFill>
              <a:prstDash val="dash"/>
              <a:round/>
            </a:ln>
            <a:effectLst/>
          </c:spPr>
          <c:marker>
            <c:symbol val="none"/>
          </c:marker>
          <c:cat>
            <c:strRef>
              <c:f>'[Fiji Scenario Analysis.xlsx]GHG2'!$A$28:$A$44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Analysis.xlsx]GHG2'!$G$28:$G$44</c:f>
              <c:numCache>
                <c:formatCode>General</c:formatCode>
                <c:ptCount val="17"/>
                <c:pt idx="0">
                  <c:v>2.3173329628700001</c:v>
                </c:pt>
                <c:pt idx="1">
                  <c:v>2.2969253995300001</c:v>
                </c:pt>
                <c:pt idx="2">
                  <c:v>2.2816996937899998</c:v>
                </c:pt>
                <c:pt idx="3">
                  <c:v>2.2821183456799998</c:v>
                </c:pt>
                <c:pt idx="4">
                  <c:v>2.2912892596600001</c:v>
                </c:pt>
                <c:pt idx="5">
                  <c:v>2.2879200161999997</c:v>
                </c:pt>
                <c:pt idx="6">
                  <c:v>2.2894083001600003</c:v>
                </c:pt>
                <c:pt idx="7">
                  <c:v>2.2758170721700002</c:v>
                </c:pt>
                <c:pt idx="8">
                  <c:v>2.2496531204800001</c:v>
                </c:pt>
                <c:pt idx="9">
                  <c:v>2.2204285859699997</c:v>
                </c:pt>
                <c:pt idx="10">
                  <c:v>2.1999073609799997</c:v>
                </c:pt>
                <c:pt idx="11">
                  <c:v>2.1931837611699998</c:v>
                </c:pt>
                <c:pt idx="12">
                  <c:v>2.1864039771299999</c:v>
                </c:pt>
                <c:pt idx="13">
                  <c:v>2.1709920766300002</c:v>
                </c:pt>
                <c:pt idx="14">
                  <c:v>2.1528507535600001</c:v>
                </c:pt>
                <c:pt idx="15">
                  <c:v>2.1330001902999998</c:v>
                </c:pt>
                <c:pt idx="16">
                  <c:v>2.1131570523300001</c:v>
                </c:pt>
              </c:numCache>
            </c:numRef>
          </c:val>
          <c:smooth val="0"/>
          <c:extLst>
            <c:ext xmlns:c16="http://schemas.microsoft.com/office/drawing/2014/chart" uri="{C3380CC4-5D6E-409C-BE32-E72D297353CC}">
              <c16:uniqueId val="{00000005-C114-49F4-85D1-E373F8183135}"/>
            </c:ext>
          </c:extLst>
        </c:ser>
        <c:ser>
          <c:idx val="0"/>
          <c:order val="6"/>
          <c:tx>
            <c:strRef>
              <c:f>'[Fiji Scenario Analysis.xlsx]GHG2'!$H$2</c:f>
              <c:strCache>
                <c:ptCount val="1"/>
                <c:pt idx="0">
                  <c:v>6. ST_SDG</c:v>
                </c:pt>
              </c:strCache>
            </c:strRef>
          </c:tx>
          <c:spPr>
            <a:ln w="12700" cap="rnd">
              <a:solidFill>
                <a:srgbClr val="4472C4"/>
              </a:solidFill>
              <a:prstDash val="sysDash"/>
              <a:round/>
            </a:ln>
            <a:effectLst/>
          </c:spPr>
          <c:marker>
            <c:symbol val="none"/>
          </c:marker>
          <c:cat>
            <c:strRef>
              <c:f>'[Fiji Scenario Analysis.xlsx]GHG2'!$A$28:$A$44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Analysis.xlsx]GHG2'!$H$28:$H$44</c:f>
              <c:numCache>
                <c:formatCode>General</c:formatCode>
                <c:ptCount val="17"/>
                <c:pt idx="0">
                  <c:v>2.3173329628700001</c:v>
                </c:pt>
                <c:pt idx="1">
                  <c:v>2.2969253995300001</c:v>
                </c:pt>
                <c:pt idx="2">
                  <c:v>2.2816996937899998</c:v>
                </c:pt>
                <c:pt idx="3">
                  <c:v>2.2821183456799998</c:v>
                </c:pt>
                <c:pt idx="4">
                  <c:v>2.2912892596600001</c:v>
                </c:pt>
                <c:pt idx="5">
                  <c:v>2.2915577543199999</c:v>
                </c:pt>
                <c:pt idx="6">
                  <c:v>2.3019232251300004</c:v>
                </c:pt>
                <c:pt idx="7">
                  <c:v>2.3033164208800003</c:v>
                </c:pt>
                <c:pt idx="8">
                  <c:v>2.2893596885399998</c:v>
                </c:pt>
                <c:pt idx="9">
                  <c:v>2.2722353268700002</c:v>
                </c:pt>
                <c:pt idx="10">
                  <c:v>2.2575665802500002</c:v>
                </c:pt>
                <c:pt idx="11">
                  <c:v>2.2447988062300004</c:v>
                </c:pt>
                <c:pt idx="12">
                  <c:v>2.2332677135000001</c:v>
                </c:pt>
                <c:pt idx="13">
                  <c:v>2.2201169792599997</c:v>
                </c:pt>
                <c:pt idx="14">
                  <c:v>2.2059250728799999</c:v>
                </c:pt>
                <c:pt idx="15">
                  <c:v>2.1885702297399998</c:v>
                </c:pt>
                <c:pt idx="16">
                  <c:v>2.1722715404099997</c:v>
                </c:pt>
              </c:numCache>
            </c:numRef>
          </c:val>
          <c:smooth val="0"/>
          <c:extLst>
            <c:ext xmlns:c16="http://schemas.microsoft.com/office/drawing/2014/chart" uri="{C3380CC4-5D6E-409C-BE32-E72D297353CC}">
              <c16:uniqueId val="{00000006-C114-49F4-85D1-E373F8183135}"/>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CO</a:t>
                </a:r>
                <a:r>
                  <a:rPr lang="en-AU" baseline="-25000"/>
                  <a:t>2</a:t>
                </a:r>
                <a:r>
                  <a:rPr lang="en-AU"/>
                  <a:t> Emissions (Mt CO2-e)</a:t>
                </a:r>
              </a:p>
            </c:rich>
          </c:tx>
          <c:layout>
            <c:manualLayout>
              <c:xMode val="edge"/>
              <c:yMode val="edge"/>
              <c:x val="1.8466341305730358E-2"/>
              <c:y val="0.262820219187746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1.4075451623823397E-2"/>
          <c:y val="0.93853947064563947"/>
          <c:w val="0.9859245483761766"/>
          <c:h val="4.442797299344204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65176893049017E-2"/>
          <c:y val="1.7034568271744367E-2"/>
          <c:w val="0.88090950144815339"/>
          <c:h val="0.79690876574182168"/>
        </c:manualLayout>
      </c:layout>
      <c:lineChart>
        <c:grouping val="standard"/>
        <c:varyColors val="0"/>
        <c:ser>
          <c:idx val="1"/>
          <c:order val="0"/>
          <c:tx>
            <c:strRef>
              <c:f>'[Fiji Scenario Analysis 070420 new.xlsx]GHG_net'!$B$2</c:f>
              <c:strCache>
                <c:ptCount val="1"/>
                <c:pt idx="0">
                  <c:v>BAU</c:v>
                </c:pt>
              </c:strCache>
            </c:strRef>
          </c:tx>
          <c:spPr>
            <a:ln w="12700" cap="rnd">
              <a:solidFill>
                <a:srgbClr val="FFC000"/>
              </a:solidFill>
              <a:round/>
            </a:ln>
            <a:effectLst/>
          </c:spPr>
          <c:marker>
            <c:symbol val="none"/>
          </c:marker>
          <c:cat>
            <c:numRef>
              <c:f>'[Fiji Scenario Analysis 070420 new.xlsx]GHG_net'!$A$28:$A$44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new.xlsx]GHG_net'!$B$28:$B$44</c:f>
              <c:numCache>
                <c:formatCode>General</c:formatCode>
                <c:ptCount val="17"/>
                <c:pt idx="0">
                  <c:v>2.9245986293000001</c:v>
                </c:pt>
                <c:pt idx="1">
                  <c:v>2.9118233506900002</c:v>
                </c:pt>
                <c:pt idx="2">
                  <c:v>2.90156834223</c:v>
                </c:pt>
                <c:pt idx="3">
                  <c:v>2.9046734359499999</c:v>
                </c:pt>
                <c:pt idx="4">
                  <c:v>2.91084038205</c:v>
                </c:pt>
                <c:pt idx="5">
                  <c:v>2.91687899757</c:v>
                </c:pt>
                <c:pt idx="6">
                  <c:v>2.94111114739</c:v>
                </c:pt>
                <c:pt idx="7">
                  <c:v>2.9831780284099998</c:v>
                </c:pt>
                <c:pt idx="8">
                  <c:v>3.0124450605899997</c:v>
                </c:pt>
                <c:pt idx="9">
                  <c:v>3.0387753040200001</c:v>
                </c:pt>
                <c:pt idx="10">
                  <c:v>3.09021355464</c:v>
                </c:pt>
                <c:pt idx="11">
                  <c:v>3.1568673242799998</c:v>
                </c:pt>
                <c:pt idx="12">
                  <c:v>3.2158005697900003</c:v>
                </c:pt>
                <c:pt idx="13">
                  <c:v>3.2566322363100002</c:v>
                </c:pt>
                <c:pt idx="14">
                  <c:v>3.2889844738400003</c:v>
                </c:pt>
                <c:pt idx="15">
                  <c:v>3.3247578716600001</c:v>
                </c:pt>
                <c:pt idx="16">
                  <c:v>3.3649456713200001</c:v>
                </c:pt>
              </c:numCache>
            </c:numRef>
          </c:val>
          <c:smooth val="0"/>
          <c:extLst>
            <c:ext xmlns:c16="http://schemas.microsoft.com/office/drawing/2014/chart" uri="{C3380CC4-5D6E-409C-BE32-E72D297353CC}">
              <c16:uniqueId val="{00000000-E926-41CD-B187-E82118F83720}"/>
            </c:ext>
          </c:extLst>
        </c:ser>
        <c:ser>
          <c:idx val="2"/>
          <c:order val="1"/>
          <c:tx>
            <c:strRef>
              <c:f>'[Fiji Scenario Analysis 070420 new.xlsx]GHG_net'!$C$2</c:f>
              <c:strCache>
                <c:ptCount val="1"/>
                <c:pt idx="0">
                  <c:v>1. GAC</c:v>
                </c:pt>
              </c:strCache>
            </c:strRef>
          </c:tx>
          <c:spPr>
            <a:ln w="12700" cap="rnd">
              <a:solidFill>
                <a:srgbClr val="FF0000"/>
              </a:solidFill>
              <a:round/>
            </a:ln>
            <a:effectLst/>
          </c:spPr>
          <c:marker>
            <c:symbol val="none"/>
          </c:marker>
          <c:cat>
            <c:numRef>
              <c:f>'[Fiji Scenario Analysis 070420 new.xlsx]GHG_net'!$A$28:$A$44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new.xlsx]GHG_net'!$C$28:$C$44</c:f>
              <c:numCache>
                <c:formatCode>General</c:formatCode>
                <c:ptCount val="17"/>
                <c:pt idx="0">
                  <c:v>2.9245986293000001</c:v>
                </c:pt>
                <c:pt idx="1">
                  <c:v>2.9118233506900002</c:v>
                </c:pt>
                <c:pt idx="2">
                  <c:v>2.90156834223</c:v>
                </c:pt>
                <c:pt idx="3">
                  <c:v>2.9046734359499999</c:v>
                </c:pt>
                <c:pt idx="4">
                  <c:v>2.91084038205</c:v>
                </c:pt>
                <c:pt idx="5">
                  <c:v>2.9224298161499997</c:v>
                </c:pt>
                <c:pt idx="6">
                  <c:v>2.9436456553400001</c:v>
                </c:pt>
                <c:pt idx="7">
                  <c:v>2.98774965015</c:v>
                </c:pt>
                <c:pt idx="8">
                  <c:v>3.0235747693300001</c:v>
                </c:pt>
                <c:pt idx="9">
                  <c:v>3.0560843691799997</c:v>
                </c:pt>
                <c:pt idx="10">
                  <c:v>3.1186058834499999</c:v>
                </c:pt>
                <c:pt idx="11">
                  <c:v>3.1983480798700001</c:v>
                </c:pt>
                <c:pt idx="12">
                  <c:v>3.2620050593400003</c:v>
                </c:pt>
                <c:pt idx="13">
                  <c:v>3.3115012364099998</c:v>
                </c:pt>
                <c:pt idx="14">
                  <c:v>3.3642904002599998</c:v>
                </c:pt>
                <c:pt idx="15">
                  <c:v>3.4247977938700003</c:v>
                </c:pt>
                <c:pt idx="16">
                  <c:v>3.4810485631300003</c:v>
                </c:pt>
              </c:numCache>
            </c:numRef>
          </c:val>
          <c:smooth val="0"/>
          <c:extLst>
            <c:ext xmlns:c16="http://schemas.microsoft.com/office/drawing/2014/chart" uri="{C3380CC4-5D6E-409C-BE32-E72D297353CC}">
              <c16:uniqueId val="{00000001-E926-41CD-B187-E82118F83720}"/>
            </c:ext>
          </c:extLst>
        </c:ser>
        <c:ser>
          <c:idx val="3"/>
          <c:order val="2"/>
          <c:tx>
            <c:strRef>
              <c:f>'[Fiji Scenario Analysis 070420 new.xlsx]GHG_net'!$D$2</c:f>
              <c:strCache>
                <c:ptCount val="1"/>
                <c:pt idx="0">
                  <c:v>2. GE</c:v>
                </c:pt>
              </c:strCache>
            </c:strRef>
          </c:tx>
          <c:spPr>
            <a:ln w="12700" cap="rnd">
              <a:solidFill>
                <a:srgbClr val="92D050"/>
              </a:solidFill>
              <a:round/>
            </a:ln>
            <a:effectLst/>
          </c:spPr>
          <c:marker>
            <c:symbol val="none"/>
          </c:marker>
          <c:cat>
            <c:numRef>
              <c:f>'[Fiji Scenario Analysis 070420 new.xlsx]GHG_net'!$A$28:$A$44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new.xlsx]GHG_net'!$D$28:$D$44</c:f>
              <c:numCache>
                <c:formatCode>General</c:formatCode>
                <c:ptCount val="17"/>
                <c:pt idx="0">
                  <c:v>2.9245986293000001</c:v>
                </c:pt>
                <c:pt idx="1">
                  <c:v>2.9118233506900002</c:v>
                </c:pt>
                <c:pt idx="2">
                  <c:v>2.90156834223</c:v>
                </c:pt>
                <c:pt idx="3">
                  <c:v>2.9046734359499999</c:v>
                </c:pt>
                <c:pt idx="4">
                  <c:v>2.91084038205</c:v>
                </c:pt>
                <c:pt idx="5">
                  <c:v>2.9092181028200002</c:v>
                </c:pt>
                <c:pt idx="6">
                  <c:v>2.4737694562199999</c:v>
                </c:pt>
                <c:pt idx="7">
                  <c:v>2.2780840532200002</c:v>
                </c:pt>
                <c:pt idx="8">
                  <c:v>2.15428436405</c:v>
                </c:pt>
                <c:pt idx="9">
                  <c:v>2.0742820881199999</c:v>
                </c:pt>
                <c:pt idx="10">
                  <c:v>2.03307607674</c:v>
                </c:pt>
                <c:pt idx="11">
                  <c:v>2.0058880826099998</c:v>
                </c:pt>
                <c:pt idx="12">
                  <c:v>1.97540951334</c:v>
                </c:pt>
                <c:pt idx="13">
                  <c:v>1.9477429637899999</c:v>
                </c:pt>
                <c:pt idx="14">
                  <c:v>1.9229103779500001</c:v>
                </c:pt>
                <c:pt idx="15">
                  <c:v>1.90022228672</c:v>
                </c:pt>
                <c:pt idx="16">
                  <c:v>1.8785465807799999</c:v>
                </c:pt>
              </c:numCache>
            </c:numRef>
          </c:val>
          <c:smooth val="0"/>
          <c:extLst>
            <c:ext xmlns:c16="http://schemas.microsoft.com/office/drawing/2014/chart" uri="{C3380CC4-5D6E-409C-BE32-E72D297353CC}">
              <c16:uniqueId val="{00000002-E926-41CD-B187-E82118F83720}"/>
            </c:ext>
          </c:extLst>
        </c:ser>
        <c:ser>
          <c:idx val="4"/>
          <c:order val="3"/>
          <c:tx>
            <c:strRef>
              <c:f>'[Fiji Scenario Analysis 070420 new.xlsx]GHG_net'!$E$2</c:f>
              <c:strCache>
                <c:ptCount val="1"/>
                <c:pt idx="0">
                  <c:v>3. IG</c:v>
                </c:pt>
              </c:strCache>
            </c:strRef>
          </c:tx>
          <c:spPr>
            <a:ln w="12700" cap="rnd">
              <a:solidFill>
                <a:srgbClr val="00B0F0"/>
              </a:solidFill>
              <a:round/>
            </a:ln>
            <a:effectLst/>
          </c:spPr>
          <c:marker>
            <c:symbol val="none"/>
          </c:marker>
          <c:cat>
            <c:numRef>
              <c:f>'[Fiji Scenario Analysis 070420 new.xlsx]GHG_net'!$A$28:$A$44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new.xlsx]GHG_net'!$E$28:$E$44</c:f>
              <c:numCache>
                <c:formatCode>General</c:formatCode>
                <c:ptCount val="17"/>
                <c:pt idx="0">
                  <c:v>2.9245986293000001</c:v>
                </c:pt>
                <c:pt idx="1">
                  <c:v>2.9118233506900002</c:v>
                </c:pt>
                <c:pt idx="2">
                  <c:v>2.90156834223</c:v>
                </c:pt>
                <c:pt idx="3">
                  <c:v>2.9046734359499999</c:v>
                </c:pt>
                <c:pt idx="4">
                  <c:v>2.91084038205</c:v>
                </c:pt>
                <c:pt idx="5">
                  <c:v>2.9144454027399997</c:v>
                </c:pt>
                <c:pt idx="6">
                  <c:v>2.9490458251499998</c:v>
                </c:pt>
                <c:pt idx="7">
                  <c:v>3.0058428130100001</c:v>
                </c:pt>
                <c:pt idx="8">
                  <c:v>3.0530628897200001</c:v>
                </c:pt>
                <c:pt idx="9">
                  <c:v>3.1188258481600002</c:v>
                </c:pt>
                <c:pt idx="10">
                  <c:v>3.2214588807899998</c:v>
                </c:pt>
                <c:pt idx="11">
                  <c:v>3.3286916318599999</c:v>
                </c:pt>
                <c:pt idx="12">
                  <c:v>3.4188663458300002</c:v>
                </c:pt>
                <c:pt idx="13">
                  <c:v>3.4938642821900001</c:v>
                </c:pt>
                <c:pt idx="14">
                  <c:v>3.5698114987</c:v>
                </c:pt>
                <c:pt idx="15">
                  <c:v>3.6573368839799998</c:v>
                </c:pt>
                <c:pt idx="16">
                  <c:v>3.7399042423200002</c:v>
                </c:pt>
              </c:numCache>
            </c:numRef>
          </c:val>
          <c:smooth val="0"/>
          <c:extLst>
            <c:ext xmlns:c16="http://schemas.microsoft.com/office/drawing/2014/chart" uri="{C3380CC4-5D6E-409C-BE32-E72D297353CC}">
              <c16:uniqueId val="{00000003-E926-41CD-B187-E82118F83720}"/>
            </c:ext>
          </c:extLst>
        </c:ser>
        <c:ser>
          <c:idx val="5"/>
          <c:order val="4"/>
          <c:tx>
            <c:strRef>
              <c:f>'[Fiji Scenario Analysis 070420 new.xlsx]GHG_net'!$F$2</c:f>
              <c:strCache>
                <c:ptCount val="1"/>
                <c:pt idx="0">
                  <c:v>4. ST</c:v>
                </c:pt>
              </c:strCache>
            </c:strRef>
          </c:tx>
          <c:spPr>
            <a:ln w="12700" cap="rnd">
              <a:solidFill>
                <a:srgbClr val="008080"/>
              </a:solidFill>
              <a:round/>
            </a:ln>
            <a:effectLst/>
          </c:spPr>
          <c:marker>
            <c:symbol val="none"/>
          </c:marker>
          <c:cat>
            <c:numRef>
              <c:f>'[Fiji Scenario Analysis 070420 new.xlsx]GHG_net'!$A$28:$A$44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new.xlsx]GHG_net'!$F$28:$F$44</c:f>
              <c:numCache>
                <c:formatCode>General</c:formatCode>
                <c:ptCount val="17"/>
                <c:pt idx="0">
                  <c:v>2.9245986293000001</c:v>
                </c:pt>
                <c:pt idx="1">
                  <c:v>2.9118233506900002</c:v>
                </c:pt>
                <c:pt idx="2">
                  <c:v>2.90156834223</c:v>
                </c:pt>
                <c:pt idx="3">
                  <c:v>2.9046734359499999</c:v>
                </c:pt>
                <c:pt idx="4">
                  <c:v>2.91084038205</c:v>
                </c:pt>
                <c:pt idx="5">
                  <c:v>2.9063277617600001</c:v>
                </c:pt>
                <c:pt idx="6">
                  <c:v>2.4823663491000003</c:v>
                </c:pt>
                <c:pt idx="7">
                  <c:v>2.2937030145899997</c:v>
                </c:pt>
                <c:pt idx="8">
                  <c:v>2.1760296669999999</c:v>
                </c:pt>
                <c:pt idx="9">
                  <c:v>2.1135786801100003</c:v>
                </c:pt>
                <c:pt idx="10">
                  <c:v>2.1162432495300001</c:v>
                </c:pt>
                <c:pt idx="11">
                  <c:v>2.1382998768400001</c:v>
                </c:pt>
                <c:pt idx="12">
                  <c:v>2.1431082839700002</c:v>
                </c:pt>
                <c:pt idx="13">
                  <c:v>2.1378009073800004</c:v>
                </c:pt>
                <c:pt idx="14">
                  <c:v>2.1331052862499997</c:v>
                </c:pt>
                <c:pt idx="15">
                  <c:v>2.1323782174399999</c:v>
                </c:pt>
                <c:pt idx="16">
                  <c:v>2.1316356663600002</c:v>
                </c:pt>
              </c:numCache>
            </c:numRef>
          </c:val>
          <c:smooth val="0"/>
          <c:extLst>
            <c:ext xmlns:c16="http://schemas.microsoft.com/office/drawing/2014/chart" uri="{C3380CC4-5D6E-409C-BE32-E72D297353CC}">
              <c16:uniqueId val="{00000004-E926-41CD-B187-E82118F83720}"/>
            </c:ext>
          </c:extLst>
        </c:ser>
        <c:ser>
          <c:idx val="6"/>
          <c:order val="5"/>
          <c:tx>
            <c:strRef>
              <c:f>'[Fiji Scenario Analysis 070420 new.xlsx]GHG_net'!$G$2</c:f>
              <c:strCache>
                <c:ptCount val="1"/>
                <c:pt idx="0">
                  <c:v>5. ST_CLIMATE</c:v>
                </c:pt>
              </c:strCache>
            </c:strRef>
          </c:tx>
          <c:spPr>
            <a:ln w="12700" cap="rnd">
              <a:solidFill>
                <a:srgbClr val="ED7D31"/>
              </a:solidFill>
              <a:prstDash val="dash"/>
              <a:round/>
            </a:ln>
            <a:effectLst/>
          </c:spPr>
          <c:marker>
            <c:symbol val="none"/>
          </c:marker>
          <c:cat>
            <c:numRef>
              <c:f>'[Fiji Scenario Analysis 070420 new.xlsx]GHG_net'!$A$28:$A$44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new.xlsx]GHG_net'!$G$28:$G$44</c:f>
              <c:numCache>
                <c:formatCode>General</c:formatCode>
                <c:ptCount val="17"/>
                <c:pt idx="0">
                  <c:v>2.9245986293000001</c:v>
                </c:pt>
                <c:pt idx="1">
                  <c:v>2.9118233506900002</c:v>
                </c:pt>
                <c:pt idx="2">
                  <c:v>2.90156834223</c:v>
                </c:pt>
                <c:pt idx="3">
                  <c:v>2.9046734359499999</c:v>
                </c:pt>
                <c:pt idx="4">
                  <c:v>2.91084038205</c:v>
                </c:pt>
                <c:pt idx="5">
                  <c:v>2.9043692189999999</c:v>
                </c:pt>
                <c:pt idx="6">
                  <c:v>2.5872898077600004</c:v>
                </c:pt>
                <c:pt idx="7">
                  <c:v>2.33077775824</c:v>
                </c:pt>
                <c:pt idx="8">
                  <c:v>2.1542446652299998</c:v>
                </c:pt>
                <c:pt idx="9">
                  <c:v>2.02735768877</c:v>
                </c:pt>
                <c:pt idx="10">
                  <c:v>1.95725929102</c:v>
                </c:pt>
                <c:pt idx="11">
                  <c:v>1.91462381095</c:v>
                </c:pt>
                <c:pt idx="12">
                  <c:v>1.8630115390300002</c:v>
                </c:pt>
                <c:pt idx="13">
                  <c:v>1.80697385655</c:v>
                </c:pt>
                <c:pt idx="14">
                  <c:v>1.7532362696400001</c:v>
                </c:pt>
                <c:pt idx="15">
                  <c:v>1.7008794705699999</c:v>
                </c:pt>
                <c:pt idx="16">
                  <c:v>1.64541521423</c:v>
                </c:pt>
              </c:numCache>
            </c:numRef>
          </c:val>
          <c:smooth val="0"/>
          <c:extLst>
            <c:ext xmlns:c16="http://schemas.microsoft.com/office/drawing/2014/chart" uri="{C3380CC4-5D6E-409C-BE32-E72D297353CC}">
              <c16:uniqueId val="{00000005-E926-41CD-B187-E82118F83720}"/>
            </c:ext>
          </c:extLst>
        </c:ser>
        <c:ser>
          <c:idx val="0"/>
          <c:order val="6"/>
          <c:tx>
            <c:strRef>
              <c:f>'[Fiji Scenario Analysis 070420 new.xlsx]GHG_net'!$H$2</c:f>
              <c:strCache>
                <c:ptCount val="1"/>
                <c:pt idx="0">
                  <c:v>6. ST_SDG</c:v>
                </c:pt>
              </c:strCache>
            </c:strRef>
          </c:tx>
          <c:spPr>
            <a:ln w="12700" cap="rnd">
              <a:solidFill>
                <a:srgbClr val="4472C4"/>
              </a:solidFill>
              <a:prstDash val="sysDash"/>
              <a:round/>
            </a:ln>
            <a:effectLst/>
          </c:spPr>
          <c:marker>
            <c:symbol val="none"/>
          </c:marker>
          <c:cat>
            <c:numRef>
              <c:f>'[Fiji Scenario Analysis 070420 new.xlsx]GHG_net'!$A$28:$A$44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new.xlsx]GHG_net'!$H$28:$H$44</c:f>
              <c:numCache>
                <c:formatCode>General</c:formatCode>
                <c:ptCount val="17"/>
                <c:pt idx="0">
                  <c:v>2.9245986293000001</c:v>
                </c:pt>
                <c:pt idx="1">
                  <c:v>2.9118233506900002</c:v>
                </c:pt>
                <c:pt idx="2">
                  <c:v>2.90156834223</c:v>
                </c:pt>
                <c:pt idx="3">
                  <c:v>2.9046734359499999</c:v>
                </c:pt>
                <c:pt idx="4">
                  <c:v>2.91084038205</c:v>
                </c:pt>
                <c:pt idx="5">
                  <c:v>2.90802486785</c:v>
                </c:pt>
                <c:pt idx="6">
                  <c:v>2.60581639877</c:v>
                </c:pt>
                <c:pt idx="7">
                  <c:v>2.3557333429899998</c:v>
                </c:pt>
                <c:pt idx="8">
                  <c:v>2.1774044991799997</c:v>
                </c:pt>
                <c:pt idx="9">
                  <c:v>2.067594986</c:v>
                </c:pt>
                <c:pt idx="10">
                  <c:v>1.99896556492</c:v>
                </c:pt>
                <c:pt idx="11">
                  <c:v>1.9233796737</c:v>
                </c:pt>
                <c:pt idx="12">
                  <c:v>1.8486499569999999</c:v>
                </c:pt>
                <c:pt idx="13">
                  <c:v>1.7820347831800001</c:v>
                </c:pt>
                <c:pt idx="14">
                  <c:v>1.7213488276800002</c:v>
                </c:pt>
                <c:pt idx="15">
                  <c:v>1.6620802165199999</c:v>
                </c:pt>
                <c:pt idx="16">
                  <c:v>1.59896327183</c:v>
                </c:pt>
              </c:numCache>
            </c:numRef>
          </c:val>
          <c:smooth val="0"/>
          <c:extLst>
            <c:ext xmlns:c16="http://schemas.microsoft.com/office/drawing/2014/chart" uri="{C3380CC4-5D6E-409C-BE32-E72D297353CC}">
              <c16:uniqueId val="{00000006-E926-41CD-B187-E82118F83720}"/>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GHG Emissions (Mt CO2-e)</a:t>
                </a:r>
              </a:p>
            </c:rich>
          </c:tx>
          <c:layout>
            <c:manualLayout>
              <c:xMode val="edge"/>
              <c:yMode val="edge"/>
              <c:x val="1.8466341305730358E-2"/>
              <c:y val="0.262820219187746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7.3752841196357945E-3"/>
          <c:y val="0.93853947064563947"/>
          <c:w val="0.99262471588036416"/>
          <c:h val="4.442797299344204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545080513584428E-2"/>
          <c:y val="1.7970371747376437E-2"/>
          <c:w val="0.89333688018727375"/>
          <c:h val="0.79789029990895044"/>
        </c:manualLayout>
      </c:layout>
      <c:lineChart>
        <c:grouping val="standard"/>
        <c:varyColors val="0"/>
        <c:ser>
          <c:idx val="6"/>
          <c:order val="0"/>
          <c:tx>
            <c:strRef>
              <c:f>'[Fiji Scenario Analysis 070420 new.xlsx]REN'!$B$2</c:f>
              <c:strCache>
                <c:ptCount val="1"/>
                <c:pt idx="0">
                  <c:v>BAU</c:v>
                </c:pt>
              </c:strCache>
            </c:strRef>
          </c:tx>
          <c:spPr>
            <a:ln w="12700" cap="rnd">
              <a:solidFill>
                <a:schemeClr val="accent4"/>
              </a:solidFill>
              <a:round/>
            </a:ln>
            <a:effectLst/>
          </c:spPr>
          <c:marker>
            <c:symbol val="none"/>
          </c:marker>
          <c:cat>
            <c:strRef>
              <c:f>'[Fiji Scenario Analysis 070420 new.xlsx]REN'!$A$28:$A$44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new.xlsx]REN'!$B$28:$B$44</c:f>
              <c:numCache>
                <c:formatCode>0.0%</c:formatCode>
                <c:ptCount val="17"/>
                <c:pt idx="0">
                  <c:v>0.470106520483</c:v>
                </c:pt>
                <c:pt idx="1">
                  <c:v>0.47295333848900001</c:v>
                </c:pt>
                <c:pt idx="2">
                  <c:v>0.53354673123100005</c:v>
                </c:pt>
                <c:pt idx="3">
                  <c:v>0.60196610526100003</c:v>
                </c:pt>
                <c:pt idx="4">
                  <c:v>0.63574921330300005</c:v>
                </c:pt>
                <c:pt idx="5">
                  <c:v>0.64701545551399997</c:v>
                </c:pt>
                <c:pt idx="6">
                  <c:v>0.65077441030100003</c:v>
                </c:pt>
                <c:pt idx="7">
                  <c:v>0.65531357079399999</c:v>
                </c:pt>
                <c:pt idx="8">
                  <c:v>0.66366516333600001</c:v>
                </c:pt>
                <c:pt idx="9">
                  <c:v>0.67155240305099995</c:v>
                </c:pt>
                <c:pt idx="10">
                  <c:v>0.66609852112099999</c:v>
                </c:pt>
                <c:pt idx="11">
                  <c:v>0.64968747406500005</c:v>
                </c:pt>
                <c:pt idx="12">
                  <c:v>0.63411890122400005</c:v>
                </c:pt>
                <c:pt idx="13">
                  <c:v>0.624889228894</c:v>
                </c:pt>
                <c:pt idx="14">
                  <c:v>0.620049877167</c:v>
                </c:pt>
                <c:pt idx="15">
                  <c:v>0.61517610006800005</c:v>
                </c:pt>
                <c:pt idx="16">
                  <c:v>0.60860252850399998</c:v>
                </c:pt>
              </c:numCache>
            </c:numRef>
          </c:val>
          <c:smooth val="0"/>
          <c:extLst>
            <c:ext xmlns:c16="http://schemas.microsoft.com/office/drawing/2014/chart" uri="{C3380CC4-5D6E-409C-BE32-E72D297353CC}">
              <c16:uniqueId val="{00000000-4405-4521-9243-BE99480B18BC}"/>
            </c:ext>
          </c:extLst>
        </c:ser>
        <c:ser>
          <c:idx val="5"/>
          <c:order val="1"/>
          <c:tx>
            <c:strRef>
              <c:f>'[Fiji Scenario Analysis 070420 new.xlsx]REN'!$C$2</c:f>
              <c:strCache>
                <c:ptCount val="1"/>
                <c:pt idx="0">
                  <c:v>1. GAC</c:v>
                </c:pt>
              </c:strCache>
            </c:strRef>
          </c:tx>
          <c:spPr>
            <a:ln w="12700" cap="rnd">
              <a:solidFill>
                <a:srgbClr val="FF0000"/>
              </a:solidFill>
              <a:round/>
            </a:ln>
            <a:effectLst/>
          </c:spPr>
          <c:marker>
            <c:symbol val="none"/>
          </c:marker>
          <c:cat>
            <c:strRef>
              <c:f>'[Fiji Scenario Analysis 070420 new.xlsx]REN'!$A$28:$A$44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new.xlsx]REN'!$C$28:$C$44</c:f>
              <c:numCache>
                <c:formatCode>0.0%</c:formatCode>
                <c:ptCount val="17"/>
                <c:pt idx="0">
                  <c:v>0.470106520483</c:v>
                </c:pt>
                <c:pt idx="1">
                  <c:v>0.47295333848900001</c:v>
                </c:pt>
                <c:pt idx="2">
                  <c:v>0.53354673123100005</c:v>
                </c:pt>
                <c:pt idx="3">
                  <c:v>0.60196610526100003</c:v>
                </c:pt>
                <c:pt idx="4">
                  <c:v>0.63574921330300005</c:v>
                </c:pt>
                <c:pt idx="5">
                  <c:v>0.64701545551399997</c:v>
                </c:pt>
                <c:pt idx="6">
                  <c:v>0.65077506651700001</c:v>
                </c:pt>
                <c:pt idx="7">
                  <c:v>0.65524000002600002</c:v>
                </c:pt>
                <c:pt idx="8">
                  <c:v>0.66291069825100002</c:v>
                </c:pt>
                <c:pt idx="9">
                  <c:v>0.67076173254899996</c:v>
                </c:pt>
                <c:pt idx="10">
                  <c:v>0.66601541440800005</c:v>
                </c:pt>
                <c:pt idx="11">
                  <c:v>0.65030857688599997</c:v>
                </c:pt>
                <c:pt idx="12">
                  <c:v>0.63781990308900005</c:v>
                </c:pt>
                <c:pt idx="13">
                  <c:v>0.62926695294199997</c:v>
                </c:pt>
                <c:pt idx="14">
                  <c:v>0.62068276160000002</c:v>
                </c:pt>
                <c:pt idx="15">
                  <c:v>0.61315124479000005</c:v>
                </c:pt>
                <c:pt idx="16">
                  <c:v>0.60715568604199999</c:v>
                </c:pt>
              </c:numCache>
            </c:numRef>
          </c:val>
          <c:smooth val="0"/>
          <c:extLst>
            <c:ext xmlns:c16="http://schemas.microsoft.com/office/drawing/2014/chart" uri="{C3380CC4-5D6E-409C-BE32-E72D297353CC}">
              <c16:uniqueId val="{00000001-4405-4521-9243-BE99480B18BC}"/>
            </c:ext>
          </c:extLst>
        </c:ser>
        <c:ser>
          <c:idx val="4"/>
          <c:order val="2"/>
          <c:tx>
            <c:strRef>
              <c:f>'[Fiji Scenario Analysis 070420 new.xlsx]REN'!$D$2</c:f>
              <c:strCache>
                <c:ptCount val="1"/>
                <c:pt idx="0">
                  <c:v>2. GE</c:v>
                </c:pt>
              </c:strCache>
            </c:strRef>
          </c:tx>
          <c:spPr>
            <a:ln w="12700" cap="rnd">
              <a:solidFill>
                <a:srgbClr val="92D050"/>
              </a:solidFill>
              <a:round/>
            </a:ln>
            <a:effectLst/>
          </c:spPr>
          <c:marker>
            <c:symbol val="none"/>
          </c:marker>
          <c:cat>
            <c:strRef>
              <c:f>'[Fiji Scenario Analysis 070420 new.xlsx]REN'!$A$28:$A$44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new.xlsx]REN'!$D$28:$D$44</c:f>
              <c:numCache>
                <c:formatCode>0.0%</c:formatCode>
                <c:ptCount val="17"/>
                <c:pt idx="0">
                  <c:v>0.470106520483</c:v>
                </c:pt>
                <c:pt idx="1">
                  <c:v>0.47295333848900001</c:v>
                </c:pt>
                <c:pt idx="2">
                  <c:v>0.53354673123100005</c:v>
                </c:pt>
                <c:pt idx="3">
                  <c:v>0.60196610526100003</c:v>
                </c:pt>
                <c:pt idx="4">
                  <c:v>0.63574921330300005</c:v>
                </c:pt>
                <c:pt idx="5">
                  <c:v>0.64701545551399997</c:v>
                </c:pt>
                <c:pt idx="6">
                  <c:v>0.65111028057999998</c:v>
                </c:pt>
                <c:pt idx="7">
                  <c:v>0.65722379983799994</c:v>
                </c:pt>
                <c:pt idx="8">
                  <c:v>0.66942346833699995</c:v>
                </c:pt>
                <c:pt idx="9">
                  <c:v>0.68489444951599998</c:v>
                </c:pt>
                <c:pt idx="10">
                  <c:v>0.69491146889800004</c:v>
                </c:pt>
                <c:pt idx="11">
                  <c:v>0.70357374899699998</c:v>
                </c:pt>
                <c:pt idx="12">
                  <c:v>0.71484845464799995</c:v>
                </c:pt>
                <c:pt idx="13">
                  <c:v>0.72551108755500004</c:v>
                </c:pt>
                <c:pt idx="14">
                  <c:v>0.73504476394600005</c:v>
                </c:pt>
                <c:pt idx="15">
                  <c:v>0.74361108520300001</c:v>
                </c:pt>
                <c:pt idx="16">
                  <c:v>0.75137092195099997</c:v>
                </c:pt>
              </c:numCache>
            </c:numRef>
          </c:val>
          <c:smooth val="0"/>
          <c:extLst>
            <c:ext xmlns:c16="http://schemas.microsoft.com/office/drawing/2014/chart" uri="{C3380CC4-5D6E-409C-BE32-E72D297353CC}">
              <c16:uniqueId val="{00000002-4405-4521-9243-BE99480B18BC}"/>
            </c:ext>
          </c:extLst>
        </c:ser>
        <c:ser>
          <c:idx val="3"/>
          <c:order val="3"/>
          <c:tx>
            <c:strRef>
              <c:f>'[Fiji Scenario Analysis 070420 new.xlsx]REN'!$E$2</c:f>
              <c:strCache>
                <c:ptCount val="1"/>
                <c:pt idx="0">
                  <c:v>3. IG</c:v>
                </c:pt>
              </c:strCache>
            </c:strRef>
          </c:tx>
          <c:spPr>
            <a:ln w="12700" cap="rnd">
              <a:solidFill>
                <a:srgbClr val="00B0F0"/>
              </a:solidFill>
              <a:round/>
            </a:ln>
            <a:effectLst/>
          </c:spPr>
          <c:marker>
            <c:symbol val="none"/>
          </c:marker>
          <c:cat>
            <c:strRef>
              <c:f>'[Fiji Scenario Analysis 070420 new.xlsx]REN'!$A$28:$A$44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new.xlsx]REN'!$E$28:$E$44</c:f>
              <c:numCache>
                <c:formatCode>0.0%</c:formatCode>
                <c:ptCount val="17"/>
                <c:pt idx="0">
                  <c:v>0.470106520483</c:v>
                </c:pt>
                <c:pt idx="1">
                  <c:v>0.47295333848900001</c:v>
                </c:pt>
                <c:pt idx="2">
                  <c:v>0.53354673123100005</c:v>
                </c:pt>
                <c:pt idx="3">
                  <c:v>0.60196610526100003</c:v>
                </c:pt>
                <c:pt idx="4">
                  <c:v>0.63574921330300005</c:v>
                </c:pt>
                <c:pt idx="5">
                  <c:v>0.64701545551399997</c:v>
                </c:pt>
                <c:pt idx="6">
                  <c:v>0.65077412271299995</c:v>
                </c:pt>
                <c:pt idx="7">
                  <c:v>0.65694993329100004</c:v>
                </c:pt>
                <c:pt idx="8">
                  <c:v>0.67012162743500003</c:v>
                </c:pt>
                <c:pt idx="9">
                  <c:v>0.67668145801699997</c:v>
                </c:pt>
                <c:pt idx="10">
                  <c:v>0.66489681260300004</c:v>
                </c:pt>
                <c:pt idx="11">
                  <c:v>0.64570515100899994</c:v>
                </c:pt>
                <c:pt idx="12">
                  <c:v>0.63165146901299996</c:v>
                </c:pt>
                <c:pt idx="13">
                  <c:v>0.625126924237</c:v>
                </c:pt>
                <c:pt idx="14">
                  <c:v>0.62106323669399999</c:v>
                </c:pt>
                <c:pt idx="15">
                  <c:v>0.61503339672799995</c:v>
                </c:pt>
                <c:pt idx="16">
                  <c:v>0.60730014146</c:v>
                </c:pt>
              </c:numCache>
            </c:numRef>
          </c:val>
          <c:smooth val="0"/>
          <c:extLst>
            <c:ext xmlns:c16="http://schemas.microsoft.com/office/drawing/2014/chart" uri="{C3380CC4-5D6E-409C-BE32-E72D297353CC}">
              <c16:uniqueId val="{00000003-4405-4521-9243-BE99480B18BC}"/>
            </c:ext>
          </c:extLst>
        </c:ser>
        <c:ser>
          <c:idx val="2"/>
          <c:order val="4"/>
          <c:tx>
            <c:strRef>
              <c:f>'[Fiji Scenario Analysis 070420 new.xlsx]REN'!$F$2</c:f>
              <c:strCache>
                <c:ptCount val="1"/>
                <c:pt idx="0">
                  <c:v>4. ST</c:v>
                </c:pt>
              </c:strCache>
            </c:strRef>
          </c:tx>
          <c:spPr>
            <a:ln w="12700" cap="rnd">
              <a:solidFill>
                <a:srgbClr val="008080"/>
              </a:solidFill>
              <a:round/>
            </a:ln>
            <a:effectLst/>
          </c:spPr>
          <c:marker>
            <c:symbol val="none"/>
          </c:marker>
          <c:cat>
            <c:strRef>
              <c:f>'[Fiji Scenario Analysis 070420 new.xlsx]REN'!$A$28:$A$44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new.xlsx]REN'!$F$28:$F$44</c:f>
              <c:numCache>
                <c:formatCode>0.0%</c:formatCode>
                <c:ptCount val="17"/>
                <c:pt idx="0">
                  <c:v>0.470106520483</c:v>
                </c:pt>
                <c:pt idx="1">
                  <c:v>0.47295333848900001</c:v>
                </c:pt>
                <c:pt idx="2">
                  <c:v>0.53354673123100005</c:v>
                </c:pt>
                <c:pt idx="3">
                  <c:v>0.60196610526100003</c:v>
                </c:pt>
                <c:pt idx="4">
                  <c:v>0.63574921330300005</c:v>
                </c:pt>
                <c:pt idx="5">
                  <c:v>0.64701545551399997</c:v>
                </c:pt>
                <c:pt idx="6">
                  <c:v>0.65089408037600005</c:v>
                </c:pt>
                <c:pt idx="7">
                  <c:v>0.65620584429700002</c:v>
                </c:pt>
                <c:pt idx="8">
                  <c:v>0.66909832653099999</c:v>
                </c:pt>
                <c:pt idx="9">
                  <c:v>0.68231755777299996</c:v>
                </c:pt>
                <c:pt idx="10">
                  <c:v>0.68064987038500002</c:v>
                </c:pt>
                <c:pt idx="11">
                  <c:v>0.67346771164399999</c:v>
                </c:pt>
                <c:pt idx="12">
                  <c:v>0.67461649996200002</c:v>
                </c:pt>
                <c:pt idx="13">
                  <c:v>0.680487714912</c:v>
                </c:pt>
                <c:pt idx="14">
                  <c:v>0.68679441954800002</c:v>
                </c:pt>
                <c:pt idx="15">
                  <c:v>0.69209043908000001</c:v>
                </c:pt>
                <c:pt idx="16">
                  <c:v>0.69605086524799997</c:v>
                </c:pt>
              </c:numCache>
            </c:numRef>
          </c:val>
          <c:smooth val="0"/>
          <c:extLst>
            <c:ext xmlns:c16="http://schemas.microsoft.com/office/drawing/2014/chart" uri="{C3380CC4-5D6E-409C-BE32-E72D297353CC}">
              <c16:uniqueId val="{00000004-4405-4521-9243-BE99480B18BC}"/>
            </c:ext>
          </c:extLst>
        </c:ser>
        <c:ser>
          <c:idx val="1"/>
          <c:order val="5"/>
          <c:tx>
            <c:strRef>
              <c:f>'[Fiji Scenario Analysis 070420 new.xlsx]REN'!$G$2</c:f>
              <c:strCache>
                <c:ptCount val="1"/>
                <c:pt idx="0">
                  <c:v>5. ST_CLIMATE</c:v>
                </c:pt>
              </c:strCache>
            </c:strRef>
          </c:tx>
          <c:spPr>
            <a:ln w="12700" cap="rnd">
              <a:solidFill>
                <a:schemeClr val="accent2"/>
              </a:solidFill>
              <a:prstDash val="dash"/>
              <a:round/>
            </a:ln>
            <a:effectLst/>
          </c:spPr>
          <c:marker>
            <c:symbol val="none"/>
          </c:marker>
          <c:cat>
            <c:strRef>
              <c:f>'[Fiji Scenario Analysis 070420 new.xlsx]REN'!$A$28:$A$44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new.xlsx]REN'!$G$28:$G$44</c:f>
              <c:numCache>
                <c:formatCode>0.0%</c:formatCode>
                <c:ptCount val="17"/>
                <c:pt idx="0">
                  <c:v>0.470106520483</c:v>
                </c:pt>
                <c:pt idx="1">
                  <c:v>0.47295333848900001</c:v>
                </c:pt>
                <c:pt idx="2">
                  <c:v>0.53354673123100005</c:v>
                </c:pt>
                <c:pt idx="3">
                  <c:v>0.60196610526100003</c:v>
                </c:pt>
                <c:pt idx="4">
                  <c:v>0.63574921330300005</c:v>
                </c:pt>
                <c:pt idx="5">
                  <c:v>0.64701545551399997</c:v>
                </c:pt>
                <c:pt idx="6">
                  <c:v>0.65107840581900001</c:v>
                </c:pt>
                <c:pt idx="7">
                  <c:v>0.65628040382099995</c:v>
                </c:pt>
                <c:pt idx="8">
                  <c:v>0.66678669112199995</c:v>
                </c:pt>
                <c:pt idx="9">
                  <c:v>0.68189717482900003</c:v>
                </c:pt>
                <c:pt idx="10">
                  <c:v>0.69099495869399996</c:v>
                </c:pt>
                <c:pt idx="11">
                  <c:v>0.695604469851</c:v>
                </c:pt>
                <c:pt idx="12">
                  <c:v>0.70738361621900003</c:v>
                </c:pt>
                <c:pt idx="13">
                  <c:v>0.72278352451799999</c:v>
                </c:pt>
                <c:pt idx="14">
                  <c:v>0.73785244871400002</c:v>
                </c:pt>
                <c:pt idx="15">
                  <c:v>0.75188186688299996</c:v>
                </c:pt>
                <c:pt idx="16">
                  <c:v>0.76464453210700001</c:v>
                </c:pt>
              </c:numCache>
            </c:numRef>
          </c:val>
          <c:smooth val="0"/>
          <c:extLst>
            <c:ext xmlns:c16="http://schemas.microsoft.com/office/drawing/2014/chart" uri="{C3380CC4-5D6E-409C-BE32-E72D297353CC}">
              <c16:uniqueId val="{00000005-4405-4521-9243-BE99480B18BC}"/>
            </c:ext>
          </c:extLst>
        </c:ser>
        <c:ser>
          <c:idx val="0"/>
          <c:order val="6"/>
          <c:tx>
            <c:strRef>
              <c:f>'[Fiji Scenario Analysis 070420 new.xlsx]REN'!$H$2</c:f>
              <c:strCache>
                <c:ptCount val="1"/>
                <c:pt idx="0">
                  <c:v>6. ST_SDG</c:v>
                </c:pt>
              </c:strCache>
            </c:strRef>
          </c:tx>
          <c:spPr>
            <a:ln w="12700" cap="rnd">
              <a:solidFill>
                <a:schemeClr val="accent5"/>
              </a:solidFill>
              <a:prstDash val="dash"/>
              <a:round/>
            </a:ln>
            <a:effectLst/>
          </c:spPr>
          <c:marker>
            <c:symbol val="none"/>
          </c:marker>
          <c:cat>
            <c:strRef>
              <c:f>'[Fiji Scenario Analysis 070420 new.xlsx]REN'!$A$28:$A$44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new.xlsx]REN'!$H$28:$H$44</c:f>
              <c:numCache>
                <c:formatCode>0.0%</c:formatCode>
                <c:ptCount val="17"/>
                <c:pt idx="0">
                  <c:v>0.470106520483</c:v>
                </c:pt>
                <c:pt idx="1">
                  <c:v>0.47295333848900001</c:v>
                </c:pt>
                <c:pt idx="2">
                  <c:v>0.53354673123100005</c:v>
                </c:pt>
                <c:pt idx="3">
                  <c:v>0.60196610526100003</c:v>
                </c:pt>
                <c:pt idx="4">
                  <c:v>0.63574921330300005</c:v>
                </c:pt>
                <c:pt idx="5">
                  <c:v>0.64701545551399997</c:v>
                </c:pt>
                <c:pt idx="6">
                  <c:v>0.65150068103600001</c:v>
                </c:pt>
                <c:pt idx="7">
                  <c:v>0.66302607323600005</c:v>
                </c:pt>
                <c:pt idx="8">
                  <c:v>0.68478047971</c:v>
                </c:pt>
                <c:pt idx="9">
                  <c:v>0.701697212909</c:v>
                </c:pt>
                <c:pt idx="10">
                  <c:v>0.71223891564499997</c:v>
                </c:pt>
                <c:pt idx="11">
                  <c:v>0.73152925720200002</c:v>
                </c:pt>
                <c:pt idx="12">
                  <c:v>0.75338346927699995</c:v>
                </c:pt>
                <c:pt idx="13">
                  <c:v>0.774392956784</c:v>
                </c:pt>
                <c:pt idx="14">
                  <c:v>0.792557396932</c:v>
                </c:pt>
                <c:pt idx="15">
                  <c:v>0.80816424756100003</c:v>
                </c:pt>
                <c:pt idx="16">
                  <c:v>0.821615235597</c:v>
                </c:pt>
              </c:numCache>
            </c:numRef>
          </c:val>
          <c:smooth val="0"/>
          <c:extLst>
            <c:ext xmlns:c16="http://schemas.microsoft.com/office/drawing/2014/chart" uri="{C3380CC4-5D6E-409C-BE32-E72D297353CC}">
              <c16:uniqueId val="{00000006-4405-4521-9243-BE99480B18BC}"/>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Proportion of electricity from renewable sources (%)</a:t>
                </a:r>
              </a:p>
            </c:rich>
          </c:tx>
          <c:layout>
            <c:manualLayout>
              <c:xMode val="edge"/>
              <c:yMode val="edge"/>
              <c:x val="6.1046739864363845E-3"/>
              <c:y val="9.33025418388931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5.000000000000001E-2"/>
      </c:valAx>
      <c:spPr>
        <a:noFill/>
        <a:ln>
          <a:noFill/>
        </a:ln>
        <a:effectLst/>
      </c:spPr>
    </c:plotArea>
    <c:legend>
      <c:legendPos val="b"/>
      <c:layout>
        <c:manualLayout>
          <c:xMode val="edge"/>
          <c:yMode val="edge"/>
          <c:x val="4.683017663332624E-2"/>
          <c:y val="0.94149292077926883"/>
          <c:w val="0.9405405405405407"/>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545080513584428E-2"/>
          <c:y val="1.7970371747376437E-2"/>
          <c:w val="0.89333688018727375"/>
          <c:h val="0.80153071362925066"/>
        </c:manualLayout>
      </c:layout>
      <c:lineChart>
        <c:grouping val="standard"/>
        <c:varyColors val="0"/>
        <c:ser>
          <c:idx val="6"/>
          <c:order val="0"/>
          <c:tx>
            <c:strRef>
              <c:f>'[Fiji Scenario Analysis 070420 new.xlsx]REN_TFES'!$B$2</c:f>
              <c:strCache>
                <c:ptCount val="1"/>
                <c:pt idx="0">
                  <c:v>BAU</c:v>
                </c:pt>
              </c:strCache>
            </c:strRef>
          </c:tx>
          <c:spPr>
            <a:ln w="12700" cap="rnd">
              <a:solidFill>
                <a:schemeClr val="accent4"/>
              </a:solidFill>
              <a:round/>
            </a:ln>
            <a:effectLst/>
          </c:spPr>
          <c:marker>
            <c:symbol val="none"/>
          </c:marker>
          <c:cat>
            <c:numRef>
              <c:f>'[Fiji Scenario Analysis 070420 new.xlsx]REN_TFES'!$A$28:$A$44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new.xlsx]REN_TFES'!$B$28:$B$44</c:f>
              <c:numCache>
                <c:formatCode>General</c:formatCode>
                <c:ptCount val="17"/>
                <c:pt idx="0">
                  <c:v>0.35710739780200002</c:v>
                </c:pt>
                <c:pt idx="1">
                  <c:v>0.357773551799</c:v>
                </c:pt>
                <c:pt idx="2">
                  <c:v>0.37348667312200001</c:v>
                </c:pt>
                <c:pt idx="3">
                  <c:v>0.39532298203299998</c:v>
                </c:pt>
                <c:pt idx="4">
                  <c:v>0.40523355883500001</c:v>
                </c:pt>
                <c:pt idx="5">
                  <c:v>0.40429003737699998</c:v>
                </c:pt>
                <c:pt idx="6">
                  <c:v>0.39925429432100001</c:v>
                </c:pt>
                <c:pt idx="7">
                  <c:v>0.39397898779599999</c:v>
                </c:pt>
                <c:pt idx="8">
                  <c:v>0.391136135823</c:v>
                </c:pt>
                <c:pt idx="9">
                  <c:v>0.38948047611800002</c:v>
                </c:pt>
                <c:pt idx="10">
                  <c:v>0.38599160652199999</c:v>
                </c:pt>
                <c:pt idx="11">
                  <c:v>0.38059768509800002</c:v>
                </c:pt>
                <c:pt idx="12">
                  <c:v>0.374359161868</c:v>
                </c:pt>
                <c:pt idx="13">
                  <c:v>0.36875661164599999</c:v>
                </c:pt>
                <c:pt idx="14">
                  <c:v>0.36453806045699999</c:v>
                </c:pt>
                <c:pt idx="15">
                  <c:v>0.36089790843300001</c:v>
                </c:pt>
                <c:pt idx="16">
                  <c:v>0.35693000687199999</c:v>
                </c:pt>
              </c:numCache>
            </c:numRef>
          </c:val>
          <c:smooth val="0"/>
          <c:extLst>
            <c:ext xmlns:c16="http://schemas.microsoft.com/office/drawing/2014/chart" uri="{C3380CC4-5D6E-409C-BE32-E72D297353CC}">
              <c16:uniqueId val="{00000000-D452-428D-8DDD-092FDF35C796}"/>
            </c:ext>
          </c:extLst>
        </c:ser>
        <c:ser>
          <c:idx val="5"/>
          <c:order val="1"/>
          <c:tx>
            <c:strRef>
              <c:f>'[Fiji Scenario Analysis 070420 new.xlsx]REN_TFES'!$C$2</c:f>
              <c:strCache>
                <c:ptCount val="1"/>
                <c:pt idx="0">
                  <c:v>1. GAC</c:v>
                </c:pt>
              </c:strCache>
            </c:strRef>
          </c:tx>
          <c:spPr>
            <a:ln w="12700" cap="rnd">
              <a:solidFill>
                <a:srgbClr val="FF0000"/>
              </a:solidFill>
              <a:round/>
            </a:ln>
            <a:effectLst/>
          </c:spPr>
          <c:marker>
            <c:symbol val="none"/>
          </c:marker>
          <c:cat>
            <c:numRef>
              <c:f>'[Fiji Scenario Analysis 070420 new.xlsx]REN_TFES'!$A$28:$A$44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new.xlsx]REN_TFES'!$C$28:$C$44</c:f>
              <c:numCache>
                <c:formatCode>General</c:formatCode>
                <c:ptCount val="17"/>
                <c:pt idx="0">
                  <c:v>0.35710739780200002</c:v>
                </c:pt>
                <c:pt idx="1">
                  <c:v>0.357773551799</c:v>
                </c:pt>
                <c:pt idx="2">
                  <c:v>0.37348667312200001</c:v>
                </c:pt>
                <c:pt idx="3">
                  <c:v>0.39532298203299998</c:v>
                </c:pt>
                <c:pt idx="4">
                  <c:v>0.40523355883500001</c:v>
                </c:pt>
                <c:pt idx="5">
                  <c:v>0.40342218825100001</c:v>
                </c:pt>
                <c:pt idx="6">
                  <c:v>0.39847697238300001</c:v>
                </c:pt>
                <c:pt idx="7">
                  <c:v>0.39250771567600001</c:v>
                </c:pt>
                <c:pt idx="8">
                  <c:v>0.38801303862499997</c:v>
                </c:pt>
                <c:pt idx="9">
                  <c:v>0.38487710642799999</c:v>
                </c:pt>
                <c:pt idx="10">
                  <c:v>0.38088267782000002</c:v>
                </c:pt>
                <c:pt idx="11">
                  <c:v>0.37471813524399999</c:v>
                </c:pt>
                <c:pt idx="12">
                  <c:v>0.36713089725600001</c:v>
                </c:pt>
                <c:pt idx="13">
                  <c:v>0.35952950418099999</c:v>
                </c:pt>
                <c:pt idx="14">
                  <c:v>0.35301467777399997</c:v>
                </c:pt>
                <c:pt idx="15">
                  <c:v>0.34795692018199997</c:v>
                </c:pt>
                <c:pt idx="16">
                  <c:v>0.34365663568799998</c:v>
                </c:pt>
              </c:numCache>
            </c:numRef>
          </c:val>
          <c:smooth val="0"/>
          <c:extLst>
            <c:ext xmlns:c16="http://schemas.microsoft.com/office/drawing/2014/chart" uri="{C3380CC4-5D6E-409C-BE32-E72D297353CC}">
              <c16:uniqueId val="{00000001-D452-428D-8DDD-092FDF35C796}"/>
            </c:ext>
          </c:extLst>
        </c:ser>
        <c:ser>
          <c:idx val="4"/>
          <c:order val="2"/>
          <c:tx>
            <c:strRef>
              <c:f>'[Fiji Scenario Analysis 070420 new.xlsx]REN_TFES'!$D$2</c:f>
              <c:strCache>
                <c:ptCount val="1"/>
                <c:pt idx="0">
                  <c:v>2. GE</c:v>
                </c:pt>
              </c:strCache>
            </c:strRef>
          </c:tx>
          <c:spPr>
            <a:ln w="12700" cap="rnd">
              <a:solidFill>
                <a:srgbClr val="92D050"/>
              </a:solidFill>
              <a:round/>
            </a:ln>
            <a:effectLst/>
          </c:spPr>
          <c:marker>
            <c:symbol val="none"/>
          </c:marker>
          <c:cat>
            <c:numRef>
              <c:f>'[Fiji Scenario Analysis 070420 new.xlsx]REN_TFES'!$A$28:$A$44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new.xlsx]REN_TFES'!$D$28:$D$44</c:f>
              <c:numCache>
                <c:formatCode>General</c:formatCode>
                <c:ptCount val="17"/>
                <c:pt idx="0">
                  <c:v>0.35710739780200002</c:v>
                </c:pt>
                <c:pt idx="1">
                  <c:v>0.357773551799</c:v>
                </c:pt>
                <c:pt idx="2">
                  <c:v>0.37348667312200001</c:v>
                </c:pt>
                <c:pt idx="3">
                  <c:v>0.39532298203299998</c:v>
                </c:pt>
                <c:pt idx="4">
                  <c:v>0.40523355883500001</c:v>
                </c:pt>
                <c:pt idx="5">
                  <c:v>0.405493939779</c:v>
                </c:pt>
                <c:pt idx="6">
                  <c:v>0.402247441885</c:v>
                </c:pt>
                <c:pt idx="7">
                  <c:v>0.39903569111600001</c:v>
                </c:pt>
                <c:pt idx="8">
                  <c:v>0.39960905022999998</c:v>
                </c:pt>
                <c:pt idx="9">
                  <c:v>0.402762110319</c:v>
                </c:pt>
                <c:pt idx="10">
                  <c:v>0.40550791776700001</c:v>
                </c:pt>
                <c:pt idx="11">
                  <c:v>0.40839349317399998</c:v>
                </c:pt>
                <c:pt idx="12">
                  <c:v>0.41079806325399998</c:v>
                </c:pt>
                <c:pt idx="13">
                  <c:v>0.41264740600499999</c:v>
                </c:pt>
                <c:pt idx="14">
                  <c:v>0.41395320404000002</c:v>
                </c:pt>
                <c:pt idx="15">
                  <c:v>0.41472308471199998</c:v>
                </c:pt>
                <c:pt idx="16">
                  <c:v>0.41528648702999998</c:v>
                </c:pt>
              </c:numCache>
            </c:numRef>
          </c:val>
          <c:smooth val="0"/>
          <c:extLst>
            <c:ext xmlns:c16="http://schemas.microsoft.com/office/drawing/2014/chart" uri="{C3380CC4-5D6E-409C-BE32-E72D297353CC}">
              <c16:uniqueId val="{00000002-D452-428D-8DDD-092FDF35C796}"/>
            </c:ext>
          </c:extLst>
        </c:ser>
        <c:ser>
          <c:idx val="3"/>
          <c:order val="3"/>
          <c:tx>
            <c:strRef>
              <c:f>'[Fiji Scenario Analysis 070420 new.xlsx]REN_TFES'!$E$2</c:f>
              <c:strCache>
                <c:ptCount val="1"/>
                <c:pt idx="0">
                  <c:v>3. IG</c:v>
                </c:pt>
              </c:strCache>
            </c:strRef>
          </c:tx>
          <c:spPr>
            <a:ln w="12700" cap="rnd">
              <a:solidFill>
                <a:srgbClr val="00B0F0"/>
              </a:solidFill>
              <a:round/>
            </a:ln>
            <a:effectLst/>
          </c:spPr>
          <c:marker>
            <c:symbol val="none"/>
          </c:marker>
          <c:cat>
            <c:numRef>
              <c:f>'[Fiji Scenario Analysis 070420 new.xlsx]REN_TFES'!$A$28:$A$44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new.xlsx]REN_TFES'!$E$28:$E$44</c:f>
              <c:numCache>
                <c:formatCode>General</c:formatCode>
                <c:ptCount val="17"/>
                <c:pt idx="0">
                  <c:v>0.35710739780200002</c:v>
                </c:pt>
                <c:pt idx="1">
                  <c:v>0.357773551799</c:v>
                </c:pt>
                <c:pt idx="2">
                  <c:v>0.37348667312200001</c:v>
                </c:pt>
                <c:pt idx="3">
                  <c:v>0.39532298203299998</c:v>
                </c:pt>
                <c:pt idx="4">
                  <c:v>0.40523355883500001</c:v>
                </c:pt>
                <c:pt idx="5">
                  <c:v>0.40467169902799999</c:v>
                </c:pt>
                <c:pt idx="6">
                  <c:v>0.399649617836</c:v>
                </c:pt>
                <c:pt idx="7">
                  <c:v>0.39411729865400003</c:v>
                </c:pt>
                <c:pt idx="8">
                  <c:v>0.392229928467</c:v>
                </c:pt>
                <c:pt idx="9">
                  <c:v>0.39074595249499999</c:v>
                </c:pt>
                <c:pt idx="10">
                  <c:v>0.38548242731600002</c:v>
                </c:pt>
                <c:pt idx="11">
                  <c:v>0.37737306077900001</c:v>
                </c:pt>
                <c:pt idx="12">
                  <c:v>0.36876030387100001</c:v>
                </c:pt>
                <c:pt idx="13">
                  <c:v>0.36168715273599999</c:v>
                </c:pt>
                <c:pt idx="14">
                  <c:v>0.356240449435</c:v>
                </c:pt>
                <c:pt idx="15">
                  <c:v>0.35069916096300002</c:v>
                </c:pt>
                <c:pt idx="16">
                  <c:v>0.34482075865799999</c:v>
                </c:pt>
              </c:numCache>
            </c:numRef>
          </c:val>
          <c:smooth val="0"/>
          <c:extLst>
            <c:ext xmlns:c16="http://schemas.microsoft.com/office/drawing/2014/chart" uri="{C3380CC4-5D6E-409C-BE32-E72D297353CC}">
              <c16:uniqueId val="{00000003-D452-428D-8DDD-092FDF35C796}"/>
            </c:ext>
          </c:extLst>
        </c:ser>
        <c:ser>
          <c:idx val="2"/>
          <c:order val="4"/>
          <c:tx>
            <c:strRef>
              <c:f>'[Fiji Scenario Analysis 070420 new.xlsx]REN_TFES'!$F$2</c:f>
              <c:strCache>
                <c:ptCount val="1"/>
                <c:pt idx="0">
                  <c:v>4. ST</c:v>
                </c:pt>
              </c:strCache>
            </c:strRef>
          </c:tx>
          <c:spPr>
            <a:ln w="12700" cap="rnd">
              <a:solidFill>
                <a:srgbClr val="008080"/>
              </a:solidFill>
              <a:round/>
            </a:ln>
            <a:effectLst/>
          </c:spPr>
          <c:marker>
            <c:symbol val="none"/>
          </c:marker>
          <c:cat>
            <c:numRef>
              <c:f>'[Fiji Scenario Analysis 070420 new.xlsx]REN_TFES'!$A$28:$A$44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new.xlsx]REN_TFES'!$F$28:$F$44</c:f>
              <c:numCache>
                <c:formatCode>General</c:formatCode>
                <c:ptCount val="17"/>
                <c:pt idx="0">
                  <c:v>0.35710739780200002</c:v>
                </c:pt>
                <c:pt idx="1">
                  <c:v>0.357773551799</c:v>
                </c:pt>
                <c:pt idx="2">
                  <c:v>0.37348667312200001</c:v>
                </c:pt>
                <c:pt idx="3">
                  <c:v>0.39532298203299998</c:v>
                </c:pt>
                <c:pt idx="4">
                  <c:v>0.40523355883500001</c:v>
                </c:pt>
                <c:pt idx="5">
                  <c:v>0.40595001912299999</c:v>
                </c:pt>
                <c:pt idx="6">
                  <c:v>0.40209058695099997</c:v>
                </c:pt>
                <c:pt idx="7">
                  <c:v>0.398058751062</c:v>
                </c:pt>
                <c:pt idx="8">
                  <c:v>0.39776311550499999</c:v>
                </c:pt>
                <c:pt idx="9">
                  <c:v>0.40036342110899997</c:v>
                </c:pt>
                <c:pt idx="10">
                  <c:v>0.40135889510299999</c:v>
                </c:pt>
                <c:pt idx="11">
                  <c:v>0.400156133729</c:v>
                </c:pt>
                <c:pt idx="12">
                  <c:v>0.39884688841400001</c:v>
                </c:pt>
                <c:pt idx="13">
                  <c:v>0.39755198839599998</c:v>
                </c:pt>
                <c:pt idx="14">
                  <c:v>0.39605234173499998</c:v>
                </c:pt>
                <c:pt idx="15">
                  <c:v>0.39419470243299998</c:v>
                </c:pt>
                <c:pt idx="16">
                  <c:v>0.39251378518899999</c:v>
                </c:pt>
              </c:numCache>
            </c:numRef>
          </c:val>
          <c:smooth val="0"/>
          <c:extLst>
            <c:ext xmlns:c16="http://schemas.microsoft.com/office/drawing/2014/chart" uri="{C3380CC4-5D6E-409C-BE32-E72D297353CC}">
              <c16:uniqueId val="{00000004-D452-428D-8DDD-092FDF35C796}"/>
            </c:ext>
          </c:extLst>
        </c:ser>
        <c:ser>
          <c:idx val="1"/>
          <c:order val="5"/>
          <c:tx>
            <c:strRef>
              <c:f>'[Fiji Scenario Analysis 070420 new.xlsx]REN_TFES'!$G$2</c:f>
              <c:strCache>
                <c:ptCount val="1"/>
                <c:pt idx="0">
                  <c:v>5. ST_CLIMATE</c:v>
                </c:pt>
              </c:strCache>
            </c:strRef>
          </c:tx>
          <c:spPr>
            <a:ln w="12700" cap="rnd">
              <a:solidFill>
                <a:schemeClr val="accent2"/>
              </a:solidFill>
              <a:prstDash val="dash"/>
              <a:round/>
            </a:ln>
            <a:effectLst/>
          </c:spPr>
          <c:marker>
            <c:symbol val="none"/>
          </c:marker>
          <c:cat>
            <c:numRef>
              <c:f>'[Fiji Scenario Analysis 070420 new.xlsx]REN_TFES'!$A$28:$A$44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new.xlsx]REN_TFES'!$G$28:$G$44</c:f>
              <c:numCache>
                <c:formatCode>General</c:formatCode>
                <c:ptCount val="17"/>
                <c:pt idx="0">
                  <c:v>0.35710739780200002</c:v>
                </c:pt>
                <c:pt idx="1">
                  <c:v>0.357773551799</c:v>
                </c:pt>
                <c:pt idx="2">
                  <c:v>0.37348667312200001</c:v>
                </c:pt>
                <c:pt idx="3">
                  <c:v>0.39532298203299998</c:v>
                </c:pt>
                <c:pt idx="4">
                  <c:v>0.40523355883500001</c:v>
                </c:pt>
                <c:pt idx="5">
                  <c:v>0.40625964959200001</c:v>
                </c:pt>
                <c:pt idx="6">
                  <c:v>0.40390110360999998</c:v>
                </c:pt>
                <c:pt idx="7">
                  <c:v>0.40311687895100001</c:v>
                </c:pt>
                <c:pt idx="8">
                  <c:v>0.406582443791</c:v>
                </c:pt>
                <c:pt idx="9">
                  <c:v>0.41349732432000003</c:v>
                </c:pt>
                <c:pt idx="10">
                  <c:v>0.42089239822800001</c:v>
                </c:pt>
                <c:pt idx="11">
                  <c:v>0.42761435825600003</c:v>
                </c:pt>
                <c:pt idx="12">
                  <c:v>0.43473005330100001</c:v>
                </c:pt>
                <c:pt idx="13">
                  <c:v>0.44289776560900002</c:v>
                </c:pt>
                <c:pt idx="14">
                  <c:v>0.45189047974899998</c:v>
                </c:pt>
                <c:pt idx="15">
                  <c:v>0.46121164005300003</c:v>
                </c:pt>
                <c:pt idx="16">
                  <c:v>0.47106073731699999</c:v>
                </c:pt>
              </c:numCache>
            </c:numRef>
          </c:val>
          <c:smooth val="0"/>
          <c:extLst>
            <c:ext xmlns:c16="http://schemas.microsoft.com/office/drawing/2014/chart" uri="{C3380CC4-5D6E-409C-BE32-E72D297353CC}">
              <c16:uniqueId val="{00000005-D452-428D-8DDD-092FDF35C796}"/>
            </c:ext>
          </c:extLst>
        </c:ser>
        <c:ser>
          <c:idx val="0"/>
          <c:order val="6"/>
          <c:tx>
            <c:strRef>
              <c:f>'[Fiji Scenario Analysis 070420 new.xlsx]REN_TFES'!$H$2</c:f>
              <c:strCache>
                <c:ptCount val="1"/>
                <c:pt idx="0">
                  <c:v>6. ST_SDG</c:v>
                </c:pt>
              </c:strCache>
            </c:strRef>
          </c:tx>
          <c:spPr>
            <a:ln w="12700" cap="rnd">
              <a:solidFill>
                <a:srgbClr val="4472C4"/>
              </a:solidFill>
              <a:prstDash val="sysDash"/>
              <a:round/>
            </a:ln>
            <a:effectLst/>
          </c:spPr>
          <c:marker>
            <c:symbol val="none"/>
          </c:marker>
          <c:cat>
            <c:numRef>
              <c:f>'[Fiji Scenario Analysis 070420 new.xlsx]REN_TFES'!$A$28:$A$44</c:f>
              <c:numCache>
                <c:formatCode>General</c:formatCod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numCache>
            </c:numRef>
          </c:cat>
          <c:val>
            <c:numRef>
              <c:f>'[Fiji Scenario Analysis 070420 new.xlsx]REN_TFES'!$H$28:$H$44</c:f>
              <c:numCache>
                <c:formatCode>General</c:formatCode>
                <c:ptCount val="17"/>
                <c:pt idx="0">
                  <c:v>0.35710739780200002</c:v>
                </c:pt>
                <c:pt idx="1">
                  <c:v>0.357773551799</c:v>
                </c:pt>
                <c:pt idx="2">
                  <c:v>0.37348667312200001</c:v>
                </c:pt>
                <c:pt idx="3">
                  <c:v>0.39532298203299998</c:v>
                </c:pt>
                <c:pt idx="4">
                  <c:v>0.40523355883500001</c:v>
                </c:pt>
                <c:pt idx="5">
                  <c:v>0.40568210119100001</c:v>
                </c:pt>
                <c:pt idx="6">
                  <c:v>0.40029907639700002</c:v>
                </c:pt>
                <c:pt idx="7">
                  <c:v>0.39974325217500001</c:v>
                </c:pt>
                <c:pt idx="8">
                  <c:v>0.40736019739399998</c:v>
                </c:pt>
                <c:pt idx="9">
                  <c:v>0.41867144856100003</c:v>
                </c:pt>
                <c:pt idx="10">
                  <c:v>0.429400557648</c:v>
                </c:pt>
                <c:pt idx="11">
                  <c:v>0.44236798458299997</c:v>
                </c:pt>
                <c:pt idx="12">
                  <c:v>0.45934837224199998</c:v>
                </c:pt>
                <c:pt idx="13">
                  <c:v>0.47958003503800001</c:v>
                </c:pt>
                <c:pt idx="14">
                  <c:v>0.50049690820199999</c:v>
                </c:pt>
                <c:pt idx="15">
                  <c:v>0.52173653176900003</c:v>
                </c:pt>
                <c:pt idx="16">
                  <c:v>0.54426390940400005</c:v>
                </c:pt>
              </c:numCache>
            </c:numRef>
          </c:val>
          <c:smooth val="0"/>
          <c:extLst>
            <c:ext xmlns:c16="http://schemas.microsoft.com/office/drawing/2014/chart" uri="{C3380CC4-5D6E-409C-BE32-E72D297353CC}">
              <c16:uniqueId val="{00000006-D452-428D-8DDD-092FDF35C796}"/>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Renewable share in final energy consumption (%)</a:t>
                </a:r>
              </a:p>
            </c:rich>
          </c:tx>
          <c:layout>
            <c:manualLayout>
              <c:xMode val="edge"/>
              <c:yMode val="edge"/>
              <c:x val="8.3205646591473365E-3"/>
              <c:y val="0.1676519399082896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5.000000000000001E-2"/>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946109262600877E-2"/>
          <c:y val="1.7970371747376437E-2"/>
          <c:w val="0.88693584220792077"/>
          <c:h val="0.8092438182069347"/>
        </c:manualLayout>
      </c:layout>
      <c:lineChart>
        <c:grouping val="standard"/>
        <c:varyColors val="0"/>
        <c:ser>
          <c:idx val="6"/>
          <c:order val="0"/>
          <c:tx>
            <c:strRef>
              <c:f>'[Fiji Scenario Analysis 070420 new.xlsx]FOREST'!$B$2</c:f>
              <c:strCache>
                <c:ptCount val="1"/>
                <c:pt idx="0">
                  <c:v>BAU</c:v>
                </c:pt>
              </c:strCache>
            </c:strRef>
          </c:tx>
          <c:spPr>
            <a:ln w="12700" cap="rnd">
              <a:solidFill>
                <a:schemeClr val="accent4"/>
              </a:solidFill>
              <a:round/>
            </a:ln>
            <a:effectLst/>
          </c:spPr>
          <c:marker>
            <c:symbol val="none"/>
          </c:marker>
          <c:cat>
            <c:strRef>
              <c:f>'[Fiji Scenario Analysis 070420 new.xlsx]FOREST'!$A$28:$A$44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new.xlsx]FOREST'!$B$28:$B$44</c:f>
              <c:numCache>
                <c:formatCode>General</c:formatCode>
                <c:ptCount val="17"/>
                <c:pt idx="0">
                  <c:v>0.54912391441999997</c:v>
                </c:pt>
                <c:pt idx="1">
                  <c:v>0.55037890105800003</c:v>
                </c:pt>
                <c:pt idx="2">
                  <c:v>0.55166789298800001</c:v>
                </c:pt>
                <c:pt idx="3">
                  <c:v>0.55299820585899995</c:v>
                </c:pt>
                <c:pt idx="4">
                  <c:v>0.55436794304899994</c:v>
                </c:pt>
                <c:pt idx="5">
                  <c:v>0.55576983203800001</c:v>
                </c:pt>
                <c:pt idx="6">
                  <c:v>0.55710596287699998</c:v>
                </c:pt>
                <c:pt idx="7">
                  <c:v>0.55832610218699996</c:v>
                </c:pt>
                <c:pt idx="8">
                  <c:v>0.55957057109999997</c:v>
                </c:pt>
                <c:pt idx="9">
                  <c:v>0.56083841401900003</c:v>
                </c:pt>
                <c:pt idx="10">
                  <c:v>0.56212897457699995</c:v>
                </c:pt>
                <c:pt idx="11">
                  <c:v>0.56344228499799998</c:v>
                </c:pt>
                <c:pt idx="12">
                  <c:v>0.56477880274600001</c:v>
                </c:pt>
                <c:pt idx="13">
                  <c:v>0.566138578482</c:v>
                </c:pt>
                <c:pt idx="14">
                  <c:v>0.56752093333700004</c:v>
                </c:pt>
                <c:pt idx="15">
                  <c:v>0.56892585582599997</c:v>
                </c:pt>
                <c:pt idx="16">
                  <c:v>0.57035365438200003</c:v>
                </c:pt>
              </c:numCache>
            </c:numRef>
          </c:val>
          <c:smooth val="0"/>
          <c:extLst>
            <c:ext xmlns:c16="http://schemas.microsoft.com/office/drawing/2014/chart" uri="{C3380CC4-5D6E-409C-BE32-E72D297353CC}">
              <c16:uniqueId val="{00000000-47A3-4B32-89FB-38F29FFB9C05}"/>
            </c:ext>
          </c:extLst>
        </c:ser>
        <c:ser>
          <c:idx val="5"/>
          <c:order val="1"/>
          <c:tx>
            <c:strRef>
              <c:f>'[Fiji Scenario Analysis 070420 new.xlsx]FOREST'!$C$2</c:f>
              <c:strCache>
                <c:ptCount val="1"/>
                <c:pt idx="0">
                  <c:v>1. GAC</c:v>
                </c:pt>
              </c:strCache>
            </c:strRef>
          </c:tx>
          <c:spPr>
            <a:ln w="12700" cap="rnd">
              <a:solidFill>
                <a:srgbClr val="FF0000"/>
              </a:solidFill>
              <a:round/>
            </a:ln>
            <a:effectLst/>
          </c:spPr>
          <c:marker>
            <c:symbol val="none"/>
          </c:marker>
          <c:cat>
            <c:strRef>
              <c:f>'[Fiji Scenario Analysis 070420 new.xlsx]FOREST'!$A$28:$A$44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new.xlsx]FOREST'!$C$28:$C$44</c:f>
              <c:numCache>
                <c:formatCode>General</c:formatCode>
                <c:ptCount val="17"/>
                <c:pt idx="0">
                  <c:v>0.54912391441999997</c:v>
                </c:pt>
                <c:pt idx="1">
                  <c:v>0.55037890105800003</c:v>
                </c:pt>
                <c:pt idx="2">
                  <c:v>0.55166789298800001</c:v>
                </c:pt>
                <c:pt idx="3">
                  <c:v>0.55299820585899995</c:v>
                </c:pt>
                <c:pt idx="4">
                  <c:v>0.55436794304899994</c:v>
                </c:pt>
                <c:pt idx="5">
                  <c:v>0.55576983203800001</c:v>
                </c:pt>
                <c:pt idx="6">
                  <c:v>0.55709387292799994</c:v>
                </c:pt>
                <c:pt idx="7">
                  <c:v>0.55829454474999995</c:v>
                </c:pt>
                <c:pt idx="8">
                  <c:v>0.55951471863299995</c:v>
                </c:pt>
                <c:pt idx="9">
                  <c:v>0.56075432761599997</c:v>
                </c:pt>
                <c:pt idx="10">
                  <c:v>0.56201312561100003</c:v>
                </c:pt>
                <c:pt idx="11">
                  <c:v>0.563291721217</c:v>
                </c:pt>
                <c:pt idx="12">
                  <c:v>0.56459269859299999</c:v>
                </c:pt>
                <c:pt idx="13">
                  <c:v>0.56591720097800002</c:v>
                </c:pt>
                <c:pt idx="14">
                  <c:v>0.56726495865299997</c:v>
                </c:pt>
                <c:pt idx="15">
                  <c:v>0.56863653081800003</c:v>
                </c:pt>
                <c:pt idx="16">
                  <c:v>0.57003247287100001</c:v>
                </c:pt>
              </c:numCache>
            </c:numRef>
          </c:val>
          <c:smooth val="0"/>
          <c:extLst>
            <c:ext xmlns:c16="http://schemas.microsoft.com/office/drawing/2014/chart" uri="{C3380CC4-5D6E-409C-BE32-E72D297353CC}">
              <c16:uniqueId val="{00000001-47A3-4B32-89FB-38F29FFB9C05}"/>
            </c:ext>
          </c:extLst>
        </c:ser>
        <c:ser>
          <c:idx val="4"/>
          <c:order val="2"/>
          <c:tx>
            <c:strRef>
              <c:f>'[Fiji Scenario Analysis 070420 new.xlsx]FOREST'!$D$2</c:f>
              <c:strCache>
                <c:ptCount val="1"/>
                <c:pt idx="0">
                  <c:v>2. GE</c:v>
                </c:pt>
              </c:strCache>
            </c:strRef>
          </c:tx>
          <c:spPr>
            <a:ln w="12700" cap="rnd">
              <a:solidFill>
                <a:srgbClr val="92D050"/>
              </a:solidFill>
              <a:round/>
            </a:ln>
            <a:effectLst/>
          </c:spPr>
          <c:marker>
            <c:symbol val="none"/>
          </c:marker>
          <c:cat>
            <c:strRef>
              <c:f>'[Fiji Scenario Analysis 070420 new.xlsx]FOREST'!$A$28:$A$44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new.xlsx]FOREST'!$D$28:$D$44</c:f>
              <c:numCache>
                <c:formatCode>General</c:formatCode>
                <c:ptCount val="17"/>
                <c:pt idx="0">
                  <c:v>0.54912391441999997</c:v>
                </c:pt>
                <c:pt idx="1">
                  <c:v>0.55037890105800003</c:v>
                </c:pt>
                <c:pt idx="2">
                  <c:v>0.55166789298800001</c:v>
                </c:pt>
                <c:pt idx="3">
                  <c:v>0.55299820585899995</c:v>
                </c:pt>
                <c:pt idx="4">
                  <c:v>0.55436794304899994</c:v>
                </c:pt>
                <c:pt idx="5">
                  <c:v>0.55576983203800001</c:v>
                </c:pt>
                <c:pt idx="6">
                  <c:v>0.56067504541500002</c:v>
                </c:pt>
                <c:pt idx="7">
                  <c:v>0.56515561779900003</c:v>
                </c:pt>
                <c:pt idx="8">
                  <c:v>0.56973233834299997</c:v>
                </c:pt>
                <c:pt idx="9">
                  <c:v>0.57440348695700005</c:v>
                </c:pt>
                <c:pt idx="10">
                  <c:v>0.57916839091799999</c:v>
                </c:pt>
                <c:pt idx="11">
                  <c:v>0.58402805437600003</c:v>
                </c:pt>
                <c:pt idx="12">
                  <c:v>0.58898434900200003</c:v>
                </c:pt>
                <c:pt idx="13">
                  <c:v>0.59403765166699996</c:v>
                </c:pt>
                <c:pt idx="14">
                  <c:v>0.59918822576399999</c:v>
                </c:pt>
                <c:pt idx="15">
                  <c:v>0.60443692064300003</c:v>
                </c:pt>
                <c:pt idx="16">
                  <c:v>0.60978142041100003</c:v>
                </c:pt>
              </c:numCache>
            </c:numRef>
          </c:val>
          <c:smooth val="0"/>
          <c:extLst>
            <c:ext xmlns:c16="http://schemas.microsoft.com/office/drawing/2014/chart" uri="{C3380CC4-5D6E-409C-BE32-E72D297353CC}">
              <c16:uniqueId val="{00000002-47A3-4B32-89FB-38F29FFB9C05}"/>
            </c:ext>
          </c:extLst>
        </c:ser>
        <c:ser>
          <c:idx val="3"/>
          <c:order val="3"/>
          <c:tx>
            <c:strRef>
              <c:f>'[Fiji Scenario Analysis 070420 new.xlsx]FOREST'!$E$2</c:f>
              <c:strCache>
                <c:ptCount val="1"/>
                <c:pt idx="0">
                  <c:v>3. IG</c:v>
                </c:pt>
              </c:strCache>
            </c:strRef>
          </c:tx>
          <c:spPr>
            <a:ln w="12700" cap="rnd">
              <a:solidFill>
                <a:srgbClr val="00B0F0"/>
              </a:solidFill>
              <a:round/>
            </a:ln>
            <a:effectLst/>
          </c:spPr>
          <c:marker>
            <c:symbol val="none"/>
          </c:marker>
          <c:cat>
            <c:strRef>
              <c:f>'[Fiji Scenario Analysis 070420 new.xlsx]FOREST'!$A$28:$A$44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new.xlsx]FOREST'!$E$28:$E$44</c:f>
              <c:numCache>
                <c:formatCode>General</c:formatCode>
                <c:ptCount val="17"/>
                <c:pt idx="0">
                  <c:v>0.54912391441999997</c:v>
                </c:pt>
                <c:pt idx="1">
                  <c:v>0.55037890105800003</c:v>
                </c:pt>
                <c:pt idx="2">
                  <c:v>0.55166789298800001</c:v>
                </c:pt>
                <c:pt idx="3">
                  <c:v>0.55299820585899995</c:v>
                </c:pt>
                <c:pt idx="4">
                  <c:v>0.55436794304899994</c:v>
                </c:pt>
                <c:pt idx="5">
                  <c:v>0.55576983203800001</c:v>
                </c:pt>
                <c:pt idx="6">
                  <c:v>0.557109379111</c:v>
                </c:pt>
                <c:pt idx="7">
                  <c:v>0.55834732840500001</c:v>
                </c:pt>
                <c:pt idx="8">
                  <c:v>0.55962131566899997</c:v>
                </c:pt>
                <c:pt idx="9">
                  <c:v>0.56092927781400004</c:v>
                </c:pt>
                <c:pt idx="10">
                  <c:v>0.56227108158799999</c:v>
                </c:pt>
                <c:pt idx="11">
                  <c:v>0.56364739758299998</c:v>
                </c:pt>
                <c:pt idx="12">
                  <c:v>0.56505942858400005</c:v>
                </c:pt>
                <c:pt idx="13">
                  <c:v>0.56650779605099999</c:v>
                </c:pt>
                <c:pt idx="14">
                  <c:v>0.56799228542199998</c:v>
                </c:pt>
                <c:pt idx="15">
                  <c:v>0.56951373817299999</c:v>
                </c:pt>
                <c:pt idx="16">
                  <c:v>0.57107156364699996</c:v>
                </c:pt>
              </c:numCache>
            </c:numRef>
          </c:val>
          <c:smooth val="0"/>
          <c:extLst>
            <c:ext xmlns:c16="http://schemas.microsoft.com/office/drawing/2014/chart" uri="{C3380CC4-5D6E-409C-BE32-E72D297353CC}">
              <c16:uniqueId val="{00000003-47A3-4B32-89FB-38F29FFB9C05}"/>
            </c:ext>
          </c:extLst>
        </c:ser>
        <c:ser>
          <c:idx val="2"/>
          <c:order val="4"/>
          <c:tx>
            <c:strRef>
              <c:f>'[Fiji Scenario Analysis 070420 new.xlsx]FOREST'!$F$2</c:f>
              <c:strCache>
                <c:ptCount val="1"/>
                <c:pt idx="0">
                  <c:v>4. ST</c:v>
                </c:pt>
              </c:strCache>
            </c:strRef>
          </c:tx>
          <c:spPr>
            <a:ln w="12700" cap="rnd">
              <a:solidFill>
                <a:srgbClr val="008080"/>
              </a:solidFill>
              <a:round/>
            </a:ln>
            <a:effectLst/>
          </c:spPr>
          <c:marker>
            <c:symbol val="none"/>
          </c:marker>
          <c:cat>
            <c:strRef>
              <c:f>'[Fiji Scenario Analysis 070420 new.xlsx]FOREST'!$A$28:$A$44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new.xlsx]FOREST'!$F$28:$F$44</c:f>
              <c:numCache>
                <c:formatCode>General</c:formatCode>
                <c:ptCount val="17"/>
                <c:pt idx="0">
                  <c:v>0.54912391441999997</c:v>
                </c:pt>
                <c:pt idx="1">
                  <c:v>0.55037890105800003</c:v>
                </c:pt>
                <c:pt idx="2">
                  <c:v>0.55166789298800001</c:v>
                </c:pt>
                <c:pt idx="3">
                  <c:v>0.55299820585899995</c:v>
                </c:pt>
                <c:pt idx="4">
                  <c:v>0.55436794304899994</c:v>
                </c:pt>
                <c:pt idx="5">
                  <c:v>0.55576983203800001</c:v>
                </c:pt>
                <c:pt idx="6">
                  <c:v>0.56072308199400001</c:v>
                </c:pt>
                <c:pt idx="7">
                  <c:v>0.56532012010099997</c:v>
                </c:pt>
                <c:pt idx="8">
                  <c:v>0.57007327939800001</c:v>
                </c:pt>
                <c:pt idx="9">
                  <c:v>0.57497506803700005</c:v>
                </c:pt>
                <c:pt idx="10">
                  <c:v>0.58001839119099996</c:v>
                </c:pt>
                <c:pt idx="11">
                  <c:v>0.58520025484500005</c:v>
                </c:pt>
                <c:pt idx="12">
                  <c:v>0.59052256827399996</c:v>
                </c:pt>
                <c:pt idx="13">
                  <c:v>0.59598611297500004</c:v>
                </c:pt>
                <c:pt idx="14">
                  <c:v>0.60159140662599997</c:v>
                </c:pt>
                <c:pt idx="15">
                  <c:v>0.60733993904899997</c:v>
                </c:pt>
                <c:pt idx="16">
                  <c:v>0.61322509524299995</c:v>
                </c:pt>
              </c:numCache>
            </c:numRef>
          </c:val>
          <c:smooth val="0"/>
          <c:extLst>
            <c:ext xmlns:c16="http://schemas.microsoft.com/office/drawing/2014/chart" uri="{C3380CC4-5D6E-409C-BE32-E72D297353CC}">
              <c16:uniqueId val="{00000004-47A3-4B32-89FB-38F29FFB9C05}"/>
            </c:ext>
          </c:extLst>
        </c:ser>
        <c:ser>
          <c:idx val="1"/>
          <c:order val="5"/>
          <c:tx>
            <c:strRef>
              <c:f>'[Fiji Scenario Analysis 070420 new.xlsx]FOREST'!$G$2</c:f>
              <c:strCache>
                <c:ptCount val="1"/>
                <c:pt idx="0">
                  <c:v>5. ST_CLIMATE</c:v>
                </c:pt>
              </c:strCache>
            </c:strRef>
          </c:tx>
          <c:spPr>
            <a:ln w="12700" cap="rnd">
              <a:solidFill>
                <a:schemeClr val="accent2"/>
              </a:solidFill>
              <a:prstDash val="dash"/>
              <a:round/>
            </a:ln>
            <a:effectLst/>
          </c:spPr>
          <c:marker>
            <c:symbol val="none"/>
          </c:marker>
          <c:cat>
            <c:strRef>
              <c:f>'[Fiji Scenario Analysis 070420 new.xlsx]FOREST'!$A$28:$A$44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new.xlsx]FOREST'!$G$28:$G$44</c:f>
              <c:numCache>
                <c:formatCode>General</c:formatCode>
                <c:ptCount val="17"/>
                <c:pt idx="0">
                  <c:v>0.54912391441999997</c:v>
                </c:pt>
                <c:pt idx="1">
                  <c:v>0.55037890105800003</c:v>
                </c:pt>
                <c:pt idx="2">
                  <c:v>0.55166789298800001</c:v>
                </c:pt>
                <c:pt idx="3">
                  <c:v>0.55299820585899995</c:v>
                </c:pt>
                <c:pt idx="4">
                  <c:v>0.55436794304899994</c:v>
                </c:pt>
                <c:pt idx="5">
                  <c:v>0.55576983203800001</c:v>
                </c:pt>
                <c:pt idx="6">
                  <c:v>0.55982177769300001</c:v>
                </c:pt>
                <c:pt idx="7">
                  <c:v>0.56441573426699998</c:v>
                </c:pt>
                <c:pt idx="8">
                  <c:v>0.56916309148400002</c:v>
                </c:pt>
                <c:pt idx="9">
                  <c:v>0.57405726112400002</c:v>
                </c:pt>
                <c:pt idx="10">
                  <c:v>0.57909057107100004</c:v>
                </c:pt>
                <c:pt idx="11">
                  <c:v>0.58425772393300002</c:v>
                </c:pt>
                <c:pt idx="12">
                  <c:v>0.58955742843500003</c:v>
                </c:pt>
                <c:pt idx="13">
                  <c:v>0.59499025917799997</c:v>
                </c:pt>
                <c:pt idx="14">
                  <c:v>0.60055694281299998</c:v>
                </c:pt>
                <c:pt idx="15">
                  <c:v>0.60625924393300001</c:v>
                </c:pt>
                <c:pt idx="16">
                  <c:v>0.612090887167</c:v>
                </c:pt>
              </c:numCache>
            </c:numRef>
          </c:val>
          <c:smooth val="0"/>
          <c:extLst>
            <c:ext xmlns:c16="http://schemas.microsoft.com/office/drawing/2014/chart" uri="{C3380CC4-5D6E-409C-BE32-E72D297353CC}">
              <c16:uniqueId val="{00000005-47A3-4B32-89FB-38F29FFB9C05}"/>
            </c:ext>
          </c:extLst>
        </c:ser>
        <c:ser>
          <c:idx val="0"/>
          <c:order val="6"/>
          <c:tx>
            <c:strRef>
              <c:f>'[Fiji Scenario Analysis 070420 new.xlsx]FOREST'!$H$2</c:f>
              <c:strCache>
                <c:ptCount val="1"/>
                <c:pt idx="0">
                  <c:v>6. ST_SDG</c:v>
                </c:pt>
              </c:strCache>
            </c:strRef>
          </c:tx>
          <c:spPr>
            <a:ln w="12700" cap="rnd">
              <a:solidFill>
                <a:schemeClr val="accent5"/>
              </a:solidFill>
              <a:prstDash val="dash"/>
              <a:round/>
            </a:ln>
            <a:effectLst/>
          </c:spPr>
          <c:marker>
            <c:symbol val="none"/>
          </c:marker>
          <c:cat>
            <c:strRef>
              <c:f>'[Fiji Scenario Analysis 070420 new.xlsx]FOREST'!$A$28:$A$44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new.xlsx]FOREST'!$H$28:$H$44</c:f>
              <c:numCache>
                <c:formatCode>General</c:formatCode>
                <c:ptCount val="17"/>
                <c:pt idx="0">
                  <c:v>0.54912391441999997</c:v>
                </c:pt>
                <c:pt idx="1">
                  <c:v>0.55037890105800003</c:v>
                </c:pt>
                <c:pt idx="2">
                  <c:v>0.55166789298800001</c:v>
                </c:pt>
                <c:pt idx="3">
                  <c:v>0.55299820585899995</c:v>
                </c:pt>
                <c:pt idx="4">
                  <c:v>0.55436794304899994</c:v>
                </c:pt>
                <c:pt idx="5">
                  <c:v>0.55576983203800001</c:v>
                </c:pt>
                <c:pt idx="6">
                  <c:v>0.55987213307499994</c:v>
                </c:pt>
                <c:pt idx="7">
                  <c:v>0.564591930716</c:v>
                </c:pt>
                <c:pt idx="8">
                  <c:v>0.56952168243900003</c:v>
                </c:pt>
                <c:pt idx="9">
                  <c:v>0.57464205606300001</c:v>
                </c:pt>
                <c:pt idx="10">
                  <c:v>0.57993524179900002</c:v>
                </c:pt>
                <c:pt idx="11">
                  <c:v>0.58540191207100001</c:v>
                </c:pt>
                <c:pt idx="12">
                  <c:v>0.59103547320500005</c:v>
                </c:pt>
                <c:pt idx="13">
                  <c:v>0.59681468220599998</c:v>
                </c:pt>
                <c:pt idx="14">
                  <c:v>0.60273307191400005</c:v>
                </c:pt>
                <c:pt idx="15">
                  <c:v>0.60878731834199995</c:v>
                </c:pt>
                <c:pt idx="16">
                  <c:v>0.61496093130100005</c:v>
                </c:pt>
              </c:numCache>
            </c:numRef>
          </c:val>
          <c:smooth val="0"/>
          <c:extLst>
            <c:ext xmlns:c16="http://schemas.microsoft.com/office/drawing/2014/chart" uri="{C3380CC4-5D6E-409C-BE32-E72D297353CC}">
              <c16:uniqueId val="{00000006-47A3-4B32-89FB-38F29FFB9C05}"/>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Forest cover (%)</a:t>
                </a:r>
              </a:p>
            </c:rich>
          </c:tx>
          <c:layout>
            <c:manualLayout>
              <c:xMode val="edge"/>
              <c:yMode val="edge"/>
              <c:x val="1.2825052959750591E-2"/>
              <c:y val="0.342749177853611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1.0000000000000002E-2"/>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3038194444445E-2"/>
          <c:y val="1.7970253718285215E-2"/>
          <c:w val="0.88993975694444449"/>
          <c:h val="0.81730401234567907"/>
        </c:manualLayout>
      </c:layout>
      <c:lineChart>
        <c:grouping val="standard"/>
        <c:varyColors val="0"/>
        <c:ser>
          <c:idx val="6"/>
          <c:order val="0"/>
          <c:tx>
            <c:strRef>
              <c:f>'[Fiji Scenario Analysis 070420 new.xlsx]Gov_Exp_share'!$C$3</c:f>
              <c:strCache>
                <c:ptCount val="1"/>
                <c:pt idx="0">
                  <c:v>BAU</c:v>
                </c:pt>
              </c:strCache>
            </c:strRef>
          </c:tx>
          <c:spPr>
            <a:ln w="12700" cap="rnd">
              <a:solidFill>
                <a:srgbClr val="FFC000"/>
              </a:solidFill>
              <a:prstDash val="solid"/>
              <a:round/>
            </a:ln>
            <a:effectLst/>
          </c:spPr>
          <c:marker>
            <c:symbol val="none"/>
          </c:marker>
          <c:cat>
            <c:strRef>
              <c:f>'[Fiji Scenario Analysis 070420 new.xlsx]Gov_Exp_share'!$B$4:$B$45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new.xlsx]Gov_Exp_share'!$C$4:$C$45</c:f>
              <c:numCache>
                <c:formatCode>0.0%</c:formatCode>
                <c:ptCount val="42"/>
                <c:pt idx="0">
                  <c:v>0.29504399590699998</c:v>
                </c:pt>
                <c:pt idx="1">
                  <c:v>0.29550118883900001</c:v>
                </c:pt>
                <c:pt idx="2">
                  <c:v>0.29221590688900001</c:v>
                </c:pt>
                <c:pt idx="3">
                  <c:v>0.29229117777399999</c:v>
                </c:pt>
                <c:pt idx="4">
                  <c:v>0.274089221657</c:v>
                </c:pt>
                <c:pt idx="5">
                  <c:v>0.26216808129300001</c:v>
                </c:pt>
                <c:pt idx="6">
                  <c:v>0.30086210195200003</c:v>
                </c:pt>
                <c:pt idx="7">
                  <c:v>0.32638897148200002</c:v>
                </c:pt>
                <c:pt idx="8">
                  <c:v>0.30062944359499999</c:v>
                </c:pt>
                <c:pt idx="9">
                  <c:v>0.28024917812799999</c:v>
                </c:pt>
                <c:pt idx="10">
                  <c:v>0.29281530113699999</c:v>
                </c:pt>
                <c:pt idx="11">
                  <c:v>0.29959551452799998</c:v>
                </c:pt>
                <c:pt idx="12">
                  <c:v>0.30622389312199999</c:v>
                </c:pt>
                <c:pt idx="13">
                  <c:v>0.29553310848600001</c:v>
                </c:pt>
                <c:pt idx="14">
                  <c:v>0.285666266369</c:v>
                </c:pt>
                <c:pt idx="15">
                  <c:v>0.27569096217900002</c:v>
                </c:pt>
                <c:pt idx="16">
                  <c:v>0.28854151272700002</c:v>
                </c:pt>
                <c:pt idx="17">
                  <c:v>0.271907001644</c:v>
                </c:pt>
                <c:pt idx="18">
                  <c:v>0.25503754903100001</c:v>
                </c:pt>
                <c:pt idx="19">
                  <c:v>0.29113211611500001</c:v>
                </c:pt>
                <c:pt idx="20">
                  <c:v>0.27569259765300003</c:v>
                </c:pt>
                <c:pt idx="21">
                  <c:v>0.28810024615800001</c:v>
                </c:pt>
                <c:pt idx="22">
                  <c:v>0.28870293692900001</c:v>
                </c:pt>
                <c:pt idx="23">
                  <c:v>0.28544328454500001</c:v>
                </c:pt>
                <c:pt idx="24">
                  <c:v>0.30465165243600001</c:v>
                </c:pt>
                <c:pt idx="25">
                  <c:v>0.319514162248</c:v>
                </c:pt>
                <c:pt idx="26">
                  <c:v>0.32029780237900002</c:v>
                </c:pt>
                <c:pt idx="27">
                  <c:v>0.32081071894800001</c:v>
                </c:pt>
                <c:pt idx="28">
                  <c:v>0.32155101137199998</c:v>
                </c:pt>
                <c:pt idx="29">
                  <c:v>0.322034347449</c:v>
                </c:pt>
                <c:pt idx="30">
                  <c:v>0.32432427393500002</c:v>
                </c:pt>
                <c:pt idx="31">
                  <c:v>0.32553095964500001</c:v>
                </c:pt>
                <c:pt idx="32">
                  <c:v>0.32683763811799998</c:v>
                </c:pt>
                <c:pt idx="33">
                  <c:v>0.328213715327</c:v>
                </c:pt>
                <c:pt idx="34">
                  <c:v>0.32965519009100003</c:v>
                </c:pt>
                <c:pt idx="35">
                  <c:v>0.331147084589</c:v>
                </c:pt>
                <c:pt idx="36">
                  <c:v>0.33240437464700001</c:v>
                </c:pt>
                <c:pt idx="37">
                  <c:v>0.33369689440700001</c:v>
                </c:pt>
                <c:pt idx="38">
                  <c:v>0.33505411852</c:v>
                </c:pt>
                <c:pt idx="39">
                  <c:v>0.33646056186000001</c:v>
                </c:pt>
                <c:pt idx="40">
                  <c:v>0.33789877307900001</c:v>
                </c:pt>
                <c:pt idx="41">
                  <c:v>0.33934528435</c:v>
                </c:pt>
              </c:numCache>
            </c:numRef>
          </c:val>
          <c:smooth val="0"/>
          <c:extLst>
            <c:ext xmlns:c16="http://schemas.microsoft.com/office/drawing/2014/chart" uri="{C3380CC4-5D6E-409C-BE32-E72D297353CC}">
              <c16:uniqueId val="{00000000-FF05-4641-9534-1DB4F12D8F35}"/>
            </c:ext>
          </c:extLst>
        </c:ser>
        <c:ser>
          <c:idx val="5"/>
          <c:order val="1"/>
          <c:tx>
            <c:strRef>
              <c:f>'[Fiji Scenario Analysis 070420 new.xlsx]Gov_Exp_share'!$D$3</c:f>
              <c:strCache>
                <c:ptCount val="1"/>
                <c:pt idx="0">
                  <c:v>1. GAC</c:v>
                </c:pt>
              </c:strCache>
            </c:strRef>
          </c:tx>
          <c:spPr>
            <a:ln w="12700" cap="rnd">
              <a:solidFill>
                <a:srgbClr val="FF0000"/>
              </a:solidFill>
              <a:prstDash val="solid"/>
              <a:round/>
            </a:ln>
            <a:effectLst/>
          </c:spPr>
          <c:marker>
            <c:symbol val="none"/>
          </c:marker>
          <c:cat>
            <c:strRef>
              <c:f>'[Fiji Scenario Analysis 070420 new.xlsx]Gov_Exp_share'!$B$4:$B$45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new.xlsx]Gov_Exp_share'!$D$4:$D$45</c:f>
              <c:numCache>
                <c:formatCode>0.0%</c:formatCode>
                <c:ptCount val="42"/>
                <c:pt idx="0">
                  <c:v>0.29504399590699998</c:v>
                </c:pt>
                <c:pt idx="1">
                  <c:v>0.29550118883900001</c:v>
                </c:pt>
                <c:pt idx="2">
                  <c:v>0.29221590688900001</c:v>
                </c:pt>
                <c:pt idx="3">
                  <c:v>0.29229117777399999</c:v>
                </c:pt>
                <c:pt idx="4">
                  <c:v>0.274089221657</c:v>
                </c:pt>
                <c:pt idx="5">
                  <c:v>0.26216808129300001</c:v>
                </c:pt>
                <c:pt idx="6">
                  <c:v>0.30086210195200003</c:v>
                </c:pt>
                <c:pt idx="7">
                  <c:v>0.32638897148200002</c:v>
                </c:pt>
                <c:pt idx="8">
                  <c:v>0.30062944359499999</c:v>
                </c:pt>
                <c:pt idx="9">
                  <c:v>0.28024917812799999</c:v>
                </c:pt>
                <c:pt idx="10">
                  <c:v>0.29281530113699999</c:v>
                </c:pt>
                <c:pt idx="11">
                  <c:v>0.29959551452799998</c:v>
                </c:pt>
                <c:pt idx="12">
                  <c:v>0.30622389312199999</c:v>
                </c:pt>
                <c:pt idx="13">
                  <c:v>0.29553310848600001</c:v>
                </c:pt>
                <c:pt idx="14">
                  <c:v>0.285666266369</c:v>
                </c:pt>
                <c:pt idx="15">
                  <c:v>0.27569096217900002</c:v>
                </c:pt>
                <c:pt idx="16">
                  <c:v>0.28854151272700002</c:v>
                </c:pt>
                <c:pt idx="17">
                  <c:v>0.271907001644</c:v>
                </c:pt>
                <c:pt idx="18">
                  <c:v>0.25503754903100001</c:v>
                </c:pt>
                <c:pt idx="19">
                  <c:v>0.29113211611500001</c:v>
                </c:pt>
                <c:pt idx="20">
                  <c:v>0.27569259765300003</c:v>
                </c:pt>
                <c:pt idx="21">
                  <c:v>0.28810024615800001</c:v>
                </c:pt>
                <c:pt idx="22">
                  <c:v>0.28870293692900001</c:v>
                </c:pt>
                <c:pt idx="23">
                  <c:v>0.28544328454500001</c:v>
                </c:pt>
                <c:pt idx="24">
                  <c:v>0.30465165243600001</c:v>
                </c:pt>
                <c:pt idx="25">
                  <c:v>0.319514162248</c:v>
                </c:pt>
                <c:pt idx="26">
                  <c:v>0.32029780237900002</c:v>
                </c:pt>
                <c:pt idx="27">
                  <c:v>0.32081071894800001</c:v>
                </c:pt>
                <c:pt idx="28">
                  <c:v>0.32155101137199998</c:v>
                </c:pt>
                <c:pt idx="29">
                  <c:v>0.322034347449</c:v>
                </c:pt>
                <c:pt idx="30">
                  <c:v>0.31719039302899998</c:v>
                </c:pt>
                <c:pt idx="31">
                  <c:v>0.3123241102</c:v>
                </c:pt>
                <c:pt idx="32">
                  <c:v>0.30832530905200001</c:v>
                </c:pt>
                <c:pt idx="33">
                  <c:v>0.30626990777599999</c:v>
                </c:pt>
                <c:pt idx="34">
                  <c:v>0.305310121544</c:v>
                </c:pt>
                <c:pt idx="35">
                  <c:v>0.30417259895299997</c:v>
                </c:pt>
                <c:pt idx="36">
                  <c:v>0.30656220289899999</c:v>
                </c:pt>
                <c:pt idx="37">
                  <c:v>0.308911474006</c:v>
                </c:pt>
                <c:pt idx="38">
                  <c:v>0.31133953534999997</c:v>
                </c:pt>
                <c:pt idx="39">
                  <c:v>0.31382923739700003</c:v>
                </c:pt>
                <c:pt idx="40">
                  <c:v>0.31633538562699998</c:v>
                </c:pt>
                <c:pt idx="41">
                  <c:v>0.31890186880299998</c:v>
                </c:pt>
              </c:numCache>
            </c:numRef>
          </c:val>
          <c:smooth val="0"/>
          <c:extLst>
            <c:ext xmlns:c16="http://schemas.microsoft.com/office/drawing/2014/chart" uri="{C3380CC4-5D6E-409C-BE32-E72D297353CC}">
              <c16:uniqueId val="{00000001-FF05-4641-9534-1DB4F12D8F35}"/>
            </c:ext>
          </c:extLst>
        </c:ser>
        <c:ser>
          <c:idx val="4"/>
          <c:order val="2"/>
          <c:tx>
            <c:strRef>
              <c:f>'[Fiji Scenario Analysis 070420 new.xlsx]Gov_Exp_share'!$E$3</c:f>
              <c:strCache>
                <c:ptCount val="1"/>
                <c:pt idx="0">
                  <c:v>2. GE</c:v>
                </c:pt>
              </c:strCache>
            </c:strRef>
          </c:tx>
          <c:spPr>
            <a:ln w="12700" cap="rnd">
              <a:solidFill>
                <a:srgbClr val="7CBF33"/>
              </a:solidFill>
              <a:round/>
            </a:ln>
            <a:effectLst/>
          </c:spPr>
          <c:marker>
            <c:symbol val="none"/>
          </c:marker>
          <c:cat>
            <c:strRef>
              <c:f>'[Fiji Scenario Analysis 070420 new.xlsx]Gov_Exp_share'!$B$4:$B$45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new.xlsx]Gov_Exp_share'!$E$4:$E$45</c:f>
              <c:numCache>
                <c:formatCode>0.0%</c:formatCode>
                <c:ptCount val="42"/>
                <c:pt idx="0">
                  <c:v>0.29504399590699998</c:v>
                </c:pt>
                <c:pt idx="1">
                  <c:v>0.29550118883900001</c:v>
                </c:pt>
                <c:pt idx="2">
                  <c:v>0.29221590688900001</c:v>
                </c:pt>
                <c:pt idx="3">
                  <c:v>0.29229117777399999</c:v>
                </c:pt>
                <c:pt idx="4">
                  <c:v>0.274089221657</c:v>
                </c:pt>
                <c:pt idx="5">
                  <c:v>0.26216808129300001</c:v>
                </c:pt>
                <c:pt idx="6">
                  <c:v>0.30086210195200003</c:v>
                </c:pt>
                <c:pt idx="7">
                  <c:v>0.32638897148200002</c:v>
                </c:pt>
                <c:pt idx="8">
                  <c:v>0.30062944359499999</c:v>
                </c:pt>
                <c:pt idx="9">
                  <c:v>0.28024917812799999</c:v>
                </c:pt>
                <c:pt idx="10">
                  <c:v>0.29281530113699999</c:v>
                </c:pt>
                <c:pt idx="11">
                  <c:v>0.29959551452799998</c:v>
                </c:pt>
                <c:pt idx="12">
                  <c:v>0.30622389312199999</c:v>
                </c:pt>
                <c:pt idx="13">
                  <c:v>0.29553310848600001</c:v>
                </c:pt>
                <c:pt idx="14">
                  <c:v>0.285666266369</c:v>
                </c:pt>
                <c:pt idx="15">
                  <c:v>0.27569096217900002</c:v>
                </c:pt>
                <c:pt idx="16">
                  <c:v>0.28854151272700002</c:v>
                </c:pt>
                <c:pt idx="17">
                  <c:v>0.271907001644</c:v>
                </c:pt>
                <c:pt idx="18">
                  <c:v>0.25503754903100001</c:v>
                </c:pt>
                <c:pt idx="19">
                  <c:v>0.29113211611500001</c:v>
                </c:pt>
                <c:pt idx="20">
                  <c:v>0.27569259765300003</c:v>
                </c:pt>
                <c:pt idx="21">
                  <c:v>0.28810024615800001</c:v>
                </c:pt>
                <c:pt idx="22">
                  <c:v>0.28870293692900001</c:v>
                </c:pt>
                <c:pt idx="23">
                  <c:v>0.28544328454500001</c:v>
                </c:pt>
                <c:pt idx="24">
                  <c:v>0.30465165243600001</c:v>
                </c:pt>
                <c:pt idx="25">
                  <c:v>0.319514162248</c:v>
                </c:pt>
                <c:pt idx="26">
                  <c:v>0.32029780237900002</c:v>
                </c:pt>
                <c:pt idx="27">
                  <c:v>0.32081071894800001</c:v>
                </c:pt>
                <c:pt idx="28">
                  <c:v>0.32155101137199998</c:v>
                </c:pt>
                <c:pt idx="29">
                  <c:v>0.322034347449</c:v>
                </c:pt>
                <c:pt idx="30">
                  <c:v>0.33218775629800001</c:v>
                </c:pt>
                <c:pt idx="31">
                  <c:v>0.333629550715</c:v>
                </c:pt>
                <c:pt idx="32">
                  <c:v>0.335054756083</c:v>
                </c:pt>
                <c:pt idx="33">
                  <c:v>0.33653583002100002</c:v>
                </c:pt>
                <c:pt idx="34">
                  <c:v>0.33806847749000002</c:v>
                </c:pt>
                <c:pt idx="35">
                  <c:v>0.33964712268000002</c:v>
                </c:pt>
                <c:pt idx="36">
                  <c:v>0.34097928576100001</c:v>
                </c:pt>
                <c:pt idx="37">
                  <c:v>0.342352954968</c:v>
                </c:pt>
                <c:pt idx="38">
                  <c:v>0.34377048031599999</c:v>
                </c:pt>
                <c:pt idx="39">
                  <c:v>0.34522492252800002</c:v>
                </c:pt>
                <c:pt idx="40">
                  <c:v>0.34671591251299999</c:v>
                </c:pt>
                <c:pt idx="41">
                  <c:v>0.34826159912600002</c:v>
                </c:pt>
              </c:numCache>
            </c:numRef>
          </c:val>
          <c:smooth val="0"/>
          <c:extLst>
            <c:ext xmlns:c16="http://schemas.microsoft.com/office/drawing/2014/chart" uri="{C3380CC4-5D6E-409C-BE32-E72D297353CC}">
              <c16:uniqueId val="{00000002-FF05-4641-9534-1DB4F12D8F35}"/>
            </c:ext>
          </c:extLst>
        </c:ser>
        <c:ser>
          <c:idx val="3"/>
          <c:order val="3"/>
          <c:tx>
            <c:strRef>
              <c:f>'[Fiji Scenario Analysis 070420 new.xlsx]Gov_Exp_share'!$F$3</c:f>
              <c:strCache>
                <c:ptCount val="1"/>
                <c:pt idx="0">
                  <c:v>3. IG</c:v>
                </c:pt>
              </c:strCache>
            </c:strRef>
          </c:tx>
          <c:spPr>
            <a:ln w="12700" cap="rnd">
              <a:solidFill>
                <a:srgbClr val="00B0F0"/>
              </a:solidFill>
              <a:round/>
            </a:ln>
            <a:effectLst/>
          </c:spPr>
          <c:marker>
            <c:symbol val="none"/>
          </c:marker>
          <c:cat>
            <c:strRef>
              <c:f>'[Fiji Scenario Analysis 070420 new.xlsx]Gov_Exp_share'!$B$4:$B$45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new.xlsx]Gov_Exp_share'!$F$4:$F$45</c:f>
              <c:numCache>
                <c:formatCode>0.0%</c:formatCode>
                <c:ptCount val="42"/>
                <c:pt idx="0">
                  <c:v>0.29504399590699998</c:v>
                </c:pt>
                <c:pt idx="1">
                  <c:v>0.29550118883900001</c:v>
                </c:pt>
                <c:pt idx="2">
                  <c:v>0.29221590688900001</c:v>
                </c:pt>
                <c:pt idx="3">
                  <c:v>0.29229117777399999</c:v>
                </c:pt>
                <c:pt idx="4">
                  <c:v>0.274089221657</c:v>
                </c:pt>
                <c:pt idx="5">
                  <c:v>0.26216808129300001</c:v>
                </c:pt>
                <c:pt idx="6">
                  <c:v>0.30086210195200003</c:v>
                </c:pt>
                <c:pt idx="7">
                  <c:v>0.32638897148200002</c:v>
                </c:pt>
                <c:pt idx="8">
                  <c:v>0.30062944359499999</c:v>
                </c:pt>
                <c:pt idx="9">
                  <c:v>0.28024917812799999</c:v>
                </c:pt>
                <c:pt idx="10">
                  <c:v>0.29281530113699999</c:v>
                </c:pt>
                <c:pt idx="11">
                  <c:v>0.29959551452799998</c:v>
                </c:pt>
                <c:pt idx="12">
                  <c:v>0.30622389312199999</c:v>
                </c:pt>
                <c:pt idx="13">
                  <c:v>0.29553310848600001</c:v>
                </c:pt>
                <c:pt idx="14">
                  <c:v>0.285666266369</c:v>
                </c:pt>
                <c:pt idx="15">
                  <c:v>0.27569096217900002</c:v>
                </c:pt>
                <c:pt idx="16">
                  <c:v>0.28854151272700002</c:v>
                </c:pt>
                <c:pt idx="17">
                  <c:v>0.271907001644</c:v>
                </c:pt>
                <c:pt idx="18">
                  <c:v>0.25503754903100001</c:v>
                </c:pt>
                <c:pt idx="19">
                  <c:v>0.29113211611500001</c:v>
                </c:pt>
                <c:pt idx="20">
                  <c:v>0.27569259765300003</c:v>
                </c:pt>
                <c:pt idx="21">
                  <c:v>0.28810024615800001</c:v>
                </c:pt>
                <c:pt idx="22">
                  <c:v>0.28870293692900001</c:v>
                </c:pt>
                <c:pt idx="23">
                  <c:v>0.28544328454500001</c:v>
                </c:pt>
                <c:pt idx="24">
                  <c:v>0.30465165243600001</c:v>
                </c:pt>
                <c:pt idx="25">
                  <c:v>0.319514162248</c:v>
                </c:pt>
                <c:pt idx="26">
                  <c:v>0.32029780237900002</c:v>
                </c:pt>
                <c:pt idx="27">
                  <c:v>0.32081071894800001</c:v>
                </c:pt>
                <c:pt idx="28">
                  <c:v>0.32155101137199998</c:v>
                </c:pt>
                <c:pt idx="29">
                  <c:v>0.322034347449</c:v>
                </c:pt>
                <c:pt idx="30">
                  <c:v>0.34840112199399997</c:v>
                </c:pt>
                <c:pt idx="31">
                  <c:v>0.35986663429900001</c:v>
                </c:pt>
                <c:pt idx="32">
                  <c:v>0.36106578224899999</c:v>
                </c:pt>
                <c:pt idx="33">
                  <c:v>0.36247118476899998</c:v>
                </c:pt>
                <c:pt idx="34">
                  <c:v>0.36392385187800003</c:v>
                </c:pt>
                <c:pt idx="35">
                  <c:v>0.36540837296799999</c:v>
                </c:pt>
                <c:pt idx="36">
                  <c:v>0.36663660221200001</c:v>
                </c:pt>
                <c:pt idx="37">
                  <c:v>0.367883629223</c:v>
                </c:pt>
                <c:pt idx="38">
                  <c:v>0.36918135291199999</c:v>
                </c:pt>
                <c:pt idx="39">
                  <c:v>0.37051325709999999</c:v>
                </c:pt>
                <c:pt idx="40">
                  <c:v>0.37183560278</c:v>
                </c:pt>
                <c:pt idx="41">
                  <c:v>0.37332552489499998</c:v>
                </c:pt>
              </c:numCache>
            </c:numRef>
          </c:val>
          <c:smooth val="0"/>
          <c:extLst>
            <c:ext xmlns:c16="http://schemas.microsoft.com/office/drawing/2014/chart" uri="{C3380CC4-5D6E-409C-BE32-E72D297353CC}">
              <c16:uniqueId val="{00000003-FF05-4641-9534-1DB4F12D8F35}"/>
            </c:ext>
          </c:extLst>
        </c:ser>
        <c:ser>
          <c:idx val="2"/>
          <c:order val="4"/>
          <c:tx>
            <c:strRef>
              <c:f>'[Fiji Scenario Analysis 070420 new.xlsx]Gov_Exp_share'!$G$3</c:f>
              <c:strCache>
                <c:ptCount val="1"/>
                <c:pt idx="0">
                  <c:v>4. ST</c:v>
                </c:pt>
              </c:strCache>
            </c:strRef>
          </c:tx>
          <c:spPr>
            <a:ln w="12700" cap="rnd">
              <a:solidFill>
                <a:srgbClr val="008080"/>
              </a:solidFill>
              <a:round/>
            </a:ln>
            <a:effectLst/>
          </c:spPr>
          <c:marker>
            <c:symbol val="none"/>
          </c:marker>
          <c:cat>
            <c:strRef>
              <c:f>'[Fiji Scenario Analysis 070420 new.xlsx]Gov_Exp_share'!$B$4:$B$45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new.xlsx]Gov_Exp_share'!$G$4:$G$45</c:f>
              <c:numCache>
                <c:formatCode>0.0%</c:formatCode>
                <c:ptCount val="42"/>
                <c:pt idx="0">
                  <c:v>0.29504399590699998</c:v>
                </c:pt>
                <c:pt idx="1">
                  <c:v>0.29550118883900001</c:v>
                </c:pt>
                <c:pt idx="2">
                  <c:v>0.29221590688900001</c:v>
                </c:pt>
                <c:pt idx="3">
                  <c:v>0.29229117777399999</c:v>
                </c:pt>
                <c:pt idx="4">
                  <c:v>0.274089221657</c:v>
                </c:pt>
                <c:pt idx="5">
                  <c:v>0.26216808129300001</c:v>
                </c:pt>
                <c:pt idx="6">
                  <c:v>0.30086210195200003</c:v>
                </c:pt>
                <c:pt idx="7">
                  <c:v>0.32638897148200002</c:v>
                </c:pt>
                <c:pt idx="8">
                  <c:v>0.30062944359499999</c:v>
                </c:pt>
                <c:pt idx="9">
                  <c:v>0.28024917812799999</c:v>
                </c:pt>
                <c:pt idx="10">
                  <c:v>0.29281530113699999</c:v>
                </c:pt>
                <c:pt idx="11">
                  <c:v>0.29959551452799998</c:v>
                </c:pt>
                <c:pt idx="12">
                  <c:v>0.30622389312199999</c:v>
                </c:pt>
                <c:pt idx="13">
                  <c:v>0.29553310848600001</c:v>
                </c:pt>
                <c:pt idx="14">
                  <c:v>0.285666266369</c:v>
                </c:pt>
                <c:pt idx="15">
                  <c:v>0.27569096217900002</c:v>
                </c:pt>
                <c:pt idx="16">
                  <c:v>0.28854151272700002</c:v>
                </c:pt>
                <c:pt idx="17">
                  <c:v>0.271907001644</c:v>
                </c:pt>
                <c:pt idx="18">
                  <c:v>0.25503754903100001</c:v>
                </c:pt>
                <c:pt idx="19">
                  <c:v>0.29113211611500001</c:v>
                </c:pt>
                <c:pt idx="20">
                  <c:v>0.27569259765300003</c:v>
                </c:pt>
                <c:pt idx="21">
                  <c:v>0.28810024615800001</c:v>
                </c:pt>
                <c:pt idx="22">
                  <c:v>0.28870293692900001</c:v>
                </c:pt>
                <c:pt idx="23">
                  <c:v>0.28544328454500001</c:v>
                </c:pt>
                <c:pt idx="24">
                  <c:v>0.30465165243600001</c:v>
                </c:pt>
                <c:pt idx="25">
                  <c:v>0.319514162248</c:v>
                </c:pt>
                <c:pt idx="26">
                  <c:v>0.32029780237900002</c:v>
                </c:pt>
                <c:pt idx="27">
                  <c:v>0.32081071894800001</c:v>
                </c:pt>
                <c:pt idx="28">
                  <c:v>0.32155101137199998</c:v>
                </c:pt>
                <c:pt idx="29">
                  <c:v>0.322034347449</c:v>
                </c:pt>
                <c:pt idx="30">
                  <c:v>0.34613125079700002</c:v>
                </c:pt>
                <c:pt idx="31">
                  <c:v>0.355251979065</c:v>
                </c:pt>
                <c:pt idx="32">
                  <c:v>0.361963727116</c:v>
                </c:pt>
                <c:pt idx="33">
                  <c:v>0.36966962570799999</c:v>
                </c:pt>
                <c:pt idx="34">
                  <c:v>0.37247440434200002</c:v>
                </c:pt>
                <c:pt idx="35">
                  <c:v>0.37279716667899998</c:v>
                </c:pt>
                <c:pt idx="36">
                  <c:v>0.37292572080699998</c:v>
                </c:pt>
                <c:pt idx="37">
                  <c:v>0.37307685943000002</c:v>
                </c:pt>
                <c:pt idx="38">
                  <c:v>0.37325435298999998</c:v>
                </c:pt>
                <c:pt idx="39">
                  <c:v>0.37345024552400002</c:v>
                </c:pt>
                <c:pt idx="40">
                  <c:v>0.37366118016299998</c:v>
                </c:pt>
                <c:pt idx="41">
                  <c:v>0.37397915972899998</c:v>
                </c:pt>
              </c:numCache>
            </c:numRef>
          </c:val>
          <c:smooth val="0"/>
          <c:extLst>
            <c:ext xmlns:c16="http://schemas.microsoft.com/office/drawing/2014/chart" uri="{C3380CC4-5D6E-409C-BE32-E72D297353CC}">
              <c16:uniqueId val="{00000004-FF05-4641-9534-1DB4F12D8F35}"/>
            </c:ext>
          </c:extLst>
        </c:ser>
        <c:ser>
          <c:idx val="1"/>
          <c:order val="5"/>
          <c:tx>
            <c:strRef>
              <c:f>'[Fiji Scenario Analysis 070420 new.xlsx]Gov_Exp_share'!$H$3</c:f>
              <c:strCache>
                <c:ptCount val="1"/>
                <c:pt idx="0">
                  <c:v>5. ST_CLIMATE</c:v>
                </c:pt>
              </c:strCache>
            </c:strRef>
          </c:tx>
          <c:spPr>
            <a:ln w="12700" cap="rnd">
              <a:solidFill>
                <a:srgbClr val="ED7D31"/>
              </a:solidFill>
              <a:prstDash val="sysDash"/>
              <a:round/>
            </a:ln>
            <a:effectLst/>
          </c:spPr>
          <c:marker>
            <c:symbol val="none"/>
          </c:marker>
          <c:cat>
            <c:strRef>
              <c:f>'[Fiji Scenario Analysis 070420 new.xlsx]Gov_Exp_share'!$B$4:$B$45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new.xlsx]Gov_Exp_share'!$H$4:$H$45</c:f>
              <c:numCache>
                <c:formatCode>0.0%</c:formatCode>
                <c:ptCount val="42"/>
                <c:pt idx="0">
                  <c:v>0.29504399590699998</c:v>
                </c:pt>
                <c:pt idx="1">
                  <c:v>0.29550118883900001</c:v>
                </c:pt>
                <c:pt idx="2">
                  <c:v>0.29221590688900001</c:v>
                </c:pt>
                <c:pt idx="3">
                  <c:v>0.29229117777399999</c:v>
                </c:pt>
                <c:pt idx="4">
                  <c:v>0.274089221657</c:v>
                </c:pt>
                <c:pt idx="5">
                  <c:v>0.26216808129300001</c:v>
                </c:pt>
                <c:pt idx="6">
                  <c:v>0.30086210195200003</c:v>
                </c:pt>
                <c:pt idx="7">
                  <c:v>0.32638897148200002</c:v>
                </c:pt>
                <c:pt idx="8">
                  <c:v>0.30062944359499999</c:v>
                </c:pt>
                <c:pt idx="9">
                  <c:v>0.28024917812799999</c:v>
                </c:pt>
                <c:pt idx="10">
                  <c:v>0.29281530113699999</c:v>
                </c:pt>
                <c:pt idx="11">
                  <c:v>0.29959551452799998</c:v>
                </c:pt>
                <c:pt idx="12">
                  <c:v>0.30622389312199999</c:v>
                </c:pt>
                <c:pt idx="13">
                  <c:v>0.29553310848600001</c:v>
                </c:pt>
                <c:pt idx="14">
                  <c:v>0.285666266369</c:v>
                </c:pt>
                <c:pt idx="15">
                  <c:v>0.27569096217900002</c:v>
                </c:pt>
                <c:pt idx="16">
                  <c:v>0.28854151272700002</c:v>
                </c:pt>
                <c:pt idx="17">
                  <c:v>0.271907001644</c:v>
                </c:pt>
                <c:pt idx="18">
                  <c:v>0.25503754903100001</c:v>
                </c:pt>
                <c:pt idx="19">
                  <c:v>0.29113211611500001</c:v>
                </c:pt>
                <c:pt idx="20">
                  <c:v>0.27569259765300003</c:v>
                </c:pt>
                <c:pt idx="21">
                  <c:v>0.28810024615800001</c:v>
                </c:pt>
                <c:pt idx="22">
                  <c:v>0.28870293692900001</c:v>
                </c:pt>
                <c:pt idx="23">
                  <c:v>0.28544328454500001</c:v>
                </c:pt>
                <c:pt idx="24">
                  <c:v>0.30465165243600001</c:v>
                </c:pt>
                <c:pt idx="25">
                  <c:v>0.319514162248</c:v>
                </c:pt>
                <c:pt idx="26">
                  <c:v>0.32029780237900002</c:v>
                </c:pt>
                <c:pt idx="27">
                  <c:v>0.32081071894800001</c:v>
                </c:pt>
                <c:pt idx="28">
                  <c:v>0.32155101137199998</c:v>
                </c:pt>
                <c:pt idx="29">
                  <c:v>0.322034347449</c:v>
                </c:pt>
                <c:pt idx="30">
                  <c:v>0.36169608186500002</c:v>
                </c:pt>
                <c:pt idx="31">
                  <c:v>0.37598222779200002</c:v>
                </c:pt>
                <c:pt idx="32">
                  <c:v>0.386901098587</c:v>
                </c:pt>
                <c:pt idx="33">
                  <c:v>0.394493105161</c:v>
                </c:pt>
                <c:pt idx="34">
                  <c:v>0.39706020343999998</c:v>
                </c:pt>
                <c:pt idx="35">
                  <c:v>0.39992159278200001</c:v>
                </c:pt>
                <c:pt idx="36">
                  <c:v>0.39956587042800001</c:v>
                </c:pt>
                <c:pt idx="37">
                  <c:v>0.39923012450799999</c:v>
                </c:pt>
                <c:pt idx="38">
                  <c:v>0.39891222775200003</c:v>
                </c:pt>
                <c:pt idx="39">
                  <c:v>0.39860338187099997</c:v>
                </c:pt>
                <c:pt idx="40">
                  <c:v>0.39830028842699999</c:v>
                </c:pt>
                <c:pt idx="41">
                  <c:v>0.398087042522</c:v>
                </c:pt>
              </c:numCache>
            </c:numRef>
          </c:val>
          <c:smooth val="0"/>
          <c:extLst>
            <c:ext xmlns:c16="http://schemas.microsoft.com/office/drawing/2014/chart" uri="{C3380CC4-5D6E-409C-BE32-E72D297353CC}">
              <c16:uniqueId val="{00000005-FF05-4641-9534-1DB4F12D8F35}"/>
            </c:ext>
          </c:extLst>
        </c:ser>
        <c:ser>
          <c:idx val="0"/>
          <c:order val="6"/>
          <c:tx>
            <c:strRef>
              <c:f>'[Fiji Scenario Analysis 070420 new.xlsx]Gov_Exp_share'!$I$3</c:f>
              <c:strCache>
                <c:ptCount val="1"/>
                <c:pt idx="0">
                  <c:v>6. ST_SDG</c:v>
                </c:pt>
              </c:strCache>
            </c:strRef>
          </c:tx>
          <c:spPr>
            <a:ln w="12700" cap="rnd">
              <a:solidFill>
                <a:srgbClr val="4472C4"/>
              </a:solidFill>
              <a:prstDash val="dash"/>
              <a:round/>
            </a:ln>
            <a:effectLst/>
          </c:spPr>
          <c:marker>
            <c:symbol val="none"/>
          </c:marker>
          <c:cat>
            <c:strRef>
              <c:f>'[Fiji Scenario Analysis 070420 new.xlsx]Gov_Exp_share'!$B$4:$B$45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new.xlsx]Gov_Exp_share'!$I$4:$I$45</c:f>
              <c:numCache>
                <c:formatCode>0.0%</c:formatCode>
                <c:ptCount val="42"/>
                <c:pt idx="0">
                  <c:v>0.29504399590699998</c:v>
                </c:pt>
                <c:pt idx="1">
                  <c:v>0.29550118883900001</c:v>
                </c:pt>
                <c:pt idx="2">
                  <c:v>0.29221590688900001</c:v>
                </c:pt>
                <c:pt idx="3">
                  <c:v>0.29229117777399999</c:v>
                </c:pt>
                <c:pt idx="4">
                  <c:v>0.274089221657</c:v>
                </c:pt>
                <c:pt idx="5">
                  <c:v>0.26216808129300001</c:v>
                </c:pt>
                <c:pt idx="6">
                  <c:v>0.30086210195200003</c:v>
                </c:pt>
                <c:pt idx="7">
                  <c:v>0.32638897148200002</c:v>
                </c:pt>
                <c:pt idx="8">
                  <c:v>0.30062944359499999</c:v>
                </c:pt>
                <c:pt idx="9">
                  <c:v>0.28024917812799999</c:v>
                </c:pt>
                <c:pt idx="10">
                  <c:v>0.29281530113699999</c:v>
                </c:pt>
                <c:pt idx="11">
                  <c:v>0.29959551452799998</c:v>
                </c:pt>
                <c:pt idx="12">
                  <c:v>0.30622389312199999</c:v>
                </c:pt>
                <c:pt idx="13">
                  <c:v>0.29553310848600001</c:v>
                </c:pt>
                <c:pt idx="14">
                  <c:v>0.285666266369</c:v>
                </c:pt>
                <c:pt idx="15">
                  <c:v>0.27569096217900002</c:v>
                </c:pt>
                <c:pt idx="16">
                  <c:v>0.28854151272700002</c:v>
                </c:pt>
                <c:pt idx="17">
                  <c:v>0.271907001644</c:v>
                </c:pt>
                <c:pt idx="18">
                  <c:v>0.25503754903100001</c:v>
                </c:pt>
                <c:pt idx="19">
                  <c:v>0.29113211611500001</c:v>
                </c:pt>
                <c:pt idx="20">
                  <c:v>0.27569259765300003</c:v>
                </c:pt>
                <c:pt idx="21">
                  <c:v>0.28810024615800001</c:v>
                </c:pt>
                <c:pt idx="22">
                  <c:v>0.28870293692900001</c:v>
                </c:pt>
                <c:pt idx="23">
                  <c:v>0.28544328454500001</c:v>
                </c:pt>
                <c:pt idx="24">
                  <c:v>0.30465165243600001</c:v>
                </c:pt>
                <c:pt idx="25">
                  <c:v>0.319514162248</c:v>
                </c:pt>
                <c:pt idx="26">
                  <c:v>0.32029780237900002</c:v>
                </c:pt>
                <c:pt idx="27">
                  <c:v>0.32081071894800001</c:v>
                </c:pt>
                <c:pt idx="28">
                  <c:v>0.32155101137199998</c:v>
                </c:pt>
                <c:pt idx="29">
                  <c:v>0.322034347449</c:v>
                </c:pt>
                <c:pt idx="30">
                  <c:v>0.40668817167299998</c:v>
                </c:pt>
                <c:pt idx="31">
                  <c:v>0.450029059904</c:v>
                </c:pt>
                <c:pt idx="32">
                  <c:v>0.48422653401799998</c:v>
                </c:pt>
                <c:pt idx="33">
                  <c:v>0.51008728874800002</c:v>
                </c:pt>
                <c:pt idx="34">
                  <c:v>0.52280852335899997</c:v>
                </c:pt>
                <c:pt idx="35">
                  <c:v>0.53654971843999999</c:v>
                </c:pt>
                <c:pt idx="36">
                  <c:v>0.54866531818999997</c:v>
                </c:pt>
                <c:pt idx="37">
                  <c:v>0.54831945257799997</c:v>
                </c:pt>
                <c:pt idx="38">
                  <c:v>0.54782352504999998</c:v>
                </c:pt>
                <c:pt idx="39">
                  <c:v>0.54710741968800003</c:v>
                </c:pt>
                <c:pt idx="40">
                  <c:v>0.54643102056199999</c:v>
                </c:pt>
                <c:pt idx="41">
                  <c:v>0.54592828898900003</c:v>
                </c:pt>
              </c:numCache>
            </c:numRef>
          </c:val>
          <c:smooth val="0"/>
          <c:extLst>
            <c:ext xmlns:c16="http://schemas.microsoft.com/office/drawing/2014/chart" uri="{C3380CC4-5D6E-409C-BE32-E72D297353CC}">
              <c16:uniqueId val="{00000006-FF05-4641-9534-1DB4F12D8F35}"/>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ax val="0.70000000000000007"/>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Government</a:t>
                </a:r>
                <a:r>
                  <a:rPr lang="en-AU" baseline="0"/>
                  <a:t> Expenditure as Share of GDP (%)</a:t>
                </a:r>
                <a:endParaRPr lang="en-AU"/>
              </a:p>
            </c:rich>
          </c:tx>
          <c:layout>
            <c:manualLayout>
              <c:xMode val="edge"/>
              <c:yMode val="edge"/>
              <c:x val="1.2396206884395864E-2"/>
              <c:y val="0.178759921576068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0.1"/>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304558127910817E-2"/>
          <c:y val="1.7970371747376437E-2"/>
          <c:w val="0.89357738456291802"/>
          <c:h val="0.81935925925925923"/>
        </c:manualLayout>
      </c:layout>
      <c:lineChart>
        <c:grouping val="standard"/>
        <c:varyColors val="0"/>
        <c:ser>
          <c:idx val="6"/>
          <c:order val="0"/>
          <c:tx>
            <c:strRef>
              <c:f>'[Fiji Scenario Analysis 070420 new.xlsx]OCEAN'!$B$2</c:f>
              <c:strCache>
                <c:ptCount val="1"/>
                <c:pt idx="0">
                  <c:v>BAU</c:v>
                </c:pt>
              </c:strCache>
            </c:strRef>
          </c:tx>
          <c:spPr>
            <a:ln w="12700" cap="rnd">
              <a:solidFill>
                <a:schemeClr val="accent4"/>
              </a:solidFill>
              <a:round/>
            </a:ln>
            <a:effectLst/>
          </c:spPr>
          <c:marker>
            <c:symbol val="none"/>
          </c:marker>
          <c:cat>
            <c:strRef>
              <c:f>'[Fiji Scenario Analysis 070420 new.xlsx]OCEAN'!$A$28:$A$44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new.xlsx]OCEAN'!$B$28:$B$44</c:f>
              <c:numCache>
                <c:formatCode>General</c:formatCode>
                <c:ptCount val="17"/>
                <c:pt idx="0">
                  <c:v>5.4001748545700001E-2</c:v>
                </c:pt>
                <c:pt idx="1">
                  <c:v>6.1028813206400002E-2</c:v>
                </c:pt>
                <c:pt idx="2">
                  <c:v>6.4464564620100001E-2</c:v>
                </c:pt>
                <c:pt idx="3">
                  <c:v>6.7002769403399998E-2</c:v>
                </c:pt>
                <c:pt idx="4">
                  <c:v>6.9165929772700002E-2</c:v>
                </c:pt>
                <c:pt idx="5">
                  <c:v>7.0952818444400004E-2</c:v>
                </c:pt>
                <c:pt idx="6">
                  <c:v>7.2618055719900002E-2</c:v>
                </c:pt>
                <c:pt idx="7">
                  <c:v>7.4224542476200001E-2</c:v>
                </c:pt>
                <c:pt idx="8">
                  <c:v>7.5747702764500005E-2</c:v>
                </c:pt>
                <c:pt idx="9">
                  <c:v>7.7206386294099996E-2</c:v>
                </c:pt>
                <c:pt idx="10">
                  <c:v>7.8619817775299999E-2</c:v>
                </c:pt>
                <c:pt idx="11">
                  <c:v>8.0021122596299996E-2</c:v>
                </c:pt>
                <c:pt idx="12">
                  <c:v>8.1438927071300002E-2</c:v>
                </c:pt>
                <c:pt idx="13">
                  <c:v>8.2860185445600004E-2</c:v>
                </c:pt>
                <c:pt idx="14">
                  <c:v>8.4256234050000003E-2</c:v>
                </c:pt>
                <c:pt idx="15">
                  <c:v>8.5644643971200002E-2</c:v>
                </c:pt>
                <c:pt idx="16">
                  <c:v>8.7041848686600004E-2</c:v>
                </c:pt>
              </c:numCache>
            </c:numRef>
          </c:val>
          <c:smooth val="0"/>
          <c:extLst>
            <c:ext xmlns:c16="http://schemas.microsoft.com/office/drawing/2014/chart" uri="{C3380CC4-5D6E-409C-BE32-E72D297353CC}">
              <c16:uniqueId val="{00000000-062D-4187-ABD3-0A529D866D06}"/>
            </c:ext>
          </c:extLst>
        </c:ser>
        <c:ser>
          <c:idx val="5"/>
          <c:order val="1"/>
          <c:tx>
            <c:strRef>
              <c:f>'[Fiji Scenario Analysis 070420 new.xlsx]OCEAN'!$C$2</c:f>
              <c:strCache>
                <c:ptCount val="1"/>
                <c:pt idx="0">
                  <c:v>1. GAC</c:v>
                </c:pt>
              </c:strCache>
            </c:strRef>
          </c:tx>
          <c:spPr>
            <a:ln w="12700" cap="rnd">
              <a:solidFill>
                <a:srgbClr val="FF0000"/>
              </a:solidFill>
              <a:round/>
            </a:ln>
            <a:effectLst/>
          </c:spPr>
          <c:marker>
            <c:symbol val="none"/>
          </c:marker>
          <c:cat>
            <c:strRef>
              <c:f>'[Fiji Scenario Analysis 070420 new.xlsx]OCEAN'!$A$28:$A$44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new.xlsx]OCEAN'!$C$28:$C$44</c:f>
              <c:numCache>
                <c:formatCode>General</c:formatCode>
                <c:ptCount val="17"/>
                <c:pt idx="0">
                  <c:v>5.4001748545700001E-2</c:v>
                </c:pt>
                <c:pt idx="1">
                  <c:v>6.1028813206400002E-2</c:v>
                </c:pt>
                <c:pt idx="2">
                  <c:v>6.4464564620100001E-2</c:v>
                </c:pt>
                <c:pt idx="3">
                  <c:v>6.7002769403399998E-2</c:v>
                </c:pt>
                <c:pt idx="4">
                  <c:v>6.9165929772700002E-2</c:v>
                </c:pt>
                <c:pt idx="5">
                  <c:v>7.0952818444400004E-2</c:v>
                </c:pt>
                <c:pt idx="6">
                  <c:v>5.8553063975500003E-2</c:v>
                </c:pt>
                <c:pt idx="7">
                  <c:v>5.5218422305900003E-2</c:v>
                </c:pt>
                <c:pt idx="8">
                  <c:v>5.4784334536199998E-2</c:v>
                </c:pt>
                <c:pt idx="9">
                  <c:v>5.5269755633600003E-2</c:v>
                </c:pt>
                <c:pt idx="10">
                  <c:v>5.6040651413300002E-2</c:v>
                </c:pt>
                <c:pt idx="11">
                  <c:v>5.6921978388100002E-2</c:v>
                </c:pt>
                <c:pt idx="12">
                  <c:v>5.7925766698400001E-2</c:v>
                </c:pt>
                <c:pt idx="13">
                  <c:v>5.8994764612199997E-2</c:v>
                </c:pt>
                <c:pt idx="14">
                  <c:v>6.0078447596799998E-2</c:v>
                </c:pt>
                <c:pt idx="15">
                  <c:v>6.11880880999E-2</c:v>
                </c:pt>
                <c:pt idx="16">
                  <c:v>6.2269654312800002E-2</c:v>
                </c:pt>
              </c:numCache>
            </c:numRef>
          </c:val>
          <c:smooth val="0"/>
          <c:extLst>
            <c:ext xmlns:c16="http://schemas.microsoft.com/office/drawing/2014/chart" uri="{C3380CC4-5D6E-409C-BE32-E72D297353CC}">
              <c16:uniqueId val="{00000001-062D-4187-ABD3-0A529D866D06}"/>
            </c:ext>
          </c:extLst>
        </c:ser>
        <c:ser>
          <c:idx val="4"/>
          <c:order val="2"/>
          <c:tx>
            <c:strRef>
              <c:f>'[Fiji Scenario Analysis 070420 new.xlsx]OCEAN'!$D$2</c:f>
              <c:strCache>
                <c:ptCount val="1"/>
                <c:pt idx="0">
                  <c:v>2. GE</c:v>
                </c:pt>
              </c:strCache>
            </c:strRef>
          </c:tx>
          <c:spPr>
            <a:ln w="12700" cap="rnd">
              <a:solidFill>
                <a:srgbClr val="92D050"/>
              </a:solidFill>
              <a:round/>
            </a:ln>
            <a:effectLst/>
          </c:spPr>
          <c:marker>
            <c:symbol val="none"/>
          </c:marker>
          <c:cat>
            <c:strRef>
              <c:f>'[Fiji Scenario Analysis 070420 new.xlsx]OCEAN'!$A$28:$A$44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new.xlsx]OCEAN'!$D$28:$D$44</c:f>
              <c:numCache>
                <c:formatCode>General</c:formatCode>
                <c:ptCount val="17"/>
                <c:pt idx="0">
                  <c:v>5.4001748545700001E-2</c:v>
                </c:pt>
                <c:pt idx="1">
                  <c:v>6.1028813206400002E-2</c:v>
                </c:pt>
                <c:pt idx="2">
                  <c:v>6.4464564620100001E-2</c:v>
                </c:pt>
                <c:pt idx="3">
                  <c:v>6.7002769403399998E-2</c:v>
                </c:pt>
                <c:pt idx="4">
                  <c:v>6.9165929772700002E-2</c:v>
                </c:pt>
                <c:pt idx="5">
                  <c:v>7.0952818444400004E-2</c:v>
                </c:pt>
                <c:pt idx="6">
                  <c:v>0.18762092800800001</c:v>
                </c:pt>
                <c:pt idx="7">
                  <c:v>0.229283618312</c:v>
                </c:pt>
                <c:pt idx="8">
                  <c:v>0.24706041996100001</c:v>
                </c:pt>
                <c:pt idx="9">
                  <c:v>0.25721367034199999</c:v>
                </c:pt>
                <c:pt idx="10">
                  <c:v>0.264953666049</c:v>
                </c:pt>
                <c:pt idx="11">
                  <c:v>0.27200127869700003</c:v>
                </c:pt>
                <c:pt idx="12">
                  <c:v>0.278929970257</c:v>
                </c:pt>
                <c:pt idx="13">
                  <c:v>0.28586565287799998</c:v>
                </c:pt>
                <c:pt idx="14">
                  <c:v>0.292849313971</c:v>
                </c:pt>
                <c:pt idx="15">
                  <c:v>0.29991325339199998</c:v>
                </c:pt>
                <c:pt idx="16">
                  <c:v>0.30543999805099997</c:v>
                </c:pt>
              </c:numCache>
            </c:numRef>
          </c:val>
          <c:smooth val="0"/>
          <c:extLst>
            <c:ext xmlns:c16="http://schemas.microsoft.com/office/drawing/2014/chart" uri="{C3380CC4-5D6E-409C-BE32-E72D297353CC}">
              <c16:uniqueId val="{00000002-062D-4187-ABD3-0A529D866D06}"/>
            </c:ext>
          </c:extLst>
        </c:ser>
        <c:ser>
          <c:idx val="3"/>
          <c:order val="3"/>
          <c:tx>
            <c:strRef>
              <c:f>'[Fiji Scenario Analysis 070420 new.xlsx]OCEAN'!$E$2</c:f>
              <c:strCache>
                <c:ptCount val="1"/>
                <c:pt idx="0">
                  <c:v>3. IG</c:v>
                </c:pt>
              </c:strCache>
            </c:strRef>
          </c:tx>
          <c:spPr>
            <a:ln w="12700" cap="rnd">
              <a:solidFill>
                <a:srgbClr val="00B0F0"/>
              </a:solidFill>
              <a:round/>
            </a:ln>
            <a:effectLst/>
          </c:spPr>
          <c:marker>
            <c:symbol val="none"/>
          </c:marker>
          <c:cat>
            <c:strRef>
              <c:f>'[Fiji Scenario Analysis 070420 new.xlsx]OCEAN'!$A$28:$A$44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new.xlsx]OCEAN'!$E$28:$E$44</c:f>
              <c:numCache>
                <c:formatCode>General</c:formatCode>
                <c:ptCount val="17"/>
                <c:pt idx="0">
                  <c:v>5.4001748545700001E-2</c:v>
                </c:pt>
                <c:pt idx="1">
                  <c:v>6.1028813206400002E-2</c:v>
                </c:pt>
                <c:pt idx="2">
                  <c:v>6.4464564620100001E-2</c:v>
                </c:pt>
                <c:pt idx="3">
                  <c:v>6.7002769403399998E-2</c:v>
                </c:pt>
                <c:pt idx="4">
                  <c:v>6.9165929772700002E-2</c:v>
                </c:pt>
                <c:pt idx="5">
                  <c:v>7.0952818444400004E-2</c:v>
                </c:pt>
                <c:pt idx="6">
                  <c:v>7.3693632132599995E-2</c:v>
                </c:pt>
                <c:pt idx="7">
                  <c:v>7.69387925896E-2</c:v>
                </c:pt>
                <c:pt idx="8">
                  <c:v>8.0141300390299999E-2</c:v>
                </c:pt>
                <c:pt idx="9">
                  <c:v>8.3293798120699994E-2</c:v>
                </c:pt>
                <c:pt idx="10">
                  <c:v>8.64536091841E-2</c:v>
                </c:pt>
                <c:pt idx="11">
                  <c:v>8.9673433205100003E-2</c:v>
                </c:pt>
                <c:pt idx="12">
                  <c:v>9.2994267148499996E-2</c:v>
                </c:pt>
                <c:pt idx="13">
                  <c:v>9.6398144429300003E-2</c:v>
                </c:pt>
                <c:pt idx="14">
                  <c:v>9.9848611836300005E-2</c:v>
                </c:pt>
                <c:pt idx="15">
                  <c:v>0.103386239698</c:v>
                </c:pt>
                <c:pt idx="16">
                  <c:v>0.105867398627</c:v>
                </c:pt>
              </c:numCache>
            </c:numRef>
          </c:val>
          <c:smooth val="0"/>
          <c:extLst>
            <c:ext xmlns:c16="http://schemas.microsoft.com/office/drawing/2014/chart" uri="{C3380CC4-5D6E-409C-BE32-E72D297353CC}">
              <c16:uniqueId val="{00000003-062D-4187-ABD3-0A529D866D06}"/>
            </c:ext>
          </c:extLst>
        </c:ser>
        <c:ser>
          <c:idx val="2"/>
          <c:order val="4"/>
          <c:tx>
            <c:strRef>
              <c:f>'[Fiji Scenario Analysis 070420 new.xlsx]OCEAN'!$F$2</c:f>
              <c:strCache>
                <c:ptCount val="1"/>
                <c:pt idx="0">
                  <c:v>4. ST</c:v>
                </c:pt>
              </c:strCache>
            </c:strRef>
          </c:tx>
          <c:spPr>
            <a:ln w="12700" cap="rnd">
              <a:solidFill>
                <a:srgbClr val="008080"/>
              </a:solidFill>
              <a:round/>
            </a:ln>
            <a:effectLst/>
          </c:spPr>
          <c:marker>
            <c:symbol val="none"/>
          </c:marker>
          <c:cat>
            <c:strRef>
              <c:f>'[Fiji Scenario Analysis 070420 new.xlsx]OCEAN'!$A$28:$A$44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new.xlsx]OCEAN'!$F$28:$F$44</c:f>
              <c:numCache>
                <c:formatCode>General</c:formatCode>
                <c:ptCount val="17"/>
                <c:pt idx="0">
                  <c:v>5.4001748545700001E-2</c:v>
                </c:pt>
                <c:pt idx="1">
                  <c:v>6.1028813206400002E-2</c:v>
                </c:pt>
                <c:pt idx="2">
                  <c:v>6.4464564620100001E-2</c:v>
                </c:pt>
                <c:pt idx="3">
                  <c:v>6.7002769403399998E-2</c:v>
                </c:pt>
                <c:pt idx="4">
                  <c:v>6.9165929772700002E-2</c:v>
                </c:pt>
                <c:pt idx="5">
                  <c:v>7.0952818444400004E-2</c:v>
                </c:pt>
                <c:pt idx="6">
                  <c:v>0.121139506038</c:v>
                </c:pt>
                <c:pt idx="7">
                  <c:v>0.167173749777</c:v>
                </c:pt>
                <c:pt idx="8">
                  <c:v>0.21407284258100001</c:v>
                </c:pt>
                <c:pt idx="9">
                  <c:v>0.26350242087199999</c:v>
                </c:pt>
                <c:pt idx="10">
                  <c:v>0.28767692240100001</c:v>
                </c:pt>
                <c:pt idx="11">
                  <c:v>0.30374864560499998</c:v>
                </c:pt>
                <c:pt idx="12">
                  <c:v>0.31742219143299999</c:v>
                </c:pt>
                <c:pt idx="13">
                  <c:v>0.33046562651200001</c:v>
                </c:pt>
                <c:pt idx="14">
                  <c:v>0.34344398338100002</c:v>
                </c:pt>
                <c:pt idx="15">
                  <c:v>0.35657543170799999</c:v>
                </c:pt>
                <c:pt idx="16">
                  <c:v>0.36518825818</c:v>
                </c:pt>
              </c:numCache>
            </c:numRef>
          </c:val>
          <c:smooth val="0"/>
          <c:extLst>
            <c:ext xmlns:c16="http://schemas.microsoft.com/office/drawing/2014/chart" uri="{C3380CC4-5D6E-409C-BE32-E72D297353CC}">
              <c16:uniqueId val="{00000004-062D-4187-ABD3-0A529D866D06}"/>
            </c:ext>
          </c:extLst>
        </c:ser>
        <c:ser>
          <c:idx val="1"/>
          <c:order val="5"/>
          <c:tx>
            <c:strRef>
              <c:f>'[Fiji Scenario Analysis 070420 new.xlsx]OCEAN'!$G$2</c:f>
              <c:strCache>
                <c:ptCount val="1"/>
                <c:pt idx="0">
                  <c:v>5. ST_CLIMATE</c:v>
                </c:pt>
              </c:strCache>
            </c:strRef>
          </c:tx>
          <c:spPr>
            <a:ln w="12700" cap="rnd">
              <a:solidFill>
                <a:schemeClr val="accent2"/>
              </a:solidFill>
              <a:prstDash val="dash"/>
              <a:round/>
            </a:ln>
            <a:effectLst/>
          </c:spPr>
          <c:marker>
            <c:symbol val="none"/>
          </c:marker>
          <c:cat>
            <c:strRef>
              <c:f>'[Fiji Scenario Analysis 070420 new.xlsx]OCEAN'!$A$28:$A$44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new.xlsx]OCEAN'!$G$28:$G$44</c:f>
              <c:numCache>
                <c:formatCode>General</c:formatCode>
                <c:ptCount val="17"/>
                <c:pt idx="0">
                  <c:v>5.4001748545700001E-2</c:v>
                </c:pt>
                <c:pt idx="1">
                  <c:v>6.1028813206400002E-2</c:v>
                </c:pt>
                <c:pt idx="2">
                  <c:v>6.4464564620100001E-2</c:v>
                </c:pt>
                <c:pt idx="3">
                  <c:v>6.7002769403399998E-2</c:v>
                </c:pt>
                <c:pt idx="4">
                  <c:v>6.9165929772700002E-2</c:v>
                </c:pt>
                <c:pt idx="5">
                  <c:v>7.0952818444400004E-2</c:v>
                </c:pt>
                <c:pt idx="6">
                  <c:v>0.121143663986</c:v>
                </c:pt>
                <c:pt idx="7">
                  <c:v>0.16708128045699999</c:v>
                </c:pt>
                <c:pt idx="8">
                  <c:v>0.21384532085499999</c:v>
                </c:pt>
                <c:pt idx="9">
                  <c:v>0.26312441330199998</c:v>
                </c:pt>
                <c:pt idx="10">
                  <c:v>0.28714205146799998</c:v>
                </c:pt>
                <c:pt idx="11">
                  <c:v>0.30295206958100002</c:v>
                </c:pt>
                <c:pt idx="12">
                  <c:v>0.31620474517899999</c:v>
                </c:pt>
                <c:pt idx="13">
                  <c:v>0.32876302267599999</c:v>
                </c:pt>
                <c:pt idx="14">
                  <c:v>0.34123686359900002</c:v>
                </c:pt>
                <c:pt idx="15">
                  <c:v>0.35386162955700001</c:v>
                </c:pt>
                <c:pt idx="16">
                  <c:v>0.36201293931799999</c:v>
                </c:pt>
              </c:numCache>
            </c:numRef>
          </c:val>
          <c:smooth val="0"/>
          <c:extLst>
            <c:ext xmlns:c16="http://schemas.microsoft.com/office/drawing/2014/chart" uri="{C3380CC4-5D6E-409C-BE32-E72D297353CC}">
              <c16:uniqueId val="{00000005-062D-4187-ABD3-0A529D866D06}"/>
            </c:ext>
          </c:extLst>
        </c:ser>
        <c:ser>
          <c:idx val="0"/>
          <c:order val="6"/>
          <c:tx>
            <c:strRef>
              <c:f>'[Fiji Scenario Analysis 070420 new.xlsx]OCEAN'!$H$2</c:f>
              <c:strCache>
                <c:ptCount val="1"/>
                <c:pt idx="0">
                  <c:v>6. ST_SDG</c:v>
                </c:pt>
              </c:strCache>
            </c:strRef>
          </c:tx>
          <c:spPr>
            <a:ln w="12700" cap="rnd">
              <a:solidFill>
                <a:schemeClr val="accent5"/>
              </a:solidFill>
              <a:prstDash val="dash"/>
              <a:round/>
            </a:ln>
            <a:effectLst/>
          </c:spPr>
          <c:marker>
            <c:symbol val="none"/>
          </c:marker>
          <c:cat>
            <c:strRef>
              <c:f>'[Fiji Scenario Analysis 070420 new.xlsx]OCEAN'!$A$28:$A$44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new.xlsx]OCEAN'!$H$28:$H$44</c:f>
              <c:numCache>
                <c:formatCode>General</c:formatCode>
                <c:ptCount val="17"/>
                <c:pt idx="0">
                  <c:v>5.4001748545700001E-2</c:v>
                </c:pt>
                <c:pt idx="1">
                  <c:v>6.1028813206400002E-2</c:v>
                </c:pt>
                <c:pt idx="2">
                  <c:v>6.4464564620100001E-2</c:v>
                </c:pt>
                <c:pt idx="3">
                  <c:v>6.7002769403399998E-2</c:v>
                </c:pt>
                <c:pt idx="4">
                  <c:v>6.9165929772700002E-2</c:v>
                </c:pt>
                <c:pt idx="5">
                  <c:v>7.0952818444400004E-2</c:v>
                </c:pt>
                <c:pt idx="6">
                  <c:v>0.17280577057800001</c:v>
                </c:pt>
                <c:pt idx="7">
                  <c:v>0.27042271162300002</c:v>
                </c:pt>
                <c:pt idx="8">
                  <c:v>0.37377031788199999</c:v>
                </c:pt>
                <c:pt idx="9">
                  <c:v>0.42584692929000001</c:v>
                </c:pt>
                <c:pt idx="10">
                  <c:v>0.46056690050799998</c:v>
                </c:pt>
                <c:pt idx="11">
                  <c:v>0.49012398933099999</c:v>
                </c:pt>
                <c:pt idx="12">
                  <c:v>0.51771485311999998</c:v>
                </c:pt>
                <c:pt idx="13">
                  <c:v>0.54362769188399995</c:v>
                </c:pt>
                <c:pt idx="14">
                  <c:v>0.56886628950200002</c:v>
                </c:pt>
                <c:pt idx="15">
                  <c:v>0.59386393739900001</c:v>
                </c:pt>
                <c:pt idx="16">
                  <c:v>0.60604553749599999</c:v>
                </c:pt>
              </c:numCache>
            </c:numRef>
          </c:val>
          <c:smooth val="0"/>
          <c:extLst>
            <c:ext xmlns:c16="http://schemas.microsoft.com/office/drawing/2014/chart" uri="{C3380CC4-5D6E-409C-BE32-E72D297353CC}">
              <c16:uniqueId val="{00000006-062D-4187-ABD3-0A529D866D06}"/>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Proportion Territorial Waters Protected %)</a:t>
                </a:r>
              </a:p>
            </c:rich>
          </c:tx>
          <c:layout>
            <c:manualLayout>
              <c:xMode val="edge"/>
              <c:yMode val="edge"/>
              <c:x val="9.1979185409223202E-3"/>
              <c:y val="0.1830268482064741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2501484808719"/>
          <c:y val="1.7970371747376437E-2"/>
          <c:w val="0.80112418691163345"/>
          <c:h val="0.80038337752735822"/>
        </c:manualLayout>
      </c:layout>
      <c:lineChart>
        <c:grouping val="standard"/>
        <c:varyColors val="0"/>
        <c:ser>
          <c:idx val="0"/>
          <c:order val="0"/>
          <c:tx>
            <c:strRef>
              <c:f>'[Fiji Scenario Analysis 070420 new.xlsx]GDP_All'!$C$2</c:f>
              <c:strCache>
                <c:ptCount val="1"/>
                <c:pt idx="0">
                  <c:v>BAU</c:v>
                </c:pt>
              </c:strCache>
            </c:strRef>
          </c:tx>
          <c:spPr>
            <a:ln w="12700" cap="rnd">
              <a:solidFill>
                <a:schemeClr val="accent4"/>
              </a:solidFill>
              <a:round/>
            </a:ln>
            <a:effectLst/>
          </c:spPr>
          <c:marker>
            <c:symbol val="none"/>
          </c:marker>
          <c:cat>
            <c:numRef>
              <c:f>'[Fiji Scenario Analysis 070420 new.xlsx]GDP_All'!$A$33:$A$63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new.xlsx]GDP_All'!$C$33:$C$63</c:f>
              <c:numCache>
                <c:formatCode>General</c:formatCode>
                <c:ptCount val="31"/>
                <c:pt idx="0">
                  <c:v>8.9884868411800003</c:v>
                </c:pt>
                <c:pt idx="1">
                  <c:v>9.1997978621000005</c:v>
                </c:pt>
                <c:pt idx="2">
                  <c:v>9.3898170921100004</c:v>
                </c:pt>
                <c:pt idx="3">
                  <c:v>9.5697465537799999</c:v>
                </c:pt>
                <c:pt idx="4">
                  <c:v>9.7434070406200011</c:v>
                </c:pt>
                <c:pt idx="5">
                  <c:v>9.9165428317700002</c:v>
                </c:pt>
                <c:pt idx="6">
                  <c:v>10.0914439404</c:v>
                </c:pt>
                <c:pt idx="7">
                  <c:v>10.2690589307</c:v>
                </c:pt>
                <c:pt idx="8">
                  <c:v>10.441562654799998</c:v>
                </c:pt>
                <c:pt idx="9">
                  <c:v>10.612411831799999</c:v>
                </c:pt>
                <c:pt idx="10">
                  <c:v>10.785721649700001</c:v>
                </c:pt>
                <c:pt idx="11">
                  <c:v>10.957355679399999</c:v>
                </c:pt>
                <c:pt idx="12">
                  <c:v>11.1240794301</c:v>
                </c:pt>
                <c:pt idx="13">
                  <c:v>11.2782816234</c:v>
                </c:pt>
                <c:pt idx="14">
                  <c:v>11.4319324336</c:v>
                </c:pt>
                <c:pt idx="15">
                  <c:v>11.5805005559</c:v>
                </c:pt>
                <c:pt idx="16">
                  <c:v>11.7174661275</c:v>
                </c:pt>
                <c:pt idx="17">
                  <c:v>11.843387172</c:v>
                </c:pt>
                <c:pt idx="18">
                  <c:v>11.955078696299999</c:v>
                </c:pt>
                <c:pt idx="19">
                  <c:v>12.066473822399999</c:v>
                </c:pt>
                <c:pt idx="20">
                  <c:v>12.166368448</c:v>
                </c:pt>
                <c:pt idx="21">
                  <c:v>12.250778801999999</c:v>
                </c:pt>
                <c:pt idx="22">
                  <c:v>12.330348428100001</c:v>
                </c:pt>
                <c:pt idx="23">
                  <c:v>12.397822638799999</c:v>
                </c:pt>
                <c:pt idx="24">
                  <c:v>12.454418224600001</c:v>
                </c:pt>
                <c:pt idx="25">
                  <c:v>12.501745485500001</c:v>
                </c:pt>
                <c:pt idx="26">
                  <c:v>12.537633898399999</c:v>
                </c:pt>
                <c:pt idx="27">
                  <c:v>12.5690220779</c:v>
                </c:pt>
                <c:pt idx="28">
                  <c:v>12.5926037466</c:v>
                </c:pt>
                <c:pt idx="29">
                  <c:v>12.608574013799998</c:v>
                </c:pt>
                <c:pt idx="30">
                  <c:v>12.6176608654</c:v>
                </c:pt>
              </c:numCache>
            </c:numRef>
          </c:val>
          <c:smooth val="0"/>
          <c:extLst>
            <c:ext xmlns:c16="http://schemas.microsoft.com/office/drawing/2014/chart" uri="{C3380CC4-5D6E-409C-BE32-E72D297353CC}">
              <c16:uniqueId val="{00000000-9F3B-4DE3-B0F4-75F4036F6B1C}"/>
            </c:ext>
          </c:extLst>
        </c:ser>
        <c:ser>
          <c:idx val="1"/>
          <c:order val="1"/>
          <c:tx>
            <c:strRef>
              <c:f>'[Fiji Scenario Analysis 070420 new.xlsx]GDP_All'!$D$2</c:f>
              <c:strCache>
                <c:ptCount val="1"/>
                <c:pt idx="0">
                  <c:v>1. GAC</c:v>
                </c:pt>
              </c:strCache>
            </c:strRef>
          </c:tx>
          <c:spPr>
            <a:ln w="12700" cap="rnd">
              <a:solidFill>
                <a:srgbClr val="FF0000"/>
              </a:solidFill>
              <a:round/>
            </a:ln>
            <a:effectLst/>
          </c:spPr>
          <c:marker>
            <c:symbol val="none"/>
          </c:marker>
          <c:cat>
            <c:numRef>
              <c:f>'[Fiji Scenario Analysis 070420 new.xlsx]GDP_All'!$A$33:$A$63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new.xlsx]GDP_All'!$D$33:$D$63</c:f>
              <c:numCache>
                <c:formatCode>General</c:formatCode>
                <c:ptCount val="31"/>
                <c:pt idx="0">
                  <c:v>8.9884868411800003</c:v>
                </c:pt>
                <c:pt idx="1">
                  <c:v>9.0762689775900007</c:v>
                </c:pt>
                <c:pt idx="2">
                  <c:v>9.2267482212000012</c:v>
                </c:pt>
                <c:pt idx="3">
                  <c:v>9.3718868504500001</c:v>
                </c:pt>
                <c:pt idx="4">
                  <c:v>9.51716501786</c:v>
                </c:pt>
                <c:pt idx="5">
                  <c:v>9.6662922161000004</c:v>
                </c:pt>
                <c:pt idx="6">
                  <c:v>9.8213197138999995</c:v>
                </c:pt>
                <c:pt idx="7">
                  <c:v>9.9996468134000001</c:v>
                </c:pt>
                <c:pt idx="8">
                  <c:v>10.1762642019</c:v>
                </c:pt>
                <c:pt idx="9">
                  <c:v>10.3539582701</c:v>
                </c:pt>
                <c:pt idx="10">
                  <c:v>10.5408262076</c:v>
                </c:pt>
                <c:pt idx="11">
                  <c:v>10.7190865865</c:v>
                </c:pt>
                <c:pt idx="12">
                  <c:v>10.8967125702</c:v>
                </c:pt>
                <c:pt idx="13">
                  <c:v>11.059204080200001</c:v>
                </c:pt>
                <c:pt idx="14">
                  <c:v>11.2190101165</c:v>
                </c:pt>
                <c:pt idx="15">
                  <c:v>11.3757753123</c:v>
                </c:pt>
                <c:pt idx="16">
                  <c:v>11.522347336100001</c:v>
                </c:pt>
                <c:pt idx="17">
                  <c:v>11.6533788417</c:v>
                </c:pt>
                <c:pt idx="18">
                  <c:v>11.768929131299998</c:v>
                </c:pt>
                <c:pt idx="19">
                  <c:v>11.883537603500001</c:v>
                </c:pt>
                <c:pt idx="20">
                  <c:v>11.9864410346</c:v>
                </c:pt>
                <c:pt idx="21">
                  <c:v>12.072070370399999</c:v>
                </c:pt>
                <c:pt idx="22">
                  <c:v>12.154669118499999</c:v>
                </c:pt>
                <c:pt idx="23">
                  <c:v>12.219603273700001</c:v>
                </c:pt>
                <c:pt idx="24">
                  <c:v>12.274366502100001</c:v>
                </c:pt>
                <c:pt idx="25">
                  <c:v>12.308488934</c:v>
                </c:pt>
                <c:pt idx="26">
                  <c:v>12.325617936899999</c:v>
                </c:pt>
                <c:pt idx="27">
                  <c:v>12.334270291700001</c:v>
                </c:pt>
                <c:pt idx="28">
                  <c:v>12.3216846503</c:v>
                </c:pt>
                <c:pt idx="29">
                  <c:v>12.2903545888</c:v>
                </c:pt>
                <c:pt idx="30">
                  <c:v>12.2302698166</c:v>
                </c:pt>
              </c:numCache>
            </c:numRef>
          </c:val>
          <c:smooth val="0"/>
          <c:extLst>
            <c:ext xmlns:c16="http://schemas.microsoft.com/office/drawing/2014/chart" uri="{C3380CC4-5D6E-409C-BE32-E72D297353CC}">
              <c16:uniqueId val="{00000001-9F3B-4DE3-B0F4-75F4036F6B1C}"/>
            </c:ext>
          </c:extLst>
        </c:ser>
        <c:ser>
          <c:idx val="2"/>
          <c:order val="2"/>
          <c:tx>
            <c:strRef>
              <c:f>'[Fiji Scenario Analysis 070420 new.xlsx]GDP_All'!$E$2</c:f>
              <c:strCache>
                <c:ptCount val="1"/>
                <c:pt idx="0">
                  <c:v>2. GE</c:v>
                </c:pt>
              </c:strCache>
            </c:strRef>
          </c:tx>
          <c:spPr>
            <a:ln w="12700" cap="rnd">
              <a:solidFill>
                <a:srgbClr val="92D050"/>
              </a:solidFill>
              <a:round/>
            </a:ln>
            <a:effectLst/>
          </c:spPr>
          <c:marker>
            <c:symbol val="none"/>
          </c:marker>
          <c:cat>
            <c:numRef>
              <c:f>'[Fiji Scenario Analysis 070420 new.xlsx]GDP_All'!$A$33:$A$63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new.xlsx]GDP_All'!$E$33:$E$63</c:f>
              <c:numCache>
                <c:formatCode>General</c:formatCode>
                <c:ptCount val="31"/>
                <c:pt idx="0">
                  <c:v>8.9884868411800003</c:v>
                </c:pt>
                <c:pt idx="1">
                  <c:v>9.1803150573500005</c:v>
                </c:pt>
                <c:pt idx="2">
                  <c:v>9.3824859483500003</c:v>
                </c:pt>
                <c:pt idx="3">
                  <c:v>9.5784334562800009</c:v>
                </c:pt>
                <c:pt idx="4">
                  <c:v>9.7721532314899999</c:v>
                </c:pt>
                <c:pt idx="5">
                  <c:v>9.9669819136399997</c:v>
                </c:pt>
                <c:pt idx="6">
                  <c:v>10.165601114399999</c:v>
                </c:pt>
                <c:pt idx="7">
                  <c:v>10.365753868600001</c:v>
                </c:pt>
                <c:pt idx="8">
                  <c:v>10.5661643114</c:v>
                </c:pt>
                <c:pt idx="9">
                  <c:v>10.7682206041</c:v>
                </c:pt>
                <c:pt idx="10">
                  <c:v>10.971933781100001</c:v>
                </c:pt>
                <c:pt idx="11">
                  <c:v>11.163176526299999</c:v>
                </c:pt>
                <c:pt idx="12">
                  <c:v>11.3670651489</c:v>
                </c:pt>
                <c:pt idx="13">
                  <c:v>11.571684834799999</c:v>
                </c:pt>
                <c:pt idx="14">
                  <c:v>11.771544989700001</c:v>
                </c:pt>
                <c:pt idx="15">
                  <c:v>11.960766576600001</c:v>
                </c:pt>
                <c:pt idx="16">
                  <c:v>12.1451918299</c:v>
                </c:pt>
                <c:pt idx="17">
                  <c:v>12.323548788</c:v>
                </c:pt>
                <c:pt idx="18">
                  <c:v>12.494452705899999</c:v>
                </c:pt>
                <c:pt idx="19">
                  <c:v>12.6586539061</c:v>
                </c:pt>
                <c:pt idx="20">
                  <c:v>12.815225969799998</c:v>
                </c:pt>
                <c:pt idx="21">
                  <c:v>12.962992059600001</c:v>
                </c:pt>
                <c:pt idx="22">
                  <c:v>13.102170139</c:v>
                </c:pt>
                <c:pt idx="23">
                  <c:v>13.2337997806</c:v>
                </c:pt>
                <c:pt idx="24">
                  <c:v>13.3572276206</c:v>
                </c:pt>
                <c:pt idx="25">
                  <c:v>13.4731896539</c:v>
                </c:pt>
                <c:pt idx="26">
                  <c:v>13.581397888700002</c:v>
                </c:pt>
                <c:pt idx="27">
                  <c:v>13.6839978187</c:v>
                </c:pt>
                <c:pt idx="28">
                  <c:v>13.7801674418</c:v>
                </c:pt>
                <c:pt idx="29">
                  <c:v>13.8698591345</c:v>
                </c:pt>
                <c:pt idx="30">
                  <c:v>13.953134801499999</c:v>
                </c:pt>
              </c:numCache>
            </c:numRef>
          </c:val>
          <c:smooth val="0"/>
          <c:extLst>
            <c:ext xmlns:c16="http://schemas.microsoft.com/office/drawing/2014/chart" uri="{C3380CC4-5D6E-409C-BE32-E72D297353CC}">
              <c16:uniqueId val="{00000002-9F3B-4DE3-B0F4-75F4036F6B1C}"/>
            </c:ext>
          </c:extLst>
        </c:ser>
        <c:ser>
          <c:idx val="3"/>
          <c:order val="3"/>
          <c:tx>
            <c:strRef>
              <c:f>'[Fiji Scenario Analysis 070420 new.xlsx]GDP_All'!$F$2</c:f>
              <c:strCache>
                <c:ptCount val="1"/>
                <c:pt idx="0">
                  <c:v>3. IG</c:v>
                </c:pt>
              </c:strCache>
            </c:strRef>
          </c:tx>
          <c:spPr>
            <a:ln w="12700" cap="rnd">
              <a:solidFill>
                <a:srgbClr val="00B0F0"/>
              </a:solidFill>
              <a:round/>
            </a:ln>
            <a:effectLst/>
          </c:spPr>
          <c:marker>
            <c:symbol val="none"/>
          </c:marker>
          <c:cat>
            <c:numRef>
              <c:f>'[Fiji Scenario Analysis 070420 new.xlsx]GDP_All'!$A$33:$A$63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new.xlsx]GDP_All'!$F$33:$F$63</c:f>
              <c:numCache>
                <c:formatCode>General</c:formatCode>
                <c:ptCount val="31"/>
                <c:pt idx="0">
                  <c:v>8.9884868411800003</c:v>
                </c:pt>
                <c:pt idx="1">
                  <c:v>9.277882742440001</c:v>
                </c:pt>
                <c:pt idx="2">
                  <c:v>9.5847660323100001</c:v>
                </c:pt>
                <c:pt idx="3">
                  <c:v>9.8438316868999998</c:v>
                </c:pt>
                <c:pt idx="4">
                  <c:v>10.100495088899999</c:v>
                </c:pt>
                <c:pt idx="5">
                  <c:v>10.361035268299998</c:v>
                </c:pt>
                <c:pt idx="6">
                  <c:v>10.629041610200002</c:v>
                </c:pt>
                <c:pt idx="7">
                  <c:v>10.904560261799999</c:v>
                </c:pt>
                <c:pt idx="8">
                  <c:v>11.178598429100001</c:v>
                </c:pt>
                <c:pt idx="9">
                  <c:v>11.4549346674</c:v>
                </c:pt>
                <c:pt idx="10">
                  <c:v>11.744792933399999</c:v>
                </c:pt>
                <c:pt idx="11">
                  <c:v>11.992172978100001</c:v>
                </c:pt>
                <c:pt idx="12">
                  <c:v>12.240877932</c:v>
                </c:pt>
                <c:pt idx="13">
                  <c:v>12.4742766081</c:v>
                </c:pt>
                <c:pt idx="14">
                  <c:v>12.7068667119</c:v>
                </c:pt>
                <c:pt idx="15">
                  <c:v>12.9380490929</c:v>
                </c:pt>
                <c:pt idx="16">
                  <c:v>13.1588229386</c:v>
                </c:pt>
                <c:pt idx="17">
                  <c:v>13.3622936276</c:v>
                </c:pt>
                <c:pt idx="18">
                  <c:v>13.5478465619</c:v>
                </c:pt>
                <c:pt idx="19">
                  <c:v>13.7324049541</c:v>
                </c:pt>
                <c:pt idx="20">
                  <c:v>13.9024580303</c:v>
                </c:pt>
                <c:pt idx="21">
                  <c:v>14.052880983200001</c:v>
                </c:pt>
                <c:pt idx="22">
                  <c:v>14.202165795700001</c:v>
                </c:pt>
                <c:pt idx="23">
                  <c:v>14.3318380771</c:v>
                </c:pt>
                <c:pt idx="24">
                  <c:v>14.453128037200001</c:v>
                </c:pt>
                <c:pt idx="25">
                  <c:v>14.554359144799999</c:v>
                </c:pt>
                <c:pt idx="26">
                  <c:v>14.642283178200001</c:v>
                </c:pt>
                <c:pt idx="27">
                  <c:v>14.7287615095</c:v>
                </c:pt>
                <c:pt idx="28">
                  <c:v>14.802224203</c:v>
                </c:pt>
                <c:pt idx="29">
                  <c:v>14.8696471835</c:v>
                </c:pt>
                <c:pt idx="30">
                  <c:v>14.9224176317</c:v>
                </c:pt>
              </c:numCache>
            </c:numRef>
          </c:val>
          <c:smooth val="0"/>
          <c:extLst>
            <c:ext xmlns:c16="http://schemas.microsoft.com/office/drawing/2014/chart" uri="{C3380CC4-5D6E-409C-BE32-E72D297353CC}">
              <c16:uniqueId val="{00000003-9F3B-4DE3-B0F4-75F4036F6B1C}"/>
            </c:ext>
          </c:extLst>
        </c:ser>
        <c:ser>
          <c:idx val="4"/>
          <c:order val="4"/>
          <c:tx>
            <c:strRef>
              <c:f>'[Fiji Scenario Analysis 070420 new.xlsx]GDP_All'!$G$2</c:f>
              <c:strCache>
                <c:ptCount val="1"/>
                <c:pt idx="0">
                  <c:v>4. ST</c:v>
                </c:pt>
              </c:strCache>
            </c:strRef>
          </c:tx>
          <c:spPr>
            <a:ln w="12700" cap="rnd">
              <a:solidFill>
                <a:srgbClr val="008080"/>
              </a:solidFill>
              <a:round/>
            </a:ln>
            <a:effectLst/>
          </c:spPr>
          <c:marker>
            <c:symbol val="none"/>
          </c:marker>
          <c:cat>
            <c:numRef>
              <c:f>'[Fiji Scenario Analysis 070420 new.xlsx]GDP_All'!$A$33:$A$63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new.xlsx]GDP_All'!$G$33:$G$63</c:f>
              <c:numCache>
                <c:formatCode>General</c:formatCode>
                <c:ptCount val="31"/>
                <c:pt idx="0">
                  <c:v>8.9884868411800003</c:v>
                </c:pt>
                <c:pt idx="1">
                  <c:v>9.36186204897</c:v>
                </c:pt>
                <c:pt idx="2">
                  <c:v>9.6978720401499992</c:v>
                </c:pt>
                <c:pt idx="3">
                  <c:v>10.009402018899999</c:v>
                </c:pt>
                <c:pt idx="4">
                  <c:v>10.3087055173</c:v>
                </c:pt>
                <c:pt idx="5">
                  <c:v>10.5993750608</c:v>
                </c:pt>
                <c:pt idx="6">
                  <c:v>10.887731823399999</c:v>
                </c:pt>
                <c:pt idx="7">
                  <c:v>11.179069240799999</c:v>
                </c:pt>
                <c:pt idx="8">
                  <c:v>11.471072940399999</c:v>
                </c:pt>
                <c:pt idx="9">
                  <c:v>11.7657286911</c:v>
                </c:pt>
                <c:pt idx="10">
                  <c:v>12.063824868200001</c:v>
                </c:pt>
                <c:pt idx="11">
                  <c:v>12.321820718</c:v>
                </c:pt>
                <c:pt idx="12">
                  <c:v>12.594891154799999</c:v>
                </c:pt>
                <c:pt idx="13">
                  <c:v>12.862274971200002</c:v>
                </c:pt>
                <c:pt idx="14">
                  <c:v>13.125524630700001</c:v>
                </c:pt>
                <c:pt idx="15">
                  <c:v>13.385633306500001</c:v>
                </c:pt>
                <c:pt idx="16">
                  <c:v>13.641511250700001</c:v>
                </c:pt>
                <c:pt idx="17">
                  <c:v>13.890978092700001</c:v>
                </c:pt>
                <c:pt idx="18">
                  <c:v>14.1319819856</c:v>
                </c:pt>
                <c:pt idx="19">
                  <c:v>14.3651730126</c:v>
                </c:pt>
                <c:pt idx="20">
                  <c:v>14.589468577</c:v>
                </c:pt>
                <c:pt idx="21">
                  <c:v>14.803542526799999</c:v>
                </c:pt>
                <c:pt idx="22">
                  <c:v>15.0077680554</c:v>
                </c:pt>
                <c:pt idx="23">
                  <c:v>15.2041224061</c:v>
                </c:pt>
                <c:pt idx="24">
                  <c:v>15.392066313000001</c:v>
                </c:pt>
                <c:pt idx="25">
                  <c:v>15.5726122801</c:v>
                </c:pt>
                <c:pt idx="26">
                  <c:v>15.7455227614</c:v>
                </c:pt>
                <c:pt idx="27">
                  <c:v>15.913422316799998</c:v>
                </c:pt>
                <c:pt idx="28">
                  <c:v>16.0753777177</c:v>
                </c:pt>
                <c:pt idx="29">
                  <c:v>16.231400174000001</c:v>
                </c:pt>
                <c:pt idx="30">
                  <c:v>16.3816777298</c:v>
                </c:pt>
              </c:numCache>
            </c:numRef>
          </c:val>
          <c:smooth val="0"/>
          <c:extLst>
            <c:ext xmlns:c16="http://schemas.microsoft.com/office/drawing/2014/chart" uri="{C3380CC4-5D6E-409C-BE32-E72D297353CC}">
              <c16:uniqueId val="{00000004-9F3B-4DE3-B0F4-75F4036F6B1C}"/>
            </c:ext>
          </c:extLst>
        </c:ser>
        <c:ser>
          <c:idx val="5"/>
          <c:order val="5"/>
          <c:tx>
            <c:strRef>
              <c:f>'[Fiji Scenario Analysis 070420 new.xlsx]GDP_All'!$H$2</c:f>
              <c:strCache>
                <c:ptCount val="1"/>
                <c:pt idx="0">
                  <c:v>5. ST_CLIMATE</c:v>
                </c:pt>
              </c:strCache>
            </c:strRef>
          </c:tx>
          <c:spPr>
            <a:ln w="12700" cap="rnd">
              <a:solidFill>
                <a:schemeClr val="accent2"/>
              </a:solidFill>
              <a:prstDash val="dash"/>
              <a:round/>
            </a:ln>
            <a:effectLst/>
          </c:spPr>
          <c:marker>
            <c:symbol val="none"/>
          </c:marker>
          <c:cat>
            <c:numRef>
              <c:f>'[Fiji Scenario Analysis 070420 new.xlsx]GDP_All'!$A$33:$A$63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new.xlsx]GDP_All'!$H$33:$H$63</c:f>
              <c:numCache>
                <c:formatCode>General</c:formatCode>
                <c:ptCount val="31"/>
                <c:pt idx="0">
                  <c:v>8.9884868411800003</c:v>
                </c:pt>
                <c:pt idx="1">
                  <c:v>9.3566036315800005</c:v>
                </c:pt>
                <c:pt idx="2">
                  <c:v>9.6849763104699989</c:v>
                </c:pt>
                <c:pt idx="3">
                  <c:v>9.9935898004899997</c:v>
                </c:pt>
                <c:pt idx="4">
                  <c:v>10.290308443899999</c:v>
                </c:pt>
                <c:pt idx="5">
                  <c:v>10.574163131899999</c:v>
                </c:pt>
                <c:pt idx="6">
                  <c:v>10.847308679700001</c:v>
                </c:pt>
                <c:pt idx="7">
                  <c:v>11.121843843100001</c:v>
                </c:pt>
                <c:pt idx="8">
                  <c:v>11.3973302773</c:v>
                </c:pt>
                <c:pt idx="9">
                  <c:v>11.6760395166</c:v>
                </c:pt>
                <c:pt idx="10">
                  <c:v>11.958711579399999</c:v>
                </c:pt>
                <c:pt idx="11">
                  <c:v>12.2023884388</c:v>
                </c:pt>
                <c:pt idx="12">
                  <c:v>12.4624826908</c:v>
                </c:pt>
                <c:pt idx="13">
                  <c:v>12.7214329608</c:v>
                </c:pt>
                <c:pt idx="14">
                  <c:v>12.9755634146</c:v>
                </c:pt>
                <c:pt idx="15">
                  <c:v>13.2278516146</c:v>
                </c:pt>
                <c:pt idx="16">
                  <c:v>13.478389787200001</c:v>
                </c:pt>
                <c:pt idx="17">
                  <c:v>13.724765891600001</c:v>
                </c:pt>
                <c:pt idx="18">
                  <c:v>13.964998961299999</c:v>
                </c:pt>
                <c:pt idx="19">
                  <c:v>14.1990992576</c:v>
                </c:pt>
                <c:pt idx="20">
                  <c:v>14.426346758899999</c:v>
                </c:pt>
                <c:pt idx="21">
                  <c:v>14.645807683999999</c:v>
                </c:pt>
                <c:pt idx="22">
                  <c:v>14.8575705679</c:v>
                </c:pt>
                <c:pt idx="23">
                  <c:v>15.0628610907</c:v>
                </c:pt>
                <c:pt idx="24">
                  <c:v>15.261593013500001</c:v>
                </c:pt>
                <c:pt idx="25">
                  <c:v>15.4547516199</c:v>
                </c:pt>
                <c:pt idx="26">
                  <c:v>15.642392040100001</c:v>
                </c:pt>
                <c:pt idx="27">
                  <c:v>15.824922495899999</c:v>
                </c:pt>
                <c:pt idx="28">
                  <c:v>16.005188765299998</c:v>
                </c:pt>
                <c:pt idx="29">
                  <c:v>16.179098674200002</c:v>
                </c:pt>
                <c:pt idx="30">
                  <c:v>16.351026773899999</c:v>
                </c:pt>
              </c:numCache>
            </c:numRef>
          </c:val>
          <c:smooth val="0"/>
          <c:extLst>
            <c:ext xmlns:c16="http://schemas.microsoft.com/office/drawing/2014/chart" uri="{C3380CC4-5D6E-409C-BE32-E72D297353CC}">
              <c16:uniqueId val="{00000005-9F3B-4DE3-B0F4-75F4036F6B1C}"/>
            </c:ext>
          </c:extLst>
        </c:ser>
        <c:ser>
          <c:idx val="6"/>
          <c:order val="6"/>
          <c:tx>
            <c:strRef>
              <c:f>'[Fiji Scenario Analysis 070420 new.xlsx]GDP_All'!$I$2</c:f>
              <c:strCache>
                <c:ptCount val="1"/>
                <c:pt idx="0">
                  <c:v>6. ST_SDG</c:v>
                </c:pt>
              </c:strCache>
            </c:strRef>
          </c:tx>
          <c:spPr>
            <a:ln w="12700" cap="rnd">
              <a:solidFill>
                <a:schemeClr val="accent5"/>
              </a:solidFill>
              <a:prstDash val="dash"/>
              <a:round/>
            </a:ln>
            <a:effectLst/>
          </c:spPr>
          <c:marker>
            <c:symbol val="none"/>
          </c:marker>
          <c:cat>
            <c:numRef>
              <c:f>'[Fiji Scenario Analysis 070420 new.xlsx]GDP_All'!$A$33:$A$63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new.xlsx]GDP_All'!$I$33:$I$63</c:f>
              <c:numCache>
                <c:formatCode>General</c:formatCode>
                <c:ptCount val="31"/>
                <c:pt idx="0">
                  <c:v>8.9884868411800003</c:v>
                </c:pt>
                <c:pt idx="1">
                  <c:v>9.5443164139299999</c:v>
                </c:pt>
                <c:pt idx="2">
                  <c:v>9.9915489710300012</c:v>
                </c:pt>
                <c:pt idx="3">
                  <c:v>10.4164696766</c:v>
                </c:pt>
                <c:pt idx="4">
                  <c:v>10.794671949200001</c:v>
                </c:pt>
                <c:pt idx="5">
                  <c:v>11.146123814700001</c:v>
                </c:pt>
                <c:pt idx="6">
                  <c:v>11.5128554083</c:v>
                </c:pt>
                <c:pt idx="7">
                  <c:v>11.830912919499999</c:v>
                </c:pt>
                <c:pt idx="8">
                  <c:v>12.1208628231</c:v>
                </c:pt>
                <c:pt idx="9">
                  <c:v>12.4049338994</c:v>
                </c:pt>
                <c:pt idx="10">
                  <c:v>12.680847874700001</c:v>
                </c:pt>
                <c:pt idx="11">
                  <c:v>12.8876194578</c:v>
                </c:pt>
                <c:pt idx="12">
                  <c:v>13.1133234951</c:v>
                </c:pt>
                <c:pt idx="13">
                  <c:v>13.355184744500001</c:v>
                </c:pt>
                <c:pt idx="14">
                  <c:v>13.6041489618</c:v>
                </c:pt>
                <c:pt idx="15">
                  <c:v>13.8566707754</c:v>
                </c:pt>
                <c:pt idx="16">
                  <c:v>14.1147563414</c:v>
                </c:pt>
                <c:pt idx="17">
                  <c:v>14.3742193245</c:v>
                </c:pt>
                <c:pt idx="18">
                  <c:v>14.6314966586</c:v>
                </c:pt>
                <c:pt idx="19">
                  <c:v>14.884558160700001</c:v>
                </c:pt>
                <c:pt idx="20">
                  <c:v>15.1221317756</c:v>
                </c:pt>
                <c:pt idx="21">
                  <c:v>15.350864834499999</c:v>
                </c:pt>
                <c:pt idx="22">
                  <c:v>15.5703693704</c:v>
                </c:pt>
                <c:pt idx="23">
                  <c:v>15.781177534700001</c:v>
                </c:pt>
                <c:pt idx="24">
                  <c:v>15.983793327000001</c:v>
                </c:pt>
                <c:pt idx="25">
                  <c:v>16.1790388768</c:v>
                </c:pt>
                <c:pt idx="26">
                  <c:v>16.367220573299999</c:v>
                </c:pt>
                <c:pt idx="27">
                  <c:v>16.5487927444</c:v>
                </c:pt>
                <c:pt idx="28">
                  <c:v>16.725870414700001</c:v>
                </c:pt>
                <c:pt idx="29">
                  <c:v>16.895667466500001</c:v>
                </c:pt>
                <c:pt idx="30">
                  <c:v>17.061410367899999</c:v>
                </c:pt>
              </c:numCache>
            </c:numRef>
          </c:val>
          <c:smooth val="0"/>
          <c:extLst>
            <c:ext xmlns:c16="http://schemas.microsoft.com/office/drawing/2014/chart" uri="{C3380CC4-5D6E-409C-BE32-E72D297353CC}">
              <c16:uniqueId val="{00000006-9F3B-4DE3-B0F4-75F4036F6B1C}"/>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7"/>
        </c:scaling>
        <c:delete val="0"/>
        <c:axPos val="l"/>
        <c:majorGridlines>
          <c:spPr>
            <a:ln w="9525" cap="flat" cmpd="sng" algn="ctr">
              <a:solidFill>
                <a:srgbClr val="A1A1A1"/>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GDP (Real</a:t>
                </a:r>
                <a:r>
                  <a:rPr lang="en-AU" baseline="0"/>
                  <a:t> FJD)</a:t>
                </a:r>
                <a:endParaRPr lang="en-AU"/>
              </a:p>
            </c:rich>
          </c:tx>
          <c:layout>
            <c:manualLayout>
              <c:xMode val="edge"/>
              <c:yMode val="edge"/>
              <c:x val="1.2825052959750591E-2"/>
              <c:y val="0.342749177853611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midCat"/>
        <c:majorUnit val="1"/>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70737263724293"/>
          <c:y val="1.7034568271744367E-2"/>
          <c:w val="0.83577334591456487"/>
          <c:h val="0.83626988679395209"/>
        </c:manualLayout>
      </c:layout>
      <c:lineChart>
        <c:grouping val="standard"/>
        <c:varyColors val="0"/>
        <c:ser>
          <c:idx val="1"/>
          <c:order val="0"/>
          <c:tx>
            <c:strRef>
              <c:f>'[Fiji Scenario Analysis 070420 new.xlsx]GHG_net'!$B$2</c:f>
              <c:strCache>
                <c:ptCount val="1"/>
                <c:pt idx="0">
                  <c:v>BAU</c:v>
                </c:pt>
              </c:strCache>
            </c:strRef>
          </c:tx>
          <c:spPr>
            <a:ln w="12700" cap="rnd">
              <a:solidFill>
                <a:srgbClr val="FFC000"/>
              </a:solidFill>
              <a:round/>
            </a:ln>
            <a:effectLst/>
          </c:spPr>
          <c:marker>
            <c:symbol val="none"/>
          </c:marker>
          <c:cat>
            <c:numRef>
              <c:f>'[Fiji Scenario Analysis 070420 new.xlsx]GHG_net'!$A$33:$A$63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new.xlsx]GHG_net'!$B$33:$B$63</c:f>
              <c:numCache>
                <c:formatCode>General</c:formatCode>
                <c:ptCount val="31"/>
                <c:pt idx="0">
                  <c:v>2.91687899757</c:v>
                </c:pt>
                <c:pt idx="1">
                  <c:v>2.94111114739</c:v>
                </c:pt>
                <c:pt idx="2">
                  <c:v>2.9831780284099998</c:v>
                </c:pt>
                <c:pt idx="3">
                  <c:v>3.0124450605899997</c:v>
                </c:pt>
                <c:pt idx="4">
                  <c:v>3.0387753040200001</c:v>
                </c:pt>
                <c:pt idx="5">
                  <c:v>3.09021355464</c:v>
                </c:pt>
                <c:pt idx="6">
                  <c:v>3.1568673242799998</c:v>
                </c:pt>
                <c:pt idx="7">
                  <c:v>3.2158005697900003</c:v>
                </c:pt>
                <c:pt idx="8">
                  <c:v>3.2566322363100002</c:v>
                </c:pt>
                <c:pt idx="9">
                  <c:v>3.2889844738400003</c:v>
                </c:pt>
                <c:pt idx="10">
                  <c:v>3.3247578716600001</c:v>
                </c:pt>
                <c:pt idx="11">
                  <c:v>3.3649456713200001</c:v>
                </c:pt>
                <c:pt idx="12">
                  <c:v>3.4057720588899998</c:v>
                </c:pt>
                <c:pt idx="13">
                  <c:v>3.4408991826599999</c:v>
                </c:pt>
                <c:pt idx="14">
                  <c:v>3.47351790488</c:v>
                </c:pt>
                <c:pt idx="15">
                  <c:v>3.5035027399100001</c:v>
                </c:pt>
                <c:pt idx="16">
                  <c:v>3.5530588452099998</c:v>
                </c:pt>
                <c:pt idx="17">
                  <c:v>3.6002824444900003</c:v>
                </c:pt>
                <c:pt idx="18">
                  <c:v>3.64095677776</c:v>
                </c:pt>
                <c:pt idx="19">
                  <c:v>3.6789168648600001</c:v>
                </c:pt>
                <c:pt idx="20">
                  <c:v>3.7135221412699999</c:v>
                </c:pt>
                <c:pt idx="21">
                  <c:v>3.7459056844100003</c:v>
                </c:pt>
                <c:pt idx="22">
                  <c:v>3.7789418056399997</c:v>
                </c:pt>
                <c:pt idx="23">
                  <c:v>3.8071367334699997</c:v>
                </c:pt>
                <c:pt idx="24">
                  <c:v>3.8305651463899997</c:v>
                </c:pt>
                <c:pt idx="25">
                  <c:v>3.8500608608900002</c:v>
                </c:pt>
                <c:pt idx="26">
                  <c:v>3.8669715496700001</c:v>
                </c:pt>
                <c:pt idx="27">
                  <c:v>3.88209641074</c:v>
                </c:pt>
                <c:pt idx="28">
                  <c:v>3.89438071996</c:v>
                </c:pt>
                <c:pt idx="29">
                  <c:v>3.9040829923800002</c:v>
                </c:pt>
                <c:pt idx="30">
                  <c:v>3.91234645777</c:v>
                </c:pt>
              </c:numCache>
            </c:numRef>
          </c:val>
          <c:smooth val="0"/>
          <c:extLst>
            <c:ext xmlns:c16="http://schemas.microsoft.com/office/drawing/2014/chart" uri="{C3380CC4-5D6E-409C-BE32-E72D297353CC}">
              <c16:uniqueId val="{00000000-D00B-4213-96C4-F9C66F5530B3}"/>
            </c:ext>
          </c:extLst>
        </c:ser>
        <c:ser>
          <c:idx val="2"/>
          <c:order val="1"/>
          <c:tx>
            <c:strRef>
              <c:f>'[Fiji Scenario Analysis 070420 new.xlsx]GHG_net'!$C$2</c:f>
              <c:strCache>
                <c:ptCount val="1"/>
                <c:pt idx="0">
                  <c:v>1. GAC</c:v>
                </c:pt>
              </c:strCache>
            </c:strRef>
          </c:tx>
          <c:spPr>
            <a:ln w="12700" cap="rnd">
              <a:solidFill>
                <a:srgbClr val="FF0000"/>
              </a:solidFill>
              <a:round/>
            </a:ln>
            <a:effectLst/>
          </c:spPr>
          <c:marker>
            <c:symbol val="none"/>
          </c:marker>
          <c:cat>
            <c:numRef>
              <c:f>'[Fiji Scenario Analysis 070420 new.xlsx]GHG_net'!$A$33:$A$63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new.xlsx]GHG_net'!$C$33:$C$63</c:f>
              <c:numCache>
                <c:formatCode>General</c:formatCode>
                <c:ptCount val="31"/>
                <c:pt idx="0">
                  <c:v>2.9224298161499997</c:v>
                </c:pt>
                <c:pt idx="1">
                  <c:v>2.9436456553400001</c:v>
                </c:pt>
                <c:pt idx="2">
                  <c:v>2.98774965015</c:v>
                </c:pt>
                <c:pt idx="3">
                  <c:v>3.0235747693300001</c:v>
                </c:pt>
                <c:pt idx="4">
                  <c:v>3.0560843691799997</c:v>
                </c:pt>
                <c:pt idx="5">
                  <c:v>3.1186058834499999</c:v>
                </c:pt>
                <c:pt idx="6">
                  <c:v>3.1983480798700001</c:v>
                </c:pt>
                <c:pt idx="7">
                  <c:v>3.2620050593400003</c:v>
                </c:pt>
                <c:pt idx="8">
                  <c:v>3.3115012364099998</c:v>
                </c:pt>
                <c:pt idx="9">
                  <c:v>3.3642904002599998</c:v>
                </c:pt>
                <c:pt idx="10">
                  <c:v>3.4247977938700003</c:v>
                </c:pt>
                <c:pt idx="11">
                  <c:v>3.4810485631300003</c:v>
                </c:pt>
                <c:pt idx="12">
                  <c:v>3.5342493194200002</c:v>
                </c:pt>
                <c:pt idx="13">
                  <c:v>3.5802163809800001</c:v>
                </c:pt>
                <c:pt idx="14">
                  <c:v>3.6243499354300002</c:v>
                </c:pt>
                <c:pt idx="15">
                  <c:v>3.6684887601700003</c:v>
                </c:pt>
                <c:pt idx="16">
                  <c:v>3.7296163015899997</c:v>
                </c:pt>
                <c:pt idx="17">
                  <c:v>3.7867789433599999</c:v>
                </c:pt>
                <c:pt idx="18">
                  <c:v>3.8368617187600003</c:v>
                </c:pt>
                <c:pt idx="19">
                  <c:v>3.8833657817600002</c:v>
                </c:pt>
                <c:pt idx="20">
                  <c:v>3.9250655218900001</c:v>
                </c:pt>
                <c:pt idx="21">
                  <c:v>3.9632845322599999</c:v>
                </c:pt>
                <c:pt idx="22">
                  <c:v>4.0037059264600003</c:v>
                </c:pt>
                <c:pt idx="23">
                  <c:v>4.0369205921499995</c:v>
                </c:pt>
                <c:pt idx="24">
                  <c:v>4.0664526641999998</c:v>
                </c:pt>
                <c:pt idx="25">
                  <c:v>4.0879624680499997</c:v>
                </c:pt>
                <c:pt idx="26">
                  <c:v>4.1036344704200003</c:v>
                </c:pt>
                <c:pt idx="27">
                  <c:v>4.11607027208</c:v>
                </c:pt>
                <c:pt idx="28">
                  <c:v>4.1235224258400001</c:v>
                </c:pt>
                <c:pt idx="29">
                  <c:v>4.1274178714999996</c:v>
                </c:pt>
                <c:pt idx="30">
                  <c:v>4.1263768023900003</c:v>
                </c:pt>
              </c:numCache>
            </c:numRef>
          </c:val>
          <c:smooth val="0"/>
          <c:extLst>
            <c:ext xmlns:c16="http://schemas.microsoft.com/office/drawing/2014/chart" uri="{C3380CC4-5D6E-409C-BE32-E72D297353CC}">
              <c16:uniqueId val="{00000001-D00B-4213-96C4-F9C66F5530B3}"/>
            </c:ext>
          </c:extLst>
        </c:ser>
        <c:ser>
          <c:idx val="3"/>
          <c:order val="2"/>
          <c:tx>
            <c:strRef>
              <c:f>'[Fiji Scenario Analysis 070420 new.xlsx]GHG_net'!$D$2</c:f>
              <c:strCache>
                <c:ptCount val="1"/>
                <c:pt idx="0">
                  <c:v>2. GE</c:v>
                </c:pt>
              </c:strCache>
            </c:strRef>
          </c:tx>
          <c:spPr>
            <a:ln w="12700" cap="rnd">
              <a:solidFill>
                <a:srgbClr val="92D050"/>
              </a:solidFill>
              <a:round/>
            </a:ln>
            <a:effectLst/>
          </c:spPr>
          <c:marker>
            <c:symbol val="none"/>
          </c:marker>
          <c:cat>
            <c:numRef>
              <c:f>'[Fiji Scenario Analysis 070420 new.xlsx]GHG_net'!$A$33:$A$63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new.xlsx]GHG_net'!$D$33:$D$63</c:f>
              <c:numCache>
                <c:formatCode>General</c:formatCode>
                <c:ptCount val="31"/>
                <c:pt idx="0">
                  <c:v>2.9092181028200002</c:v>
                </c:pt>
                <c:pt idx="1">
                  <c:v>2.4737694562199999</c:v>
                </c:pt>
                <c:pt idx="2">
                  <c:v>2.2780840532200002</c:v>
                </c:pt>
                <c:pt idx="3">
                  <c:v>2.15428436405</c:v>
                </c:pt>
                <c:pt idx="4">
                  <c:v>2.0742820881199999</c:v>
                </c:pt>
                <c:pt idx="5">
                  <c:v>2.03307607674</c:v>
                </c:pt>
                <c:pt idx="6">
                  <c:v>2.0058880826099998</c:v>
                </c:pt>
                <c:pt idx="7">
                  <c:v>1.97540951334</c:v>
                </c:pt>
                <c:pt idx="8">
                  <c:v>1.9477429637899999</c:v>
                </c:pt>
                <c:pt idx="9">
                  <c:v>1.9229103779500001</c:v>
                </c:pt>
                <c:pt idx="10">
                  <c:v>1.90022228672</c:v>
                </c:pt>
                <c:pt idx="11">
                  <c:v>1.8785465807799999</c:v>
                </c:pt>
                <c:pt idx="12">
                  <c:v>1.86224802501</c:v>
                </c:pt>
                <c:pt idx="13">
                  <c:v>1.8480886813099999</c:v>
                </c:pt>
                <c:pt idx="14">
                  <c:v>1.8353758531200002</c:v>
                </c:pt>
                <c:pt idx="15">
                  <c:v>1.82333810304</c:v>
                </c:pt>
                <c:pt idx="16">
                  <c:v>1.82415400473</c:v>
                </c:pt>
                <c:pt idx="17">
                  <c:v>1.82492574208</c:v>
                </c:pt>
                <c:pt idx="18">
                  <c:v>1.8255538145800001</c:v>
                </c:pt>
                <c:pt idx="19">
                  <c:v>1.8266774614800001</c:v>
                </c:pt>
                <c:pt idx="20">
                  <c:v>1.8279855998599999</c:v>
                </c:pt>
                <c:pt idx="21">
                  <c:v>1.82890095535</c:v>
                </c:pt>
                <c:pt idx="22">
                  <c:v>1.8293858026800001</c:v>
                </c:pt>
                <c:pt idx="23">
                  <c:v>1.8297193549800002</c:v>
                </c:pt>
                <c:pt idx="24">
                  <c:v>1.8295999477299998</c:v>
                </c:pt>
                <c:pt idx="25">
                  <c:v>1.82913791472</c:v>
                </c:pt>
                <c:pt idx="26">
                  <c:v>1.8286861222399999</c:v>
                </c:pt>
                <c:pt idx="27">
                  <c:v>1.82814962256</c:v>
                </c:pt>
                <c:pt idx="28">
                  <c:v>1.8268997742000002</c:v>
                </c:pt>
                <c:pt idx="29">
                  <c:v>1.8248351111399999</c:v>
                </c:pt>
                <c:pt idx="30">
                  <c:v>1.8220902033699999</c:v>
                </c:pt>
              </c:numCache>
            </c:numRef>
          </c:val>
          <c:smooth val="0"/>
          <c:extLst>
            <c:ext xmlns:c16="http://schemas.microsoft.com/office/drawing/2014/chart" uri="{C3380CC4-5D6E-409C-BE32-E72D297353CC}">
              <c16:uniqueId val="{00000002-D00B-4213-96C4-F9C66F5530B3}"/>
            </c:ext>
          </c:extLst>
        </c:ser>
        <c:ser>
          <c:idx val="4"/>
          <c:order val="3"/>
          <c:tx>
            <c:strRef>
              <c:f>'[Fiji Scenario Analysis 070420 new.xlsx]GHG_net'!$E$2</c:f>
              <c:strCache>
                <c:ptCount val="1"/>
                <c:pt idx="0">
                  <c:v>3. IG</c:v>
                </c:pt>
              </c:strCache>
            </c:strRef>
          </c:tx>
          <c:spPr>
            <a:ln w="12700" cap="rnd">
              <a:solidFill>
                <a:srgbClr val="00B0F0"/>
              </a:solidFill>
              <a:round/>
            </a:ln>
            <a:effectLst/>
          </c:spPr>
          <c:marker>
            <c:symbol val="none"/>
          </c:marker>
          <c:cat>
            <c:numRef>
              <c:f>'[Fiji Scenario Analysis 070420 new.xlsx]GHG_net'!$A$33:$A$63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new.xlsx]GHG_net'!$E$33:$E$63</c:f>
              <c:numCache>
                <c:formatCode>General</c:formatCode>
                <c:ptCount val="31"/>
                <c:pt idx="0">
                  <c:v>2.9144454027399997</c:v>
                </c:pt>
                <c:pt idx="1">
                  <c:v>2.9490458251499998</c:v>
                </c:pt>
                <c:pt idx="2">
                  <c:v>3.0058428130100001</c:v>
                </c:pt>
                <c:pt idx="3">
                  <c:v>3.0530628897200001</c:v>
                </c:pt>
                <c:pt idx="4">
                  <c:v>3.1188258481600002</c:v>
                </c:pt>
                <c:pt idx="5">
                  <c:v>3.2214588807899998</c:v>
                </c:pt>
                <c:pt idx="6">
                  <c:v>3.3286916318599999</c:v>
                </c:pt>
                <c:pt idx="7">
                  <c:v>3.4188663458300002</c:v>
                </c:pt>
                <c:pt idx="8">
                  <c:v>3.4938642821900001</c:v>
                </c:pt>
                <c:pt idx="9">
                  <c:v>3.5698114987</c:v>
                </c:pt>
                <c:pt idx="10">
                  <c:v>3.6573368839799998</c:v>
                </c:pt>
                <c:pt idx="11">
                  <c:v>3.7399042423200002</c:v>
                </c:pt>
                <c:pt idx="12">
                  <c:v>3.82083293139</c:v>
                </c:pt>
                <c:pt idx="13">
                  <c:v>3.8899161275499998</c:v>
                </c:pt>
                <c:pt idx="14">
                  <c:v>3.9554296415499999</c:v>
                </c:pt>
                <c:pt idx="15">
                  <c:v>4.0240242267799999</c:v>
                </c:pt>
                <c:pt idx="16">
                  <c:v>4.1169145394799997</c:v>
                </c:pt>
                <c:pt idx="17">
                  <c:v>4.2072689848199998</c:v>
                </c:pt>
                <c:pt idx="18">
                  <c:v>4.2889254153100005</c:v>
                </c:pt>
                <c:pt idx="19">
                  <c:v>4.3655853386399999</c:v>
                </c:pt>
                <c:pt idx="20">
                  <c:v>4.4371442938000003</c:v>
                </c:pt>
                <c:pt idx="21">
                  <c:v>4.5061741163499995</c:v>
                </c:pt>
                <c:pt idx="22">
                  <c:v>4.5787045147000001</c:v>
                </c:pt>
                <c:pt idx="23">
                  <c:v>4.6430505806799998</c:v>
                </c:pt>
                <c:pt idx="24">
                  <c:v>4.7036225467800001</c:v>
                </c:pt>
                <c:pt idx="25">
                  <c:v>4.7557174836799998</c:v>
                </c:pt>
                <c:pt idx="26">
                  <c:v>4.80225897499</c:v>
                </c:pt>
                <c:pt idx="27">
                  <c:v>4.8463634304999994</c:v>
                </c:pt>
                <c:pt idx="28">
                  <c:v>4.8860823596900005</c:v>
                </c:pt>
                <c:pt idx="29">
                  <c:v>4.9240386128200004</c:v>
                </c:pt>
                <c:pt idx="30">
                  <c:v>4.9586582269899999</c:v>
                </c:pt>
              </c:numCache>
            </c:numRef>
          </c:val>
          <c:smooth val="0"/>
          <c:extLst>
            <c:ext xmlns:c16="http://schemas.microsoft.com/office/drawing/2014/chart" uri="{C3380CC4-5D6E-409C-BE32-E72D297353CC}">
              <c16:uniqueId val="{00000003-D00B-4213-96C4-F9C66F5530B3}"/>
            </c:ext>
          </c:extLst>
        </c:ser>
        <c:ser>
          <c:idx val="5"/>
          <c:order val="4"/>
          <c:tx>
            <c:strRef>
              <c:f>'[Fiji Scenario Analysis 070420 new.xlsx]GHG_net'!$F$2</c:f>
              <c:strCache>
                <c:ptCount val="1"/>
                <c:pt idx="0">
                  <c:v>4. ST</c:v>
                </c:pt>
              </c:strCache>
            </c:strRef>
          </c:tx>
          <c:spPr>
            <a:ln w="12700" cap="rnd">
              <a:solidFill>
                <a:srgbClr val="008080"/>
              </a:solidFill>
              <a:round/>
            </a:ln>
            <a:effectLst/>
          </c:spPr>
          <c:marker>
            <c:symbol val="none"/>
          </c:marker>
          <c:cat>
            <c:numRef>
              <c:f>'[Fiji Scenario Analysis 070420 new.xlsx]GHG_net'!$A$33:$A$63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new.xlsx]GHG_net'!$F$33:$F$63</c:f>
              <c:numCache>
                <c:formatCode>General</c:formatCode>
                <c:ptCount val="31"/>
                <c:pt idx="0">
                  <c:v>2.9063277617600001</c:v>
                </c:pt>
                <c:pt idx="1">
                  <c:v>2.4823663491000003</c:v>
                </c:pt>
                <c:pt idx="2">
                  <c:v>2.2937030145899997</c:v>
                </c:pt>
                <c:pt idx="3">
                  <c:v>2.1760296669999999</c:v>
                </c:pt>
                <c:pt idx="4">
                  <c:v>2.1135786801100003</c:v>
                </c:pt>
                <c:pt idx="5">
                  <c:v>2.1162432495300001</c:v>
                </c:pt>
                <c:pt idx="6">
                  <c:v>2.1382998768400001</c:v>
                </c:pt>
                <c:pt idx="7">
                  <c:v>2.1431082839700002</c:v>
                </c:pt>
                <c:pt idx="8">
                  <c:v>2.1378009073800004</c:v>
                </c:pt>
                <c:pt idx="9">
                  <c:v>2.1331052862499997</c:v>
                </c:pt>
                <c:pt idx="10">
                  <c:v>2.1323782174399999</c:v>
                </c:pt>
                <c:pt idx="11">
                  <c:v>2.1316356663600002</c:v>
                </c:pt>
                <c:pt idx="12">
                  <c:v>2.1392984674999997</c:v>
                </c:pt>
                <c:pt idx="13">
                  <c:v>2.1487395305099999</c:v>
                </c:pt>
                <c:pt idx="14">
                  <c:v>2.1637641429499999</c:v>
                </c:pt>
                <c:pt idx="15">
                  <c:v>2.1840742196099998</c:v>
                </c:pt>
                <c:pt idx="16">
                  <c:v>2.2244246353600001</c:v>
                </c:pt>
                <c:pt idx="17">
                  <c:v>2.2635959313599998</c:v>
                </c:pt>
                <c:pt idx="18">
                  <c:v>2.3001650033700001</c:v>
                </c:pt>
                <c:pt idx="19">
                  <c:v>2.3358746666000001</c:v>
                </c:pt>
                <c:pt idx="20">
                  <c:v>2.3707715556000002</c:v>
                </c:pt>
                <c:pt idx="21">
                  <c:v>2.4039532045999996</c:v>
                </c:pt>
                <c:pt idx="22">
                  <c:v>2.4344565058100001</c:v>
                </c:pt>
                <c:pt idx="23">
                  <c:v>2.4615368170299998</c:v>
                </c:pt>
                <c:pt idx="24">
                  <c:v>2.48488219518</c:v>
                </c:pt>
                <c:pt idx="25">
                  <c:v>2.5051664679700001</c:v>
                </c:pt>
                <c:pt idx="26">
                  <c:v>2.5234274659199998</c:v>
                </c:pt>
                <c:pt idx="27">
                  <c:v>2.5394659671099999</c:v>
                </c:pt>
                <c:pt idx="28">
                  <c:v>2.5522057459100003</c:v>
                </c:pt>
                <c:pt idx="29">
                  <c:v>2.5622177587100001</c:v>
                </c:pt>
                <c:pt idx="30">
                  <c:v>2.5708180281600002</c:v>
                </c:pt>
              </c:numCache>
            </c:numRef>
          </c:val>
          <c:smooth val="0"/>
          <c:extLst>
            <c:ext xmlns:c16="http://schemas.microsoft.com/office/drawing/2014/chart" uri="{C3380CC4-5D6E-409C-BE32-E72D297353CC}">
              <c16:uniqueId val="{00000004-D00B-4213-96C4-F9C66F5530B3}"/>
            </c:ext>
          </c:extLst>
        </c:ser>
        <c:ser>
          <c:idx val="6"/>
          <c:order val="5"/>
          <c:tx>
            <c:strRef>
              <c:f>'[Fiji Scenario Analysis 070420 new.xlsx]GHG_net'!$G$2</c:f>
              <c:strCache>
                <c:ptCount val="1"/>
                <c:pt idx="0">
                  <c:v>5. ST_CLIMATE</c:v>
                </c:pt>
              </c:strCache>
            </c:strRef>
          </c:tx>
          <c:spPr>
            <a:ln w="12700" cap="rnd">
              <a:solidFill>
                <a:srgbClr val="ED7D31"/>
              </a:solidFill>
              <a:prstDash val="dash"/>
              <a:round/>
            </a:ln>
            <a:effectLst/>
          </c:spPr>
          <c:marker>
            <c:symbol val="none"/>
          </c:marker>
          <c:cat>
            <c:numRef>
              <c:f>'[Fiji Scenario Analysis 070420 new.xlsx]GHG_net'!$A$33:$A$63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new.xlsx]GHG_net'!$G$33:$G$63</c:f>
              <c:numCache>
                <c:formatCode>General</c:formatCode>
                <c:ptCount val="31"/>
                <c:pt idx="0">
                  <c:v>2.9043692189999999</c:v>
                </c:pt>
                <c:pt idx="1">
                  <c:v>2.5872898077600004</c:v>
                </c:pt>
                <c:pt idx="2">
                  <c:v>2.33077775824</c:v>
                </c:pt>
                <c:pt idx="3">
                  <c:v>2.1542446652299998</c:v>
                </c:pt>
                <c:pt idx="4">
                  <c:v>2.02735768877</c:v>
                </c:pt>
                <c:pt idx="5">
                  <c:v>1.95725929102</c:v>
                </c:pt>
                <c:pt idx="6">
                  <c:v>1.91462381095</c:v>
                </c:pt>
                <c:pt idx="7">
                  <c:v>1.8630115390300002</c:v>
                </c:pt>
                <c:pt idx="8">
                  <c:v>1.80697385655</c:v>
                </c:pt>
                <c:pt idx="9">
                  <c:v>1.7532362696400001</c:v>
                </c:pt>
                <c:pt idx="10">
                  <c:v>1.7008794705699999</c:v>
                </c:pt>
                <c:pt idx="11">
                  <c:v>1.64541521423</c:v>
                </c:pt>
                <c:pt idx="12">
                  <c:v>1.59588870921</c:v>
                </c:pt>
                <c:pt idx="13">
                  <c:v>1.54715639766</c:v>
                </c:pt>
                <c:pt idx="14">
                  <c:v>1.49891987353</c:v>
                </c:pt>
                <c:pt idx="15">
                  <c:v>1.4513796676300001</c:v>
                </c:pt>
                <c:pt idx="16">
                  <c:v>1.4166207152400001</c:v>
                </c:pt>
                <c:pt idx="17">
                  <c:v>1.38092557499</c:v>
                </c:pt>
                <c:pt idx="18">
                  <c:v>1.3443462795800001</c:v>
                </c:pt>
                <c:pt idx="19">
                  <c:v>1.30740806069</c:v>
                </c:pt>
                <c:pt idx="20">
                  <c:v>1.2699589634400001</c:v>
                </c:pt>
                <c:pt idx="21">
                  <c:v>1.2315922719900001</c:v>
                </c:pt>
                <c:pt idx="22">
                  <c:v>1.1925829084099999</c:v>
                </c:pt>
                <c:pt idx="23">
                  <c:v>1.1538083533900001</c:v>
                </c:pt>
                <c:pt idx="24">
                  <c:v>1.11593845715</c:v>
                </c:pt>
                <c:pt idx="25">
                  <c:v>1.07952386431</c:v>
                </c:pt>
                <c:pt idx="26">
                  <c:v>1.0452463916500001</c:v>
                </c:pt>
                <c:pt idx="27">
                  <c:v>1.01320795035</c:v>
                </c:pt>
                <c:pt idx="28">
                  <c:v>0.98358203327000004</c:v>
                </c:pt>
                <c:pt idx="29">
                  <c:v>0.95570673224900005</c:v>
                </c:pt>
                <c:pt idx="30">
                  <c:v>0.93019320488299995</c:v>
                </c:pt>
              </c:numCache>
            </c:numRef>
          </c:val>
          <c:smooth val="0"/>
          <c:extLst>
            <c:ext xmlns:c16="http://schemas.microsoft.com/office/drawing/2014/chart" uri="{C3380CC4-5D6E-409C-BE32-E72D297353CC}">
              <c16:uniqueId val="{00000005-D00B-4213-96C4-F9C66F5530B3}"/>
            </c:ext>
          </c:extLst>
        </c:ser>
        <c:ser>
          <c:idx val="0"/>
          <c:order val="6"/>
          <c:tx>
            <c:strRef>
              <c:f>'[Fiji Scenario Analysis 070420 new.xlsx]GHG_net'!$H$2</c:f>
              <c:strCache>
                <c:ptCount val="1"/>
                <c:pt idx="0">
                  <c:v>6. ST_SDG</c:v>
                </c:pt>
              </c:strCache>
            </c:strRef>
          </c:tx>
          <c:spPr>
            <a:ln w="12700" cap="rnd">
              <a:solidFill>
                <a:srgbClr val="4472C4"/>
              </a:solidFill>
              <a:prstDash val="sysDash"/>
              <a:round/>
            </a:ln>
            <a:effectLst/>
          </c:spPr>
          <c:marker>
            <c:symbol val="none"/>
          </c:marker>
          <c:cat>
            <c:numRef>
              <c:f>'[Fiji Scenario Analysis 070420 new.xlsx]GHG_net'!$A$33:$A$63</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new.xlsx]GHG_net'!$H$33:$H$63</c:f>
              <c:numCache>
                <c:formatCode>General</c:formatCode>
                <c:ptCount val="31"/>
                <c:pt idx="0">
                  <c:v>2.90802486785</c:v>
                </c:pt>
                <c:pt idx="1">
                  <c:v>2.60581639877</c:v>
                </c:pt>
                <c:pt idx="2">
                  <c:v>2.3557333429899998</c:v>
                </c:pt>
                <c:pt idx="3">
                  <c:v>2.1774044991799997</c:v>
                </c:pt>
                <c:pt idx="4">
                  <c:v>2.067594986</c:v>
                </c:pt>
                <c:pt idx="5">
                  <c:v>1.99896556492</c:v>
                </c:pt>
                <c:pt idx="6">
                  <c:v>1.9233796737</c:v>
                </c:pt>
                <c:pt idx="7">
                  <c:v>1.8486499569999999</c:v>
                </c:pt>
                <c:pt idx="8">
                  <c:v>1.7820347831800001</c:v>
                </c:pt>
                <c:pt idx="9">
                  <c:v>1.7213488276800002</c:v>
                </c:pt>
                <c:pt idx="10">
                  <c:v>1.6620802165199999</c:v>
                </c:pt>
                <c:pt idx="11">
                  <c:v>1.59896327183</c:v>
                </c:pt>
                <c:pt idx="12">
                  <c:v>1.54616339477</c:v>
                </c:pt>
                <c:pt idx="13">
                  <c:v>1.49784688783</c:v>
                </c:pt>
                <c:pt idx="14">
                  <c:v>1.45115794157</c:v>
                </c:pt>
                <c:pt idx="15">
                  <c:v>1.4050093958999998</c:v>
                </c:pt>
                <c:pt idx="16">
                  <c:v>1.3714323294500002</c:v>
                </c:pt>
                <c:pt idx="17">
                  <c:v>1.3364820828400001</c:v>
                </c:pt>
                <c:pt idx="18">
                  <c:v>1.3001530348199999</c:v>
                </c:pt>
                <c:pt idx="19">
                  <c:v>1.26285546946</c:v>
                </c:pt>
                <c:pt idx="20">
                  <c:v>1.2241645693099998</c:v>
                </c:pt>
                <c:pt idx="21">
                  <c:v>1.1846011966400001</c:v>
                </c:pt>
                <c:pt idx="22">
                  <c:v>1.1443674418400001</c:v>
                </c:pt>
                <c:pt idx="23">
                  <c:v>1.10433240949</c:v>
                </c:pt>
                <c:pt idx="24">
                  <c:v>1.0653438848399999</c:v>
                </c:pt>
                <c:pt idx="25">
                  <c:v>1.0279215398999999</c:v>
                </c:pt>
                <c:pt idx="26">
                  <c:v>0.99275222603699997</c:v>
                </c:pt>
                <c:pt idx="27">
                  <c:v>0.95993353438099993</c:v>
                </c:pt>
                <c:pt idx="28">
                  <c:v>0.92951443060500005</c:v>
                </c:pt>
                <c:pt idx="29">
                  <c:v>0.90102733965800008</c:v>
                </c:pt>
                <c:pt idx="30">
                  <c:v>0.96488605978799991</c:v>
                </c:pt>
              </c:numCache>
            </c:numRef>
          </c:val>
          <c:smooth val="0"/>
          <c:extLst>
            <c:ext xmlns:c16="http://schemas.microsoft.com/office/drawing/2014/chart" uri="{C3380CC4-5D6E-409C-BE32-E72D297353CC}">
              <c16:uniqueId val="{00000006-D00B-4213-96C4-F9C66F5530B3}"/>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in"/>
        <c:minorTickMark val="none"/>
        <c:tickLblPos val="nextTo"/>
        <c:spPr>
          <a:noFill/>
          <a:ln w="9525" cap="flat" cmpd="sng" algn="ctr">
            <a:solidFill>
              <a:sysClr val="windowText" lastClr="000000"/>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scaling>
        <c:delete val="0"/>
        <c:axPos val="l"/>
        <c:majorGridlines>
          <c:spPr>
            <a:ln w="9525" cap="flat" cmpd="sng" algn="ctr">
              <a:solidFill>
                <a:srgbClr val="A1A1A1"/>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GHG Emissions (Mt CO2-e)</a:t>
                </a:r>
              </a:p>
            </c:rich>
          </c:tx>
          <c:layout>
            <c:manualLayout>
              <c:xMode val="edge"/>
              <c:yMode val="edge"/>
              <c:x val="4.9255166212640589E-3"/>
              <c:y val="0.1802743726736603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28197152556833"/>
          <c:y val="1.7970253718285215E-2"/>
          <c:w val="0.79718774995112063"/>
          <c:h val="0.84082265905142151"/>
        </c:manualLayout>
      </c:layout>
      <c:lineChart>
        <c:grouping val="standard"/>
        <c:varyColors val="0"/>
        <c:ser>
          <c:idx val="6"/>
          <c:order val="0"/>
          <c:tx>
            <c:strRef>
              <c:f>'[Fiji Scenario Analysis 070420 new.xlsx]PC_CO2'!$B$3</c:f>
              <c:strCache>
                <c:ptCount val="1"/>
                <c:pt idx="0">
                  <c:v>BAU</c:v>
                </c:pt>
              </c:strCache>
            </c:strRef>
          </c:tx>
          <c:spPr>
            <a:ln w="12700" cap="rnd">
              <a:solidFill>
                <a:srgbClr val="FFC000"/>
              </a:solidFill>
              <a:prstDash val="solid"/>
              <a:round/>
            </a:ln>
            <a:effectLst/>
          </c:spPr>
          <c:marker>
            <c:symbol val="none"/>
          </c:marker>
          <c:cat>
            <c:numRef>
              <c:f>'[Fiji Scenario Analysis 070420 new.xlsx]PC_CO2'!$A$34:$A$64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new.xlsx]PC_CO2'!$B$34:$B$64</c:f>
              <c:numCache>
                <c:formatCode>General</c:formatCode>
                <c:ptCount val="31"/>
                <c:pt idx="0">
                  <c:v>2.58824770349</c:v>
                </c:pt>
                <c:pt idx="1">
                  <c:v>2.59362279006</c:v>
                </c:pt>
                <c:pt idx="2">
                  <c:v>2.6037132643600001</c:v>
                </c:pt>
                <c:pt idx="3">
                  <c:v>2.6108793443199998</c:v>
                </c:pt>
                <c:pt idx="4">
                  <c:v>2.62119238968</c:v>
                </c:pt>
                <c:pt idx="5">
                  <c:v>2.6621790506399998</c:v>
                </c:pt>
                <c:pt idx="6">
                  <c:v>2.7224050633000001</c:v>
                </c:pt>
                <c:pt idx="7">
                  <c:v>2.77552521412</c:v>
                </c:pt>
                <c:pt idx="8">
                  <c:v>2.80991842792</c:v>
                </c:pt>
                <c:pt idx="9">
                  <c:v>2.8355766592</c:v>
                </c:pt>
                <c:pt idx="10">
                  <c:v>2.86423368098</c:v>
                </c:pt>
                <c:pt idx="11">
                  <c:v>2.8970738480399998</c:v>
                </c:pt>
                <c:pt idx="12">
                  <c:v>2.9306034423199998</c:v>
                </c:pt>
                <c:pt idx="13">
                  <c:v>2.958823636</c:v>
                </c:pt>
                <c:pt idx="14">
                  <c:v>2.9835625317400001</c:v>
                </c:pt>
                <c:pt idx="15">
                  <c:v>3.0055751451199999</c:v>
                </c:pt>
                <c:pt idx="16">
                  <c:v>3.04831892772</c:v>
                </c:pt>
                <c:pt idx="17">
                  <c:v>3.0888303780999999</c:v>
                </c:pt>
                <c:pt idx="18">
                  <c:v>3.1227091527400002</c:v>
                </c:pt>
                <c:pt idx="19">
                  <c:v>3.1529425731899998</c:v>
                </c:pt>
                <c:pt idx="20">
                  <c:v>3.1799456820300001</c:v>
                </c:pt>
                <c:pt idx="21">
                  <c:v>3.2052434347799998</c:v>
                </c:pt>
                <c:pt idx="22">
                  <c:v>3.2306231010099999</c:v>
                </c:pt>
                <c:pt idx="23">
                  <c:v>3.25149772313</c:v>
                </c:pt>
                <c:pt idx="24">
                  <c:v>3.2677713741400001</c:v>
                </c:pt>
                <c:pt idx="25">
                  <c:v>3.2803810042800001</c:v>
                </c:pt>
                <c:pt idx="26">
                  <c:v>3.2908796851500002</c:v>
                </c:pt>
                <c:pt idx="27">
                  <c:v>3.2998065910099998</c:v>
                </c:pt>
                <c:pt idx="28">
                  <c:v>3.30611928677</c:v>
                </c:pt>
                <c:pt idx="29">
                  <c:v>3.3103932304499999</c:v>
                </c:pt>
                <c:pt idx="30">
                  <c:v>3.3136222553299999</c:v>
                </c:pt>
              </c:numCache>
            </c:numRef>
          </c:val>
          <c:smooth val="0"/>
          <c:extLst>
            <c:ext xmlns:c16="http://schemas.microsoft.com/office/drawing/2014/chart" uri="{C3380CC4-5D6E-409C-BE32-E72D297353CC}">
              <c16:uniqueId val="{00000000-6E38-4ED2-811E-A57DCC1F442D}"/>
            </c:ext>
          </c:extLst>
        </c:ser>
        <c:ser>
          <c:idx val="5"/>
          <c:order val="1"/>
          <c:tx>
            <c:strRef>
              <c:f>'[Fiji Scenario Analysis 070420 new.xlsx]PC_CO2'!$C$3</c:f>
              <c:strCache>
                <c:ptCount val="1"/>
                <c:pt idx="0">
                  <c:v>1. GAC</c:v>
                </c:pt>
              </c:strCache>
            </c:strRef>
          </c:tx>
          <c:spPr>
            <a:ln w="12700" cap="rnd">
              <a:solidFill>
                <a:srgbClr val="FF0000"/>
              </a:solidFill>
              <a:prstDash val="solid"/>
              <a:round/>
            </a:ln>
            <a:effectLst/>
          </c:spPr>
          <c:marker>
            <c:symbol val="none"/>
          </c:marker>
          <c:cat>
            <c:numRef>
              <c:f>'[Fiji Scenario Analysis 070420 new.xlsx]PC_CO2'!$A$34:$A$64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new.xlsx]PC_CO2'!$C$34:$C$64</c:f>
              <c:numCache>
                <c:formatCode>General</c:formatCode>
                <c:ptCount val="31"/>
                <c:pt idx="0">
                  <c:v>2.5943726694599998</c:v>
                </c:pt>
                <c:pt idx="1">
                  <c:v>2.5958627127199998</c:v>
                </c:pt>
                <c:pt idx="2">
                  <c:v>2.6068957879300001</c:v>
                </c:pt>
                <c:pt idx="3">
                  <c:v>2.6199420527699999</c:v>
                </c:pt>
                <c:pt idx="4">
                  <c:v>2.6351963431000001</c:v>
                </c:pt>
                <c:pt idx="5">
                  <c:v>2.68536523585</c:v>
                </c:pt>
                <c:pt idx="6">
                  <c:v>2.7559559237200002</c:v>
                </c:pt>
                <c:pt idx="7">
                  <c:v>2.81011867005</c:v>
                </c:pt>
                <c:pt idx="8">
                  <c:v>2.8494310666099998</c:v>
                </c:pt>
                <c:pt idx="9">
                  <c:v>2.8919936157100001</c:v>
                </c:pt>
                <c:pt idx="10">
                  <c:v>2.94055613469</c:v>
                </c:pt>
                <c:pt idx="11">
                  <c:v>2.9843673685400001</c:v>
                </c:pt>
                <c:pt idx="12">
                  <c:v>3.0242221539699998</c:v>
                </c:pt>
                <c:pt idx="13">
                  <c:v>3.0570290552600001</c:v>
                </c:pt>
                <c:pt idx="14">
                  <c:v>3.08712413738</c:v>
                </c:pt>
                <c:pt idx="15">
                  <c:v>3.1161452224300001</c:v>
                </c:pt>
                <c:pt idx="16">
                  <c:v>3.16278851094</c:v>
                </c:pt>
                <c:pt idx="17">
                  <c:v>3.2053794338900001</c:v>
                </c:pt>
                <c:pt idx="18">
                  <c:v>3.2406405901999999</c:v>
                </c:pt>
                <c:pt idx="19">
                  <c:v>3.2712169658499999</c:v>
                </c:pt>
                <c:pt idx="20">
                  <c:v>3.29700817842</c:v>
                </c:pt>
                <c:pt idx="21">
                  <c:v>3.31973612009</c:v>
                </c:pt>
                <c:pt idx="22">
                  <c:v>3.3434559356100002</c:v>
                </c:pt>
                <c:pt idx="23">
                  <c:v>3.3608910773999998</c:v>
                </c:pt>
                <c:pt idx="24">
                  <c:v>3.3745400771199998</c:v>
                </c:pt>
                <c:pt idx="25">
                  <c:v>3.3811157289399998</c:v>
                </c:pt>
                <c:pt idx="26">
                  <c:v>3.38232342931</c:v>
                </c:pt>
                <c:pt idx="27">
                  <c:v>3.3801153692699999</c:v>
                </c:pt>
                <c:pt idx="28">
                  <c:v>3.3735342182700001</c:v>
                </c:pt>
                <c:pt idx="29">
                  <c:v>3.3637809135299999</c:v>
                </c:pt>
                <c:pt idx="30">
                  <c:v>3.3496935638299998</c:v>
                </c:pt>
              </c:numCache>
            </c:numRef>
          </c:val>
          <c:smooth val="0"/>
          <c:extLst>
            <c:ext xmlns:c16="http://schemas.microsoft.com/office/drawing/2014/chart" uri="{C3380CC4-5D6E-409C-BE32-E72D297353CC}">
              <c16:uniqueId val="{00000001-6E38-4ED2-811E-A57DCC1F442D}"/>
            </c:ext>
          </c:extLst>
        </c:ser>
        <c:ser>
          <c:idx val="4"/>
          <c:order val="2"/>
          <c:tx>
            <c:strRef>
              <c:f>'[Fiji Scenario Analysis 070420 new.xlsx]PC_CO2'!$D$3</c:f>
              <c:strCache>
                <c:ptCount val="1"/>
                <c:pt idx="0">
                  <c:v>2. GE</c:v>
                </c:pt>
              </c:strCache>
            </c:strRef>
          </c:tx>
          <c:spPr>
            <a:ln w="12700" cap="rnd">
              <a:solidFill>
                <a:srgbClr val="7CBF33"/>
              </a:solidFill>
              <a:round/>
            </a:ln>
            <a:effectLst/>
          </c:spPr>
          <c:marker>
            <c:symbol val="none"/>
          </c:marker>
          <c:cat>
            <c:numRef>
              <c:f>'[Fiji Scenario Analysis 070420 new.xlsx]PC_CO2'!$A$34:$A$64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new.xlsx]PC_CO2'!$D$34:$D$64</c:f>
              <c:numCache>
                <c:formatCode>General</c:formatCode>
                <c:ptCount val="31"/>
                <c:pt idx="0">
                  <c:v>2.57979440618</c:v>
                </c:pt>
                <c:pt idx="1">
                  <c:v>2.5800643139799999</c:v>
                </c:pt>
                <c:pt idx="2">
                  <c:v>2.5820561764100001</c:v>
                </c:pt>
                <c:pt idx="3">
                  <c:v>2.5786927149399999</c:v>
                </c:pt>
                <c:pt idx="4">
                  <c:v>2.5735445867100002</c:v>
                </c:pt>
                <c:pt idx="5">
                  <c:v>2.5813154620500001</c:v>
                </c:pt>
                <c:pt idx="6">
                  <c:v>2.5878596926199999</c:v>
                </c:pt>
                <c:pt idx="7">
                  <c:v>2.5813388295299999</c:v>
                </c:pt>
                <c:pt idx="8">
                  <c:v>2.57215560195</c:v>
                </c:pt>
                <c:pt idx="9">
                  <c:v>2.5624273873200001</c:v>
                </c:pt>
                <c:pt idx="10">
                  <c:v>2.5525184614900001</c:v>
                </c:pt>
                <c:pt idx="11">
                  <c:v>2.54417693631</c:v>
                </c:pt>
                <c:pt idx="12">
                  <c:v>2.5410858692199998</c:v>
                </c:pt>
                <c:pt idx="13">
                  <c:v>2.5406928233800001</c:v>
                </c:pt>
                <c:pt idx="14">
                  <c:v>2.54230915701</c:v>
                </c:pt>
                <c:pt idx="15">
                  <c:v>2.5451100810999998</c:v>
                </c:pt>
                <c:pt idx="16">
                  <c:v>2.5608879128400002</c:v>
                </c:pt>
                <c:pt idx="17">
                  <c:v>2.5759981752500001</c:v>
                </c:pt>
                <c:pt idx="18">
                  <c:v>2.5903837589299998</c:v>
                </c:pt>
                <c:pt idx="19">
                  <c:v>2.6045751152499999</c:v>
                </c:pt>
                <c:pt idx="20">
                  <c:v>2.6183364021400002</c:v>
                </c:pt>
                <c:pt idx="21">
                  <c:v>2.63107293289</c:v>
                </c:pt>
                <c:pt idx="22">
                  <c:v>2.6426606539100002</c:v>
                </c:pt>
                <c:pt idx="23">
                  <c:v>2.6533049691400001</c:v>
                </c:pt>
                <c:pt idx="24">
                  <c:v>2.6628124393700001</c:v>
                </c:pt>
                <c:pt idx="25">
                  <c:v>2.67141859458</c:v>
                </c:pt>
                <c:pt idx="26">
                  <c:v>2.67951167438</c:v>
                </c:pt>
                <c:pt idx="27">
                  <c:v>2.6869673869600001</c:v>
                </c:pt>
                <c:pt idx="28">
                  <c:v>2.6933141873899999</c:v>
                </c:pt>
                <c:pt idx="29">
                  <c:v>2.69853012467</c:v>
                </c:pt>
                <c:pt idx="30">
                  <c:v>2.7027650732800002</c:v>
                </c:pt>
              </c:numCache>
            </c:numRef>
          </c:val>
          <c:smooth val="0"/>
          <c:extLst>
            <c:ext xmlns:c16="http://schemas.microsoft.com/office/drawing/2014/chart" uri="{C3380CC4-5D6E-409C-BE32-E72D297353CC}">
              <c16:uniqueId val="{00000002-6E38-4ED2-811E-A57DCC1F442D}"/>
            </c:ext>
          </c:extLst>
        </c:ser>
        <c:ser>
          <c:idx val="3"/>
          <c:order val="3"/>
          <c:tx>
            <c:strRef>
              <c:f>'[Fiji Scenario Analysis 070420 new.xlsx]PC_CO2'!$E$3</c:f>
              <c:strCache>
                <c:ptCount val="1"/>
                <c:pt idx="0">
                  <c:v>3. IG</c:v>
                </c:pt>
              </c:strCache>
            </c:strRef>
          </c:tx>
          <c:spPr>
            <a:ln w="12700" cap="rnd">
              <a:solidFill>
                <a:srgbClr val="00B0F0"/>
              </a:solidFill>
              <a:round/>
            </a:ln>
            <a:effectLst/>
          </c:spPr>
          <c:marker>
            <c:symbol val="none"/>
          </c:marker>
          <c:cat>
            <c:numRef>
              <c:f>'[Fiji Scenario Analysis 070420 new.xlsx]PC_CO2'!$A$34:$A$64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new.xlsx]PC_CO2'!$E$34:$E$64</c:f>
              <c:numCache>
                <c:formatCode>General</c:formatCode>
                <c:ptCount val="31"/>
                <c:pt idx="0">
                  <c:v>2.5855623904399998</c:v>
                </c:pt>
                <c:pt idx="1">
                  <c:v>2.5967594194600001</c:v>
                </c:pt>
                <c:pt idx="2">
                  <c:v>2.6195768349800002</c:v>
                </c:pt>
                <c:pt idx="3">
                  <c:v>2.6427313485399999</c:v>
                </c:pt>
                <c:pt idx="4">
                  <c:v>2.69177597939</c:v>
                </c:pt>
                <c:pt idx="5">
                  <c:v>2.7834900134599998</c:v>
                </c:pt>
                <c:pt idx="6">
                  <c:v>2.88204835771</c:v>
                </c:pt>
                <c:pt idx="7">
                  <c:v>2.96253405646</c:v>
                </c:pt>
                <c:pt idx="8">
                  <c:v>3.0266291277400001</c:v>
                </c:pt>
                <c:pt idx="9">
                  <c:v>3.0911873608699998</c:v>
                </c:pt>
                <c:pt idx="10">
                  <c:v>3.16549019109</c:v>
                </c:pt>
                <c:pt idx="11">
                  <c:v>3.2378640177500002</c:v>
                </c:pt>
                <c:pt idx="12">
                  <c:v>3.3069878521899998</c:v>
                </c:pt>
                <c:pt idx="13">
                  <c:v>3.3639394819000001</c:v>
                </c:pt>
                <c:pt idx="14">
                  <c:v>3.41608908121</c:v>
                </c:pt>
                <c:pt idx="15">
                  <c:v>3.4701196192000001</c:v>
                </c:pt>
                <c:pt idx="16">
                  <c:v>3.5494331199800002</c:v>
                </c:pt>
                <c:pt idx="17">
                  <c:v>3.6260080021099999</c:v>
                </c:pt>
                <c:pt idx="18">
                  <c:v>3.6933307113599998</c:v>
                </c:pt>
                <c:pt idx="19">
                  <c:v>3.75410934752</c:v>
                </c:pt>
                <c:pt idx="20">
                  <c:v>3.8095638318699998</c:v>
                </c:pt>
                <c:pt idx="21">
                  <c:v>3.8627542963299999</c:v>
                </c:pt>
                <c:pt idx="22">
                  <c:v>3.9178969343699999</c:v>
                </c:pt>
                <c:pt idx="23">
                  <c:v>3.96568766579</c:v>
                </c:pt>
                <c:pt idx="24">
                  <c:v>4.0093972564399998</c:v>
                </c:pt>
                <c:pt idx="25">
                  <c:v>4.0455160168499997</c:v>
                </c:pt>
                <c:pt idx="26">
                  <c:v>4.0764613750400001</c:v>
                </c:pt>
                <c:pt idx="27">
                  <c:v>4.1046756921599998</c:v>
                </c:pt>
                <c:pt idx="28">
                  <c:v>4.1291453415100001</c:v>
                </c:pt>
                <c:pt idx="29">
                  <c:v>4.1523205660500002</c:v>
                </c:pt>
                <c:pt idx="30">
                  <c:v>4.1729214179299996</c:v>
                </c:pt>
              </c:numCache>
            </c:numRef>
          </c:val>
          <c:smooth val="0"/>
          <c:extLst>
            <c:ext xmlns:c16="http://schemas.microsoft.com/office/drawing/2014/chart" uri="{C3380CC4-5D6E-409C-BE32-E72D297353CC}">
              <c16:uniqueId val="{00000003-6E38-4ED2-811E-A57DCC1F442D}"/>
            </c:ext>
          </c:extLst>
        </c:ser>
        <c:ser>
          <c:idx val="2"/>
          <c:order val="4"/>
          <c:tx>
            <c:strRef>
              <c:f>'[Fiji Scenario Analysis 070420 new.xlsx]PC_CO2'!$F$3</c:f>
              <c:strCache>
                <c:ptCount val="1"/>
                <c:pt idx="0">
                  <c:v>4. ST</c:v>
                </c:pt>
              </c:strCache>
            </c:strRef>
          </c:tx>
          <c:spPr>
            <a:ln w="12700" cap="rnd">
              <a:solidFill>
                <a:srgbClr val="008080"/>
              </a:solidFill>
              <a:round/>
            </a:ln>
            <a:effectLst/>
          </c:spPr>
          <c:marker>
            <c:symbol val="none"/>
          </c:marker>
          <c:cat>
            <c:numRef>
              <c:f>'[Fiji Scenario Analysis 070420 new.xlsx]PC_CO2'!$A$34:$A$64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new.xlsx]PC_CO2'!$F$34:$F$64</c:f>
              <c:numCache>
                <c:formatCode>General</c:formatCode>
                <c:ptCount val="31"/>
                <c:pt idx="0">
                  <c:v>2.5766051034899999</c:v>
                </c:pt>
                <c:pt idx="1">
                  <c:v>2.5885806251700001</c:v>
                </c:pt>
                <c:pt idx="2">
                  <c:v>2.60435677157</c:v>
                </c:pt>
                <c:pt idx="3">
                  <c:v>2.6172323929700001</c:v>
                </c:pt>
                <c:pt idx="4">
                  <c:v>2.6423707493699999</c:v>
                </c:pt>
                <c:pt idx="5">
                  <c:v>2.7081252347100002</c:v>
                </c:pt>
                <c:pt idx="6">
                  <c:v>2.7773116788899999</c:v>
                </c:pt>
                <c:pt idx="7">
                  <c:v>2.8174458931399999</c:v>
                </c:pt>
                <c:pt idx="8">
                  <c:v>2.8403762546500002</c:v>
                </c:pt>
                <c:pt idx="9">
                  <c:v>2.85997866123</c:v>
                </c:pt>
                <c:pt idx="10">
                  <c:v>2.88104927364</c:v>
                </c:pt>
                <c:pt idx="11">
                  <c:v>2.9047989110199999</c:v>
                </c:pt>
                <c:pt idx="12">
                  <c:v>2.9353276408400002</c:v>
                </c:pt>
                <c:pt idx="13">
                  <c:v>2.96843253212</c:v>
                </c:pt>
                <c:pt idx="14">
                  <c:v>3.0069169694000002</c:v>
                </c:pt>
                <c:pt idx="15">
                  <c:v>3.0502038486299998</c:v>
                </c:pt>
                <c:pt idx="16">
                  <c:v>3.11415825473</c:v>
                </c:pt>
                <c:pt idx="17">
                  <c:v>3.1761596380500001</c:v>
                </c:pt>
                <c:pt idx="18">
                  <c:v>3.2346785370300002</c:v>
                </c:pt>
                <c:pt idx="19">
                  <c:v>3.29135206626</c:v>
                </c:pt>
                <c:pt idx="20">
                  <c:v>3.3462941314800001</c:v>
                </c:pt>
                <c:pt idx="21">
                  <c:v>3.3985657227199999</c:v>
                </c:pt>
                <c:pt idx="22">
                  <c:v>3.4470784937399999</c:v>
                </c:pt>
                <c:pt idx="23">
                  <c:v>3.4909982185600001</c:v>
                </c:pt>
                <c:pt idx="24">
                  <c:v>3.5302341318199999</c:v>
                </c:pt>
                <c:pt idx="25">
                  <c:v>3.5656985993800001</c:v>
                </c:pt>
                <c:pt idx="26">
                  <c:v>3.5985518700700001</c:v>
                </c:pt>
                <c:pt idx="27">
                  <c:v>3.6285977997800001</c:v>
                </c:pt>
                <c:pt idx="28">
                  <c:v>3.6549525386799999</c:v>
                </c:pt>
                <c:pt idx="29">
                  <c:v>3.6783071950699999</c:v>
                </c:pt>
                <c:pt idx="30">
                  <c:v>3.70005204912</c:v>
                </c:pt>
              </c:numCache>
            </c:numRef>
          </c:val>
          <c:smooth val="0"/>
          <c:extLst>
            <c:ext xmlns:c16="http://schemas.microsoft.com/office/drawing/2014/chart" uri="{C3380CC4-5D6E-409C-BE32-E72D297353CC}">
              <c16:uniqueId val="{00000004-6E38-4ED2-811E-A57DCC1F442D}"/>
            </c:ext>
          </c:extLst>
        </c:ser>
        <c:ser>
          <c:idx val="1"/>
          <c:order val="5"/>
          <c:tx>
            <c:strRef>
              <c:f>'[Fiji Scenario Analysis 070420 new.xlsx]PC_CO2'!$G$3</c:f>
              <c:strCache>
                <c:ptCount val="1"/>
                <c:pt idx="0">
                  <c:v>5. ST_CLIMATE</c:v>
                </c:pt>
              </c:strCache>
            </c:strRef>
          </c:tx>
          <c:spPr>
            <a:ln w="12700" cap="rnd">
              <a:solidFill>
                <a:srgbClr val="ED7D31"/>
              </a:solidFill>
              <a:prstDash val="sysDash"/>
              <a:round/>
            </a:ln>
            <a:effectLst/>
          </c:spPr>
          <c:marker>
            <c:symbol val="none"/>
          </c:marker>
          <c:cat>
            <c:numRef>
              <c:f>'[Fiji Scenario Analysis 070420 new.xlsx]PC_CO2'!$A$34:$A$64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new.xlsx]PC_CO2'!$G$34:$G$64</c:f>
              <c:numCache>
                <c:formatCode>General</c:formatCode>
                <c:ptCount val="31"/>
                <c:pt idx="0">
                  <c:v>2.5744439793999998</c:v>
                </c:pt>
                <c:pt idx="1">
                  <c:v>2.5788765041400001</c:v>
                </c:pt>
                <c:pt idx="2">
                  <c:v>2.57327253403</c:v>
                </c:pt>
                <c:pt idx="3">
                  <c:v>2.5519446390399998</c:v>
                </c:pt>
                <c:pt idx="4">
                  <c:v>2.5238315838999998</c:v>
                </c:pt>
                <c:pt idx="5">
                  <c:v>2.5207563082100002</c:v>
                </c:pt>
                <c:pt idx="6">
                  <c:v>2.5268411677099998</c:v>
                </c:pt>
                <c:pt idx="7">
                  <c:v>2.5098730912899998</c:v>
                </c:pt>
                <c:pt idx="8">
                  <c:v>2.4802538976799999</c:v>
                </c:pt>
                <c:pt idx="9">
                  <c:v>2.4483375102</c:v>
                </c:pt>
                <c:pt idx="10">
                  <c:v>2.4148526136899999</c:v>
                </c:pt>
                <c:pt idx="11">
                  <c:v>2.3807066755899999</c:v>
                </c:pt>
                <c:pt idx="12">
                  <c:v>2.35082487185</c:v>
                </c:pt>
                <c:pt idx="13">
                  <c:v>2.3224208981799999</c:v>
                </c:pt>
                <c:pt idx="14">
                  <c:v>2.29474584536</c:v>
                </c:pt>
                <c:pt idx="15">
                  <c:v>2.2674236105199999</c:v>
                </c:pt>
                <c:pt idx="16">
                  <c:v>2.25339589825</c:v>
                </c:pt>
                <c:pt idx="17">
                  <c:v>2.2381572627300002</c:v>
                </c:pt>
                <c:pt idx="18">
                  <c:v>2.2217002109799999</c:v>
                </c:pt>
                <c:pt idx="19">
                  <c:v>2.20440820995</c:v>
                </c:pt>
                <c:pt idx="20">
                  <c:v>2.18609305257</c:v>
                </c:pt>
                <c:pt idx="21">
                  <c:v>2.16629392786</c:v>
                </c:pt>
                <c:pt idx="22">
                  <c:v>2.14520625313</c:v>
                </c:pt>
                <c:pt idx="23">
                  <c:v>2.1236712798699999</c:v>
                </c:pt>
                <c:pt idx="24">
                  <c:v>2.1024975700500002</c:v>
                </c:pt>
                <c:pt idx="25">
                  <c:v>2.0823779984300002</c:v>
                </c:pt>
                <c:pt idx="26">
                  <c:v>2.0640768824900002</c:v>
                </c:pt>
                <c:pt idx="27">
                  <c:v>2.0477754680800002</c:v>
                </c:pt>
                <c:pt idx="28">
                  <c:v>2.0335896628899999</c:v>
                </c:pt>
                <c:pt idx="29">
                  <c:v>2.0211829827300001</c:v>
                </c:pt>
                <c:pt idx="30">
                  <c:v>2.0108630862500001</c:v>
                </c:pt>
              </c:numCache>
            </c:numRef>
          </c:val>
          <c:smooth val="0"/>
          <c:extLst>
            <c:ext xmlns:c16="http://schemas.microsoft.com/office/drawing/2014/chart" uri="{C3380CC4-5D6E-409C-BE32-E72D297353CC}">
              <c16:uniqueId val="{00000005-6E38-4ED2-811E-A57DCC1F442D}"/>
            </c:ext>
          </c:extLst>
        </c:ser>
        <c:ser>
          <c:idx val="0"/>
          <c:order val="6"/>
          <c:tx>
            <c:strRef>
              <c:f>'[Fiji Scenario Analysis 070420 new.xlsx]PC_CO2'!$H$3</c:f>
              <c:strCache>
                <c:ptCount val="1"/>
                <c:pt idx="0">
                  <c:v>6. ST_SDG</c:v>
                </c:pt>
              </c:strCache>
            </c:strRef>
          </c:tx>
          <c:spPr>
            <a:ln w="12700" cap="rnd">
              <a:solidFill>
                <a:srgbClr val="4472C4"/>
              </a:solidFill>
              <a:prstDash val="dash"/>
              <a:round/>
            </a:ln>
            <a:effectLst/>
          </c:spPr>
          <c:marker>
            <c:symbol val="none"/>
          </c:marker>
          <c:cat>
            <c:numRef>
              <c:f>'[Fiji Scenario Analysis 070420 new.xlsx]PC_CO2'!$A$34:$A$64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new.xlsx]PC_CO2'!$H$34:$H$64</c:f>
              <c:numCache>
                <c:formatCode>General</c:formatCode>
                <c:ptCount val="31"/>
                <c:pt idx="0">
                  <c:v>2.5784777492800002</c:v>
                </c:pt>
                <c:pt idx="1">
                  <c:v>2.5988079096100001</c:v>
                </c:pt>
                <c:pt idx="2">
                  <c:v>2.6082267431899999</c:v>
                </c:pt>
                <c:pt idx="3">
                  <c:v>2.5937694105700002</c:v>
                </c:pt>
                <c:pt idx="4">
                  <c:v>2.59091229142</c:v>
                </c:pt>
                <c:pt idx="5">
                  <c:v>2.59303470488</c:v>
                </c:pt>
                <c:pt idx="6">
                  <c:v>2.5641541029699999</c:v>
                </c:pt>
                <c:pt idx="7">
                  <c:v>2.52887183659</c:v>
                </c:pt>
                <c:pt idx="8">
                  <c:v>2.4910201016800002</c:v>
                </c:pt>
                <c:pt idx="9">
                  <c:v>2.45201586658</c:v>
                </c:pt>
                <c:pt idx="10">
                  <c:v>2.4098631989400001</c:v>
                </c:pt>
                <c:pt idx="11">
                  <c:v>2.3677322043100002</c:v>
                </c:pt>
                <c:pt idx="12">
                  <c:v>2.3341065426999998</c:v>
                </c:pt>
                <c:pt idx="13">
                  <c:v>2.3043220945099998</c:v>
                </c:pt>
                <c:pt idx="14">
                  <c:v>2.27666705621</c:v>
                </c:pt>
                <c:pt idx="15">
                  <c:v>2.2502420867800002</c:v>
                </c:pt>
                <c:pt idx="16">
                  <c:v>2.23776804913</c:v>
                </c:pt>
                <c:pt idx="17">
                  <c:v>2.22450932877</c:v>
                </c:pt>
                <c:pt idx="18">
                  <c:v>2.21026177304</c:v>
                </c:pt>
                <c:pt idx="19">
                  <c:v>2.19518294476</c:v>
                </c:pt>
                <c:pt idx="20">
                  <c:v>2.1783179696100001</c:v>
                </c:pt>
                <c:pt idx="21">
                  <c:v>2.15962965668</c:v>
                </c:pt>
                <c:pt idx="22">
                  <c:v>2.1393179724200002</c:v>
                </c:pt>
                <c:pt idx="23">
                  <c:v>2.1182708211399999</c:v>
                </c:pt>
                <c:pt idx="24">
                  <c:v>2.0974349962700001</c:v>
                </c:pt>
                <c:pt idx="25">
                  <c:v>2.0774840517099999</c:v>
                </c:pt>
                <c:pt idx="26">
                  <c:v>2.0592197000299999</c:v>
                </c:pt>
                <c:pt idx="27">
                  <c:v>2.0428375833999999</c:v>
                </c:pt>
                <c:pt idx="28">
                  <c:v>2.0283812640300001</c:v>
                </c:pt>
                <c:pt idx="29">
                  <c:v>2.0156513713200002</c:v>
                </c:pt>
                <c:pt idx="30">
                  <c:v>2.0052224109100001</c:v>
                </c:pt>
              </c:numCache>
            </c:numRef>
          </c:val>
          <c:smooth val="0"/>
          <c:extLst>
            <c:ext xmlns:c16="http://schemas.microsoft.com/office/drawing/2014/chart" uri="{C3380CC4-5D6E-409C-BE32-E72D297353CC}">
              <c16:uniqueId val="{00000006-6E38-4ED2-811E-A57DCC1F442D}"/>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in"/>
        <c:minorTickMark val="none"/>
        <c:tickLblPos val="nextTo"/>
        <c:spPr>
          <a:noFill/>
          <a:ln w="9525" cap="flat" cmpd="sng" algn="ctr">
            <a:solidFill>
              <a:sysClr val="windowText" lastClr="000000"/>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1"/>
        </c:scaling>
        <c:delete val="0"/>
        <c:axPos val="l"/>
        <c:majorGridlines>
          <c:spPr>
            <a:ln w="9525" cap="flat" cmpd="sng" algn="ctr">
              <a:solidFill>
                <a:srgbClr val="A1A1A1"/>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Per capita CO2 emissions (tons/person)</a:t>
                </a:r>
              </a:p>
            </c:rich>
          </c:tx>
          <c:layout>
            <c:manualLayout>
              <c:xMode val="edge"/>
              <c:yMode val="edge"/>
              <c:x val="3.8417376157551413E-3"/>
              <c:y val="7.446023491826478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88351727404496"/>
          <c:y val="4.3367478565470276E-2"/>
          <c:w val="0.78950202459427987"/>
          <c:h val="0.78781293402777774"/>
        </c:manualLayout>
      </c:layout>
      <c:lineChart>
        <c:grouping val="standard"/>
        <c:varyColors val="0"/>
        <c:ser>
          <c:idx val="1"/>
          <c:order val="0"/>
          <c:tx>
            <c:strRef>
              <c:f>'[Fiji Scenario Analysis 070420 new.xlsx]SDG_Perf_All'!$B$1</c:f>
              <c:strCache>
                <c:ptCount val="1"/>
                <c:pt idx="0">
                  <c:v>BAU</c:v>
                </c:pt>
              </c:strCache>
            </c:strRef>
          </c:tx>
          <c:spPr>
            <a:ln w="12700" cap="rnd">
              <a:solidFill>
                <a:srgbClr val="FFC000"/>
              </a:solidFill>
              <a:round/>
            </a:ln>
            <a:effectLst/>
          </c:spPr>
          <c:marker>
            <c:symbol val="none"/>
          </c:marker>
          <c:cat>
            <c:numRef>
              <c:f>'[Fiji Scenario Analysis 070420 new.xlsx]SDG_Perf_All'!$A$7:$A$37</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new.xlsx]SDG_Perf_All'!$B$7:$B$37</c:f>
              <c:numCache>
                <c:formatCode>0.0%</c:formatCode>
                <c:ptCount val="31"/>
                <c:pt idx="0">
                  <c:v>0.287510925004</c:v>
                </c:pt>
                <c:pt idx="1">
                  <c:v>0.306932260766</c:v>
                </c:pt>
                <c:pt idx="2">
                  <c:v>0.32203982549400001</c:v>
                </c:pt>
                <c:pt idx="3">
                  <c:v>0.33389111351299999</c:v>
                </c:pt>
                <c:pt idx="4">
                  <c:v>0.34235551345499998</c:v>
                </c:pt>
                <c:pt idx="5">
                  <c:v>0.34962109732199997</c:v>
                </c:pt>
                <c:pt idx="6">
                  <c:v>0.36210353248999999</c:v>
                </c:pt>
                <c:pt idx="7">
                  <c:v>0.37832915858900001</c:v>
                </c:pt>
                <c:pt idx="8">
                  <c:v>0.38665774154999999</c:v>
                </c:pt>
                <c:pt idx="9">
                  <c:v>0.39111013272200001</c:v>
                </c:pt>
                <c:pt idx="10">
                  <c:v>0.39858956714600002</c:v>
                </c:pt>
                <c:pt idx="11">
                  <c:v>0.40522665355800003</c:v>
                </c:pt>
                <c:pt idx="12">
                  <c:v>0.41133063136499998</c:v>
                </c:pt>
                <c:pt idx="13">
                  <c:v>0.41686581226399999</c:v>
                </c:pt>
                <c:pt idx="14">
                  <c:v>0.42222996115200001</c:v>
                </c:pt>
                <c:pt idx="15">
                  <c:v>0.42795740109399999</c:v>
                </c:pt>
                <c:pt idx="16">
                  <c:v>0.43249783588200003</c:v>
                </c:pt>
                <c:pt idx="17">
                  <c:v>0.43693091349399998</c:v>
                </c:pt>
                <c:pt idx="18">
                  <c:v>0.44080423234799998</c:v>
                </c:pt>
                <c:pt idx="19">
                  <c:v>0.44413409722699998</c:v>
                </c:pt>
                <c:pt idx="20">
                  <c:v>0.44717779666500002</c:v>
                </c:pt>
                <c:pt idx="21">
                  <c:v>0.44976508870499998</c:v>
                </c:pt>
                <c:pt idx="22">
                  <c:v>0.451236404373</c:v>
                </c:pt>
                <c:pt idx="23">
                  <c:v>0.45267362555700003</c:v>
                </c:pt>
                <c:pt idx="24">
                  <c:v>0.45403184418999998</c:v>
                </c:pt>
                <c:pt idx="25">
                  <c:v>0.45525014396800001</c:v>
                </c:pt>
                <c:pt idx="26">
                  <c:v>0.45633246405900002</c:v>
                </c:pt>
                <c:pt idx="27">
                  <c:v>0.45757044841</c:v>
                </c:pt>
                <c:pt idx="28">
                  <c:v>0.45812865296600003</c:v>
                </c:pt>
                <c:pt idx="29">
                  <c:v>0.45841999465599997</c:v>
                </c:pt>
                <c:pt idx="30">
                  <c:v>0.45857494141799998</c:v>
                </c:pt>
              </c:numCache>
            </c:numRef>
          </c:val>
          <c:smooth val="0"/>
          <c:extLst>
            <c:ext xmlns:c16="http://schemas.microsoft.com/office/drawing/2014/chart" uri="{C3380CC4-5D6E-409C-BE32-E72D297353CC}">
              <c16:uniqueId val="{00000000-EA02-48C4-8981-FF79A58EAB89}"/>
            </c:ext>
          </c:extLst>
        </c:ser>
        <c:ser>
          <c:idx val="2"/>
          <c:order val="1"/>
          <c:tx>
            <c:strRef>
              <c:f>'[Fiji Scenario Analysis 070420 new.xlsx]SDG_Perf_All'!$C$1</c:f>
              <c:strCache>
                <c:ptCount val="1"/>
                <c:pt idx="0">
                  <c:v>1. Growth at all Costs</c:v>
                </c:pt>
              </c:strCache>
            </c:strRef>
          </c:tx>
          <c:spPr>
            <a:ln w="12700" cap="rnd">
              <a:solidFill>
                <a:srgbClr val="FF0000"/>
              </a:solidFill>
              <a:round/>
            </a:ln>
            <a:effectLst/>
          </c:spPr>
          <c:marker>
            <c:symbol val="none"/>
          </c:marker>
          <c:cat>
            <c:numRef>
              <c:f>'[Fiji Scenario Analysis 070420 new.xlsx]SDG_Perf_All'!$A$7:$A$37</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new.xlsx]SDG_Perf_All'!$C$7:$C$37</c:f>
              <c:numCache>
                <c:formatCode>0.0%</c:formatCode>
                <c:ptCount val="31"/>
                <c:pt idx="0">
                  <c:v>0.27912408311699999</c:v>
                </c:pt>
                <c:pt idx="1">
                  <c:v>0.281869885963</c:v>
                </c:pt>
                <c:pt idx="2">
                  <c:v>0.27566510703800001</c:v>
                </c:pt>
                <c:pt idx="3">
                  <c:v>0.28620781350399999</c:v>
                </c:pt>
                <c:pt idx="4">
                  <c:v>0.29251279315299999</c:v>
                </c:pt>
                <c:pt idx="5">
                  <c:v>0.29688813046500001</c:v>
                </c:pt>
                <c:pt idx="6">
                  <c:v>0.30685056121999998</c:v>
                </c:pt>
                <c:pt idx="7">
                  <c:v>0.32028803379800003</c:v>
                </c:pt>
                <c:pt idx="8">
                  <c:v>0.32402446493699999</c:v>
                </c:pt>
                <c:pt idx="9">
                  <c:v>0.32924601695099998</c:v>
                </c:pt>
                <c:pt idx="10">
                  <c:v>0.33491352642299999</c:v>
                </c:pt>
                <c:pt idx="11">
                  <c:v>0.34037845459600002</c:v>
                </c:pt>
                <c:pt idx="12">
                  <c:v>0.34631312037700002</c:v>
                </c:pt>
                <c:pt idx="13">
                  <c:v>0.352163567038</c:v>
                </c:pt>
                <c:pt idx="14">
                  <c:v>0.35795638834999999</c:v>
                </c:pt>
                <c:pt idx="15">
                  <c:v>0.36358459868699999</c:v>
                </c:pt>
                <c:pt idx="16">
                  <c:v>0.36819863038400003</c:v>
                </c:pt>
                <c:pt idx="17">
                  <c:v>0.37105468843599998</c:v>
                </c:pt>
                <c:pt idx="18">
                  <c:v>0.373592813385</c:v>
                </c:pt>
                <c:pt idx="19">
                  <c:v>0.37624024715999999</c:v>
                </c:pt>
                <c:pt idx="20">
                  <c:v>0.37820607462099998</c:v>
                </c:pt>
                <c:pt idx="21">
                  <c:v>0.37888697693200002</c:v>
                </c:pt>
                <c:pt idx="22">
                  <c:v>0.37955052682099999</c:v>
                </c:pt>
                <c:pt idx="23">
                  <c:v>0.37981439399099998</c:v>
                </c:pt>
                <c:pt idx="24">
                  <c:v>0.37991968806800003</c:v>
                </c:pt>
                <c:pt idx="25">
                  <c:v>0.37867861730800001</c:v>
                </c:pt>
                <c:pt idx="26">
                  <c:v>0.37672139499500001</c:v>
                </c:pt>
                <c:pt idx="27">
                  <c:v>0.37442410126499998</c:v>
                </c:pt>
                <c:pt idx="28">
                  <c:v>0.37037274322899999</c:v>
                </c:pt>
                <c:pt idx="29">
                  <c:v>0.36773783582000003</c:v>
                </c:pt>
                <c:pt idx="30">
                  <c:v>0.366281467029</c:v>
                </c:pt>
              </c:numCache>
            </c:numRef>
          </c:val>
          <c:smooth val="0"/>
          <c:extLst>
            <c:ext xmlns:c16="http://schemas.microsoft.com/office/drawing/2014/chart" uri="{C3380CC4-5D6E-409C-BE32-E72D297353CC}">
              <c16:uniqueId val="{00000001-EA02-48C4-8981-FF79A58EAB89}"/>
            </c:ext>
          </c:extLst>
        </c:ser>
        <c:ser>
          <c:idx val="3"/>
          <c:order val="2"/>
          <c:tx>
            <c:strRef>
              <c:f>'[Fiji Scenario Analysis 070420 new.xlsx]SDG_Perf_All'!$D$1</c:f>
              <c:strCache>
                <c:ptCount val="1"/>
                <c:pt idx="0">
                  <c:v>2. Green Economy</c:v>
                </c:pt>
              </c:strCache>
            </c:strRef>
          </c:tx>
          <c:spPr>
            <a:ln w="12700" cap="rnd">
              <a:solidFill>
                <a:srgbClr val="92D050"/>
              </a:solidFill>
              <a:round/>
            </a:ln>
            <a:effectLst/>
          </c:spPr>
          <c:marker>
            <c:symbol val="none"/>
          </c:marker>
          <c:cat>
            <c:numRef>
              <c:f>'[Fiji Scenario Analysis 070420 new.xlsx]SDG_Perf_All'!$A$7:$A$37</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new.xlsx]SDG_Perf_All'!$D$7:$D$37</c:f>
              <c:numCache>
                <c:formatCode>0.0%</c:formatCode>
                <c:ptCount val="31"/>
                <c:pt idx="0">
                  <c:v>0.297325016198</c:v>
                </c:pt>
                <c:pt idx="1">
                  <c:v>0.31860742126300001</c:v>
                </c:pt>
                <c:pt idx="2">
                  <c:v>0.350526253766</c:v>
                </c:pt>
                <c:pt idx="3">
                  <c:v>0.38167018428499999</c:v>
                </c:pt>
                <c:pt idx="4">
                  <c:v>0.41063907169199998</c:v>
                </c:pt>
                <c:pt idx="5">
                  <c:v>0.43994038728200002</c:v>
                </c:pt>
                <c:pt idx="6">
                  <c:v>0.46779630673200001</c:v>
                </c:pt>
                <c:pt idx="7">
                  <c:v>0.49595110546900001</c:v>
                </c:pt>
                <c:pt idx="8">
                  <c:v>0.52136763963800004</c:v>
                </c:pt>
                <c:pt idx="9">
                  <c:v>0.54140712349700004</c:v>
                </c:pt>
                <c:pt idx="10">
                  <c:v>0.55701692880300002</c:v>
                </c:pt>
                <c:pt idx="11">
                  <c:v>0.56957442362999999</c:v>
                </c:pt>
                <c:pt idx="12">
                  <c:v>0.58413583162299998</c:v>
                </c:pt>
                <c:pt idx="13">
                  <c:v>0.58754520965500001</c:v>
                </c:pt>
                <c:pt idx="14">
                  <c:v>0.59629051653499998</c:v>
                </c:pt>
                <c:pt idx="15">
                  <c:v>0.60387181547900004</c:v>
                </c:pt>
                <c:pt idx="16">
                  <c:v>0.61007159871700001</c:v>
                </c:pt>
                <c:pt idx="17">
                  <c:v>0.62720098121699996</c:v>
                </c:pt>
                <c:pt idx="18">
                  <c:v>0.65070663566599996</c:v>
                </c:pt>
                <c:pt idx="19">
                  <c:v>0.65615249030800005</c:v>
                </c:pt>
                <c:pt idx="20">
                  <c:v>0.66035273412899997</c:v>
                </c:pt>
                <c:pt idx="21">
                  <c:v>0.66430310859999997</c:v>
                </c:pt>
                <c:pt idx="22">
                  <c:v>0.66821783465600004</c:v>
                </c:pt>
                <c:pt idx="23">
                  <c:v>0.672017396727</c:v>
                </c:pt>
                <c:pt idx="24">
                  <c:v>0.67574268571700002</c:v>
                </c:pt>
                <c:pt idx="25">
                  <c:v>0.67939031898900004</c:v>
                </c:pt>
                <c:pt idx="26">
                  <c:v>0.68294060805099999</c:v>
                </c:pt>
                <c:pt idx="27">
                  <c:v>0.68562101164300004</c:v>
                </c:pt>
                <c:pt idx="28">
                  <c:v>0.68788090815199998</c:v>
                </c:pt>
                <c:pt idx="29">
                  <c:v>0.69003989690199996</c:v>
                </c:pt>
                <c:pt idx="30">
                  <c:v>0.69160343769699995</c:v>
                </c:pt>
              </c:numCache>
            </c:numRef>
          </c:val>
          <c:smooth val="0"/>
          <c:extLst>
            <c:ext xmlns:c16="http://schemas.microsoft.com/office/drawing/2014/chart" uri="{C3380CC4-5D6E-409C-BE32-E72D297353CC}">
              <c16:uniqueId val="{00000002-EA02-48C4-8981-FF79A58EAB89}"/>
            </c:ext>
          </c:extLst>
        </c:ser>
        <c:ser>
          <c:idx val="4"/>
          <c:order val="3"/>
          <c:tx>
            <c:strRef>
              <c:f>'[Fiji Scenario Analysis 070420 new.xlsx]SDG_Perf_All'!$E$1</c:f>
              <c:strCache>
                <c:ptCount val="1"/>
                <c:pt idx="0">
                  <c:v>3. Inclusive Growth</c:v>
                </c:pt>
              </c:strCache>
            </c:strRef>
          </c:tx>
          <c:spPr>
            <a:ln w="12700" cap="rnd">
              <a:solidFill>
                <a:srgbClr val="00B0F0"/>
              </a:solidFill>
              <a:round/>
            </a:ln>
            <a:effectLst/>
          </c:spPr>
          <c:marker>
            <c:symbol val="none"/>
          </c:marker>
          <c:cat>
            <c:numRef>
              <c:f>'[Fiji Scenario Analysis 070420 new.xlsx]SDG_Perf_All'!$A$7:$A$37</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new.xlsx]SDG_Perf_All'!$E$7:$E$37</c:f>
              <c:numCache>
                <c:formatCode>0.0%</c:formatCode>
                <c:ptCount val="31"/>
                <c:pt idx="0">
                  <c:v>0.30944854174199998</c:v>
                </c:pt>
                <c:pt idx="1">
                  <c:v>0.343632961954</c:v>
                </c:pt>
                <c:pt idx="2">
                  <c:v>0.37385041577200001</c:v>
                </c:pt>
                <c:pt idx="3">
                  <c:v>0.39530729786300001</c:v>
                </c:pt>
                <c:pt idx="4">
                  <c:v>0.41231888158199997</c:v>
                </c:pt>
                <c:pt idx="5">
                  <c:v>0.43047709804899997</c:v>
                </c:pt>
                <c:pt idx="6">
                  <c:v>0.44944989798200002</c:v>
                </c:pt>
                <c:pt idx="7">
                  <c:v>0.47048777215299997</c:v>
                </c:pt>
                <c:pt idx="8">
                  <c:v>0.479839951456</c:v>
                </c:pt>
                <c:pt idx="9">
                  <c:v>0.48951130455199998</c:v>
                </c:pt>
                <c:pt idx="10">
                  <c:v>0.50097807407700001</c:v>
                </c:pt>
                <c:pt idx="11">
                  <c:v>0.50691822766100003</c:v>
                </c:pt>
                <c:pt idx="12">
                  <c:v>0.51192187907800002</c:v>
                </c:pt>
                <c:pt idx="13">
                  <c:v>0.51705104929500001</c:v>
                </c:pt>
                <c:pt idx="14">
                  <c:v>0.52141273743600003</c:v>
                </c:pt>
                <c:pt idx="15">
                  <c:v>0.52523500398599998</c:v>
                </c:pt>
                <c:pt idx="16">
                  <c:v>0.52815608753499999</c:v>
                </c:pt>
                <c:pt idx="17">
                  <c:v>0.53086527442200004</c:v>
                </c:pt>
                <c:pt idx="18">
                  <c:v>0.53367659977000004</c:v>
                </c:pt>
                <c:pt idx="19">
                  <c:v>0.53662334566799996</c:v>
                </c:pt>
                <c:pt idx="20">
                  <c:v>0.53865072927900004</c:v>
                </c:pt>
                <c:pt idx="21">
                  <c:v>0.53998709886100005</c:v>
                </c:pt>
                <c:pt idx="22">
                  <c:v>0.54106524879399998</c:v>
                </c:pt>
                <c:pt idx="23">
                  <c:v>0.54244982192699998</c:v>
                </c:pt>
                <c:pt idx="24">
                  <c:v>0.54410029433499996</c:v>
                </c:pt>
                <c:pt idx="25">
                  <c:v>0.54600019636700003</c:v>
                </c:pt>
                <c:pt idx="26">
                  <c:v>0.54806831463700001</c:v>
                </c:pt>
                <c:pt idx="27">
                  <c:v>0.54923255903699997</c:v>
                </c:pt>
                <c:pt idx="28">
                  <c:v>0.55004244460899998</c:v>
                </c:pt>
                <c:pt idx="29">
                  <c:v>0.55087221971699996</c:v>
                </c:pt>
                <c:pt idx="30">
                  <c:v>0.55125602250000005</c:v>
                </c:pt>
              </c:numCache>
            </c:numRef>
          </c:val>
          <c:smooth val="0"/>
          <c:extLst>
            <c:ext xmlns:c16="http://schemas.microsoft.com/office/drawing/2014/chart" uri="{C3380CC4-5D6E-409C-BE32-E72D297353CC}">
              <c16:uniqueId val="{00000003-EA02-48C4-8981-FF79A58EAB89}"/>
            </c:ext>
          </c:extLst>
        </c:ser>
        <c:ser>
          <c:idx val="5"/>
          <c:order val="4"/>
          <c:tx>
            <c:strRef>
              <c:f>'[Fiji Scenario Analysis 070420 new.xlsx]SDG_Perf_All'!$F$1</c:f>
              <c:strCache>
                <c:ptCount val="1"/>
                <c:pt idx="0">
                  <c:v>4. Sustainability Transition</c:v>
                </c:pt>
              </c:strCache>
            </c:strRef>
          </c:tx>
          <c:spPr>
            <a:ln w="12700" cap="rnd">
              <a:solidFill>
                <a:srgbClr val="008080"/>
              </a:solidFill>
              <a:round/>
            </a:ln>
            <a:effectLst/>
          </c:spPr>
          <c:marker>
            <c:symbol val="none"/>
          </c:marker>
          <c:cat>
            <c:numRef>
              <c:f>'[Fiji Scenario Analysis 070420 new.xlsx]SDG_Perf_All'!$A$7:$A$37</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new.xlsx]SDG_Perf_All'!$F$7:$F$37</c:f>
              <c:numCache>
                <c:formatCode>0.0%</c:formatCode>
                <c:ptCount val="31"/>
                <c:pt idx="0">
                  <c:v>0.31122802533999999</c:v>
                </c:pt>
                <c:pt idx="1">
                  <c:v>0.37306089381700003</c:v>
                </c:pt>
                <c:pt idx="2">
                  <c:v>0.41816994550800002</c:v>
                </c:pt>
                <c:pt idx="3">
                  <c:v>0.46149048519699998</c:v>
                </c:pt>
                <c:pt idx="4">
                  <c:v>0.49946928567799997</c:v>
                </c:pt>
                <c:pt idx="5">
                  <c:v>0.53666198801800002</c:v>
                </c:pt>
                <c:pt idx="6">
                  <c:v>0.57365900838499995</c:v>
                </c:pt>
                <c:pt idx="7">
                  <c:v>0.61163975212699995</c:v>
                </c:pt>
                <c:pt idx="8">
                  <c:v>0.64320612100200003</c:v>
                </c:pt>
                <c:pt idx="9">
                  <c:v>0.67031989900800004</c:v>
                </c:pt>
                <c:pt idx="10">
                  <c:v>0.68926051701799995</c:v>
                </c:pt>
                <c:pt idx="11">
                  <c:v>0.69898201256299997</c:v>
                </c:pt>
                <c:pt idx="12">
                  <c:v>0.70598757413799995</c:v>
                </c:pt>
                <c:pt idx="13">
                  <c:v>0.71560496966200005</c:v>
                </c:pt>
                <c:pt idx="14">
                  <c:v>0.74163803883799995</c:v>
                </c:pt>
                <c:pt idx="15">
                  <c:v>0.74315015191199996</c:v>
                </c:pt>
                <c:pt idx="16">
                  <c:v>0.74423985485199995</c:v>
                </c:pt>
                <c:pt idx="17">
                  <c:v>0.74560370504999995</c:v>
                </c:pt>
                <c:pt idx="18">
                  <c:v>0.74709954372599996</c:v>
                </c:pt>
                <c:pt idx="19">
                  <c:v>0.74859989026499996</c:v>
                </c:pt>
                <c:pt idx="20">
                  <c:v>0.75004396722800004</c:v>
                </c:pt>
                <c:pt idx="21">
                  <c:v>0.750774231806</c:v>
                </c:pt>
                <c:pt idx="22">
                  <c:v>0.75206368382199995</c:v>
                </c:pt>
                <c:pt idx="23">
                  <c:v>0.75348682484499996</c:v>
                </c:pt>
                <c:pt idx="24">
                  <c:v>0.75492028075100004</c:v>
                </c:pt>
                <c:pt idx="25">
                  <c:v>0.75641580979900003</c:v>
                </c:pt>
                <c:pt idx="26">
                  <c:v>0.75792048442600002</c:v>
                </c:pt>
                <c:pt idx="27">
                  <c:v>0.75969017105600001</c:v>
                </c:pt>
                <c:pt idx="28">
                  <c:v>0.76160674600699996</c:v>
                </c:pt>
                <c:pt idx="29">
                  <c:v>0.76365677497100004</c:v>
                </c:pt>
                <c:pt idx="30">
                  <c:v>0.76573699913000004</c:v>
                </c:pt>
              </c:numCache>
            </c:numRef>
          </c:val>
          <c:smooth val="0"/>
          <c:extLst>
            <c:ext xmlns:c16="http://schemas.microsoft.com/office/drawing/2014/chart" uri="{C3380CC4-5D6E-409C-BE32-E72D297353CC}">
              <c16:uniqueId val="{00000004-EA02-48C4-8981-FF79A58EAB89}"/>
            </c:ext>
          </c:extLst>
        </c:ser>
        <c:ser>
          <c:idx val="6"/>
          <c:order val="5"/>
          <c:tx>
            <c:strRef>
              <c:f>'[Fiji Scenario Analysis 070420 new.xlsx]SDG_Perf_All'!$G$1</c:f>
              <c:strCache>
                <c:ptCount val="1"/>
                <c:pt idx="0">
                  <c:v>5. ST_Climate</c:v>
                </c:pt>
              </c:strCache>
            </c:strRef>
          </c:tx>
          <c:spPr>
            <a:ln w="12700" cap="rnd">
              <a:solidFill>
                <a:srgbClr val="ED7D31"/>
              </a:solidFill>
              <a:prstDash val="dash"/>
              <a:round/>
            </a:ln>
            <a:effectLst/>
          </c:spPr>
          <c:marker>
            <c:symbol val="none"/>
          </c:marker>
          <c:cat>
            <c:numRef>
              <c:f>'[Fiji Scenario Analysis 070420 new.xlsx]SDG_Perf_All'!$A$7:$A$37</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new.xlsx]SDG_Perf_All'!$G$7:$G$37</c:f>
              <c:numCache>
                <c:formatCode>0.0%</c:formatCode>
                <c:ptCount val="31"/>
                <c:pt idx="0">
                  <c:v>0.31361139067400001</c:v>
                </c:pt>
                <c:pt idx="1">
                  <c:v>0.369483575249</c:v>
                </c:pt>
                <c:pt idx="2">
                  <c:v>0.41786048925399999</c:v>
                </c:pt>
                <c:pt idx="3">
                  <c:v>0.46533721551500001</c:v>
                </c:pt>
                <c:pt idx="4">
                  <c:v>0.508673233191</c:v>
                </c:pt>
                <c:pt idx="5">
                  <c:v>0.55000078167300004</c:v>
                </c:pt>
                <c:pt idx="6">
                  <c:v>0.59130532766900001</c:v>
                </c:pt>
                <c:pt idx="7">
                  <c:v>0.63308873992400005</c:v>
                </c:pt>
                <c:pt idx="8">
                  <c:v>0.668804356647</c:v>
                </c:pt>
                <c:pt idx="9">
                  <c:v>0.69732157905000003</c:v>
                </c:pt>
                <c:pt idx="10">
                  <c:v>0.72962089297099997</c:v>
                </c:pt>
                <c:pt idx="11">
                  <c:v>0.75757893254899999</c:v>
                </c:pt>
                <c:pt idx="12">
                  <c:v>0.76655986750899996</c:v>
                </c:pt>
                <c:pt idx="13">
                  <c:v>0.77289721515900001</c:v>
                </c:pt>
                <c:pt idx="14">
                  <c:v>0.77693847683799999</c:v>
                </c:pt>
                <c:pt idx="15">
                  <c:v>0.78091533788699996</c:v>
                </c:pt>
                <c:pt idx="16">
                  <c:v>0.78492534196700003</c:v>
                </c:pt>
                <c:pt idx="17">
                  <c:v>0.78914441981500005</c:v>
                </c:pt>
                <c:pt idx="18">
                  <c:v>0.79309653846899997</c:v>
                </c:pt>
                <c:pt idx="19">
                  <c:v>0.79695205061899999</c:v>
                </c:pt>
                <c:pt idx="20">
                  <c:v>0.80123163531499997</c:v>
                </c:pt>
                <c:pt idx="21">
                  <c:v>0.80459748318500002</c:v>
                </c:pt>
                <c:pt idx="22">
                  <c:v>0.80773950604199996</c:v>
                </c:pt>
                <c:pt idx="23">
                  <c:v>0.81052512237499996</c:v>
                </c:pt>
                <c:pt idx="24">
                  <c:v>0.813093100633</c:v>
                </c:pt>
                <c:pt idx="25">
                  <c:v>0.81555399434099995</c:v>
                </c:pt>
                <c:pt idx="26">
                  <c:v>0.81767837333600002</c:v>
                </c:pt>
                <c:pt idx="27">
                  <c:v>0.81962392051400002</c:v>
                </c:pt>
                <c:pt idx="28">
                  <c:v>0.82166055416399997</c:v>
                </c:pt>
                <c:pt idx="29">
                  <c:v>0.82382037847199996</c:v>
                </c:pt>
                <c:pt idx="30">
                  <c:v>0.82593899790199998</c:v>
                </c:pt>
              </c:numCache>
            </c:numRef>
          </c:val>
          <c:smooth val="0"/>
          <c:extLst>
            <c:ext xmlns:c16="http://schemas.microsoft.com/office/drawing/2014/chart" uri="{C3380CC4-5D6E-409C-BE32-E72D297353CC}">
              <c16:uniqueId val="{00000005-EA02-48C4-8981-FF79A58EAB89}"/>
            </c:ext>
          </c:extLst>
        </c:ser>
        <c:ser>
          <c:idx val="0"/>
          <c:order val="6"/>
          <c:tx>
            <c:strRef>
              <c:f>'[Fiji Scenario Analysis 070420 new.xlsx]SDG_Perf_All'!$H$1</c:f>
              <c:strCache>
                <c:ptCount val="1"/>
                <c:pt idx="0">
                  <c:v>6.ST_SDG</c:v>
                </c:pt>
              </c:strCache>
            </c:strRef>
          </c:tx>
          <c:spPr>
            <a:ln w="12700" cap="rnd">
              <a:solidFill>
                <a:srgbClr val="4472C4"/>
              </a:solidFill>
              <a:prstDash val="dash"/>
              <a:round/>
            </a:ln>
            <a:effectLst/>
          </c:spPr>
          <c:marker>
            <c:symbol val="none"/>
          </c:marker>
          <c:cat>
            <c:numRef>
              <c:f>'[Fiji Scenario Analysis 070420 new.xlsx]SDG_Perf_All'!$A$7:$A$37</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'[Fiji Scenario Analysis 070420 new.xlsx]SDG_Perf_All'!$H$7:$H$37</c:f>
              <c:numCache>
                <c:formatCode>0.0%</c:formatCode>
                <c:ptCount val="31"/>
                <c:pt idx="0">
                  <c:v>0.32785918913399997</c:v>
                </c:pt>
                <c:pt idx="1">
                  <c:v>0.41473214627799998</c:v>
                </c:pt>
                <c:pt idx="2">
                  <c:v>0.47356306262199999</c:v>
                </c:pt>
                <c:pt idx="3">
                  <c:v>0.52946939568499995</c:v>
                </c:pt>
                <c:pt idx="4">
                  <c:v>0.56800184410999999</c:v>
                </c:pt>
                <c:pt idx="5">
                  <c:v>0.62437639647400001</c:v>
                </c:pt>
                <c:pt idx="6">
                  <c:v>0.67875226806</c:v>
                </c:pt>
                <c:pt idx="7">
                  <c:v>0.72329094109100001</c:v>
                </c:pt>
                <c:pt idx="8">
                  <c:v>0.76058296546399995</c:v>
                </c:pt>
                <c:pt idx="9">
                  <c:v>0.79659257722800003</c:v>
                </c:pt>
                <c:pt idx="10">
                  <c:v>0.82592602074099997</c:v>
                </c:pt>
                <c:pt idx="11">
                  <c:v>0.83402468447</c:v>
                </c:pt>
                <c:pt idx="12">
                  <c:v>0.83822305915799999</c:v>
                </c:pt>
                <c:pt idx="13">
                  <c:v>0.83872270702399998</c:v>
                </c:pt>
                <c:pt idx="14">
                  <c:v>0.83849402651799998</c:v>
                </c:pt>
                <c:pt idx="15">
                  <c:v>0.83967324519499997</c:v>
                </c:pt>
                <c:pt idx="16">
                  <c:v>0.84102249315699995</c:v>
                </c:pt>
                <c:pt idx="17">
                  <c:v>0.84176553284199995</c:v>
                </c:pt>
                <c:pt idx="18">
                  <c:v>0.84222677960600001</c:v>
                </c:pt>
                <c:pt idx="19">
                  <c:v>0.84267367762199996</c:v>
                </c:pt>
                <c:pt idx="20">
                  <c:v>0.84378607595199995</c:v>
                </c:pt>
                <c:pt idx="21">
                  <c:v>0.84547652214900004</c:v>
                </c:pt>
                <c:pt idx="22">
                  <c:v>0.84988715823500005</c:v>
                </c:pt>
                <c:pt idx="23">
                  <c:v>0.85389179473200005</c:v>
                </c:pt>
                <c:pt idx="24">
                  <c:v>0.85789462795299998</c:v>
                </c:pt>
                <c:pt idx="25">
                  <c:v>0.86187574829400004</c:v>
                </c:pt>
                <c:pt idx="26">
                  <c:v>0.86571159235600004</c:v>
                </c:pt>
                <c:pt idx="27">
                  <c:v>0.86888855967199996</c:v>
                </c:pt>
                <c:pt idx="28">
                  <c:v>0.86951756121500001</c:v>
                </c:pt>
                <c:pt idx="29">
                  <c:v>0.87021435886099996</c:v>
                </c:pt>
                <c:pt idx="30">
                  <c:v>0.87091435154200003</c:v>
                </c:pt>
              </c:numCache>
            </c:numRef>
          </c:val>
          <c:smooth val="0"/>
          <c:extLst>
            <c:ext xmlns:c16="http://schemas.microsoft.com/office/drawing/2014/chart" uri="{C3380CC4-5D6E-409C-BE32-E72D297353CC}">
              <c16:uniqueId val="{00000006-EA02-48C4-8981-FF79A58EAB89}"/>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in"/>
        <c:minorTickMark val="none"/>
        <c:tickLblPos val="nextTo"/>
        <c:spPr>
          <a:noFill/>
          <a:ln w="9525" cap="flat" cmpd="sng" algn="ctr">
            <a:solidFill>
              <a:sysClr val="windowText" lastClr="000000">
                <a:lumMod val="85000"/>
                <a:lumOff val="15000"/>
              </a:sysClr>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0.2"/>
        </c:scaling>
        <c:delete val="0"/>
        <c:axPos val="l"/>
        <c:majorGridlines>
          <c:spPr>
            <a:ln w="6350" cap="flat" cmpd="sng" algn="ctr">
              <a:solidFill>
                <a:sysClr val="windowText" lastClr="000000">
                  <a:lumMod val="50000"/>
                  <a:lumOff val="50000"/>
                </a:sys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SDG Progress Score (%)</a:t>
                </a:r>
              </a:p>
            </c:rich>
          </c:tx>
          <c:layout>
            <c:manualLayout>
              <c:xMode val="edge"/>
              <c:yMode val="edge"/>
              <c:x val="2.8308404558404559E-3"/>
              <c:y val="0.1670659722222221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ysClr val="windowText" lastClr="000000">
                <a:lumMod val="85000"/>
                <a:lumOff val="1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47958608960695E-2"/>
          <c:y val="1.7970371747376437E-2"/>
          <c:w val="0.88356027726548203"/>
          <c:h val="0.75093514996018751"/>
        </c:manualLayout>
      </c:layout>
      <c:lineChart>
        <c:grouping val="standard"/>
        <c:varyColors val="0"/>
        <c:ser>
          <c:idx val="6"/>
          <c:order val="0"/>
          <c:tx>
            <c:strRef>
              <c:f>'[Fiji Scenario Analysis 070420 new.xlsx]Extreme'!$O$3</c:f>
              <c:strCache>
                <c:ptCount val="1"/>
                <c:pt idx="0">
                  <c:v>S4_SDG_half_grants</c:v>
                </c:pt>
              </c:strCache>
            </c:strRef>
          </c:tx>
          <c:spPr>
            <a:ln w="28575" cap="rnd">
              <a:solidFill>
                <a:sysClr val="windowText" lastClr="000000">
                  <a:lumMod val="65000"/>
                  <a:lumOff val="35000"/>
                </a:sysClr>
              </a:solidFill>
              <a:prstDash val="dash"/>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new.xlsx]Extreme'!$O$34:$O$45</c:f>
              <c:numCache>
                <c:formatCode>General</c:formatCode>
                <c:ptCount val="12"/>
                <c:pt idx="0">
                  <c:v>9.0026927844400007</c:v>
                </c:pt>
                <c:pt idx="1">
                  <c:v>9.5336474358299998</c:v>
                </c:pt>
                <c:pt idx="2">
                  <c:v>9.950640418559999</c:v>
                </c:pt>
                <c:pt idx="3">
                  <c:v>10.3338746849</c:v>
                </c:pt>
                <c:pt idx="4">
                  <c:v>10.657798890299999</c:v>
                </c:pt>
                <c:pt idx="5">
                  <c:v>10.9408887232</c:v>
                </c:pt>
                <c:pt idx="6">
                  <c:v>11.2148609292</c:v>
                </c:pt>
                <c:pt idx="7">
                  <c:v>11.441327574600001</c:v>
                </c:pt>
                <c:pt idx="8">
                  <c:v>11.6312624797</c:v>
                </c:pt>
                <c:pt idx="9">
                  <c:v>11.8042427714</c:v>
                </c:pt>
                <c:pt idx="10">
                  <c:v>11.956445127</c:v>
                </c:pt>
                <c:pt idx="11">
                  <c:v>12.030268402799999</c:v>
                </c:pt>
              </c:numCache>
            </c:numRef>
          </c:val>
          <c:smooth val="0"/>
          <c:extLst>
            <c:ext xmlns:c16="http://schemas.microsoft.com/office/drawing/2014/chart" uri="{C3380CC4-5D6E-409C-BE32-E72D297353CC}">
              <c16:uniqueId val="{00000000-98A9-4608-A7F6-81E088583F21}"/>
            </c:ext>
          </c:extLst>
        </c:ser>
        <c:ser>
          <c:idx val="5"/>
          <c:order val="1"/>
          <c:tx>
            <c:strRef>
              <c:f>'[Fiji Scenario Analysis 070420 new.xlsx]Extreme'!$P$3</c:f>
              <c:strCache>
                <c:ptCount val="1"/>
                <c:pt idx="0">
                  <c:v>S4_SDG_no_grants</c:v>
                </c:pt>
              </c:strCache>
            </c:strRef>
          </c:tx>
          <c:spPr>
            <a:ln w="28575" cap="rnd">
              <a:solidFill>
                <a:srgbClr val="A5A5A5"/>
              </a:solidFill>
              <a:prstDash val="dash"/>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new.xlsx]Extreme'!$P$34:$P$45</c:f>
              <c:numCache>
                <c:formatCode>General</c:formatCode>
                <c:ptCount val="12"/>
                <c:pt idx="0">
                  <c:v>9.0026927844400007</c:v>
                </c:pt>
                <c:pt idx="1">
                  <c:v>9.5072040900699992</c:v>
                </c:pt>
                <c:pt idx="2">
                  <c:v>9.892556163090001</c:v>
                </c:pt>
                <c:pt idx="3">
                  <c:v>10.2324941024</c:v>
                </c:pt>
                <c:pt idx="4">
                  <c:v>10.5002120985</c:v>
                </c:pt>
                <c:pt idx="5">
                  <c:v>10.7131621256</c:v>
                </c:pt>
                <c:pt idx="6">
                  <c:v>10.8933288308</c:v>
                </c:pt>
                <c:pt idx="7">
                  <c:v>11.029595262700001</c:v>
                </c:pt>
                <c:pt idx="8">
                  <c:v>11.124829523399999</c:v>
                </c:pt>
                <c:pt idx="9">
                  <c:v>11.197262063299998</c:v>
                </c:pt>
                <c:pt idx="10">
                  <c:v>11.2425136391</c:v>
                </c:pt>
                <c:pt idx="11">
                  <c:v>11.206698223</c:v>
                </c:pt>
              </c:numCache>
            </c:numRef>
          </c:val>
          <c:smooth val="0"/>
          <c:extLst>
            <c:ext xmlns:c16="http://schemas.microsoft.com/office/drawing/2014/chart" uri="{C3380CC4-5D6E-409C-BE32-E72D297353CC}">
              <c16:uniqueId val="{00000001-98A9-4608-A7F6-81E088583F21}"/>
            </c:ext>
          </c:extLst>
        </c:ser>
        <c:ser>
          <c:idx val="4"/>
          <c:order val="2"/>
          <c:tx>
            <c:strRef>
              <c:f>'[Fiji Scenario Analysis 070420 new.xlsx]Extreme'!$Q$3</c:f>
              <c:strCache>
                <c:ptCount val="1"/>
                <c:pt idx="0">
                  <c:v>BAU</c:v>
                </c:pt>
              </c:strCache>
            </c:strRef>
          </c:tx>
          <c:spPr>
            <a:ln w="12700" cap="rnd">
              <a:solidFill>
                <a:srgbClr val="FFC000"/>
              </a:solidFill>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new.xlsx]Extreme'!$Q$34:$Q$45</c:f>
              <c:numCache>
                <c:formatCode>General</c:formatCode>
                <c:ptCount val="12"/>
                <c:pt idx="0">
                  <c:v>9.0026927844400007</c:v>
                </c:pt>
                <c:pt idx="1">
                  <c:v>9.2150279857699999</c:v>
                </c:pt>
                <c:pt idx="2">
                  <c:v>9.4061028031100005</c:v>
                </c:pt>
                <c:pt idx="3">
                  <c:v>9.5870792693899993</c:v>
                </c:pt>
                <c:pt idx="4">
                  <c:v>9.7618181015300003</c:v>
                </c:pt>
                <c:pt idx="5">
                  <c:v>9.9360621202600008</c:v>
                </c:pt>
                <c:pt idx="6">
                  <c:v>10.112122920499999</c:v>
                </c:pt>
                <c:pt idx="7">
                  <c:v>10.2909397994</c:v>
                </c:pt>
                <c:pt idx="8">
                  <c:v>10.4646630247</c:v>
                </c:pt>
                <c:pt idx="9">
                  <c:v>10.636752770700001</c:v>
                </c:pt>
                <c:pt idx="10">
                  <c:v>10.8113334535</c:v>
                </c:pt>
                <c:pt idx="11">
                  <c:v>10.984254842799999</c:v>
                </c:pt>
              </c:numCache>
            </c:numRef>
          </c:val>
          <c:smooth val="0"/>
          <c:extLst>
            <c:ext xmlns:c16="http://schemas.microsoft.com/office/drawing/2014/chart" uri="{C3380CC4-5D6E-409C-BE32-E72D297353CC}">
              <c16:uniqueId val="{00000002-98A9-4608-A7F6-81E088583F21}"/>
            </c:ext>
          </c:extLst>
        </c:ser>
        <c:ser>
          <c:idx val="3"/>
          <c:order val="3"/>
          <c:tx>
            <c:strRef>
              <c:f>'[Fiji Scenario Analysis 070420 new.xlsx]Extreme'!$R$3</c:f>
              <c:strCache>
                <c:ptCount val="1"/>
                <c:pt idx="0">
                  <c:v>S1</c:v>
                </c:pt>
              </c:strCache>
            </c:strRef>
          </c:tx>
          <c:spPr>
            <a:ln w="12700" cap="rnd">
              <a:solidFill>
                <a:srgbClr val="FF0000"/>
              </a:solidFill>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new.xlsx]Extreme'!$R$34:$R$45</c:f>
              <c:numCache>
                <c:formatCode>General</c:formatCode>
                <c:ptCount val="12"/>
                <c:pt idx="0">
                  <c:v>9.0026927844400007</c:v>
                </c:pt>
                <c:pt idx="1">
                  <c:v>9.0914105699299999</c:v>
                </c:pt>
                <c:pt idx="2">
                  <c:v>9.2429230329899994</c:v>
                </c:pt>
                <c:pt idx="3">
                  <c:v>9.3893047122800013</c:v>
                </c:pt>
                <c:pt idx="4">
                  <c:v>9.5357481528799983</c:v>
                </c:pt>
                <c:pt idx="5">
                  <c:v>9.6860664032599999</c:v>
                </c:pt>
                <c:pt idx="6">
                  <c:v>9.8423278462900008</c:v>
                </c:pt>
                <c:pt idx="7">
                  <c:v>10.021954973200002</c:v>
                </c:pt>
                <c:pt idx="8">
                  <c:v>10.199899627700001</c:v>
                </c:pt>
                <c:pt idx="9">
                  <c:v>10.378960942999999</c:v>
                </c:pt>
                <c:pt idx="10">
                  <c:v>10.5668182</c:v>
                </c:pt>
                <c:pt idx="11">
                  <c:v>10.746249582299999</c:v>
                </c:pt>
              </c:numCache>
            </c:numRef>
          </c:val>
          <c:smooth val="0"/>
          <c:extLst>
            <c:ext xmlns:c16="http://schemas.microsoft.com/office/drawing/2014/chart" uri="{C3380CC4-5D6E-409C-BE32-E72D297353CC}">
              <c16:uniqueId val="{00000003-98A9-4608-A7F6-81E088583F21}"/>
            </c:ext>
          </c:extLst>
        </c:ser>
        <c:ser>
          <c:idx val="2"/>
          <c:order val="4"/>
          <c:tx>
            <c:strRef>
              <c:f>'[Fiji Scenario Analysis 070420 new.xlsx]Extreme'!$S$3</c:f>
              <c:strCache>
                <c:ptCount val="1"/>
                <c:pt idx="0">
                  <c:v>S2</c:v>
                </c:pt>
              </c:strCache>
            </c:strRef>
          </c:tx>
          <c:spPr>
            <a:ln w="12700" cap="rnd">
              <a:solidFill>
                <a:srgbClr val="92D050"/>
              </a:solidFill>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new.xlsx]Extreme'!$S$34:$S$45</c:f>
              <c:numCache>
                <c:formatCode>General</c:formatCode>
                <c:ptCount val="12"/>
                <c:pt idx="0">
                  <c:v>9.0026927844400007</c:v>
                </c:pt>
                <c:pt idx="1">
                  <c:v>9.1955215114200008</c:v>
                </c:pt>
                <c:pt idx="2">
                  <c:v>9.3987975866399989</c:v>
                </c:pt>
                <c:pt idx="3">
                  <c:v>9.5958863097199991</c:v>
                </c:pt>
                <c:pt idx="4">
                  <c:v>9.7907747451699993</c:v>
                </c:pt>
                <c:pt idx="5">
                  <c:v>9.9868004067999987</c:v>
                </c:pt>
                <c:pt idx="6">
                  <c:v>10.1866481919</c:v>
                </c:pt>
                <c:pt idx="7">
                  <c:v>10.3880710864</c:v>
                </c:pt>
                <c:pt idx="8">
                  <c:v>10.589793052600001</c:v>
                </c:pt>
                <c:pt idx="9">
                  <c:v>10.7932007401</c:v>
                </c:pt>
                <c:pt idx="10">
                  <c:v>10.9982955666</c:v>
                </c:pt>
                <c:pt idx="11">
                  <c:v>11.1909074368</c:v>
                </c:pt>
              </c:numCache>
            </c:numRef>
          </c:val>
          <c:smooth val="0"/>
          <c:extLst>
            <c:ext xmlns:c16="http://schemas.microsoft.com/office/drawing/2014/chart" uri="{C3380CC4-5D6E-409C-BE32-E72D297353CC}">
              <c16:uniqueId val="{00000004-98A9-4608-A7F6-81E088583F21}"/>
            </c:ext>
          </c:extLst>
        </c:ser>
        <c:ser>
          <c:idx val="1"/>
          <c:order val="5"/>
          <c:tx>
            <c:strRef>
              <c:f>'[Fiji Scenario Analysis 070420 new.xlsx]Extreme'!$T$3</c:f>
              <c:strCache>
                <c:ptCount val="1"/>
                <c:pt idx="0">
                  <c:v>S3</c:v>
                </c:pt>
              </c:strCache>
            </c:strRef>
          </c:tx>
          <c:spPr>
            <a:ln w="12700" cap="rnd">
              <a:solidFill>
                <a:srgbClr val="00B0F0"/>
              </a:solidFill>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new.xlsx]Extreme'!$T$34:$T$45</c:f>
              <c:numCache>
                <c:formatCode>General</c:formatCode>
                <c:ptCount val="12"/>
                <c:pt idx="0">
                  <c:v>9.0026927844400007</c:v>
                </c:pt>
                <c:pt idx="1">
                  <c:v>9.2933194771699998</c:v>
                </c:pt>
                <c:pt idx="2">
                  <c:v>9.6014259757500007</c:v>
                </c:pt>
                <c:pt idx="3">
                  <c:v>9.8616641829400002</c:v>
                </c:pt>
                <c:pt idx="4">
                  <c:v>10.119588179899999</c:v>
                </c:pt>
                <c:pt idx="5">
                  <c:v>10.3814473525</c:v>
                </c:pt>
                <c:pt idx="6">
                  <c:v>10.6508849875</c:v>
                </c:pt>
                <c:pt idx="7">
                  <c:v>10.9278982099</c:v>
                </c:pt>
                <c:pt idx="8">
                  <c:v>11.203516408700001</c:v>
                </c:pt>
                <c:pt idx="9">
                  <c:v>11.481461918799999</c:v>
                </c:pt>
                <c:pt idx="10">
                  <c:v>11.7730484343</c:v>
                </c:pt>
                <c:pt idx="11">
                  <c:v>12.022074395500001</c:v>
                </c:pt>
              </c:numCache>
            </c:numRef>
          </c:val>
          <c:smooth val="0"/>
          <c:extLst>
            <c:ext xmlns:c16="http://schemas.microsoft.com/office/drawing/2014/chart" uri="{C3380CC4-5D6E-409C-BE32-E72D297353CC}">
              <c16:uniqueId val="{00000005-98A9-4608-A7F6-81E088583F21}"/>
            </c:ext>
          </c:extLst>
        </c:ser>
        <c:ser>
          <c:idx val="0"/>
          <c:order val="6"/>
          <c:tx>
            <c:strRef>
              <c:f>'[Fiji Scenario Analysis 070420 new.xlsx]Extreme'!$U$3</c:f>
              <c:strCache>
                <c:ptCount val="1"/>
                <c:pt idx="0">
                  <c:v>S4</c:v>
                </c:pt>
              </c:strCache>
            </c:strRef>
          </c:tx>
          <c:spPr>
            <a:ln w="12700" cap="rnd">
              <a:solidFill>
                <a:srgbClr val="008080"/>
              </a:solidFill>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new.xlsx]Extreme'!$U$34:$U$45</c:f>
              <c:numCache>
                <c:formatCode>General</c:formatCode>
                <c:ptCount val="12"/>
                <c:pt idx="0">
                  <c:v>9.0026927844400007</c:v>
                </c:pt>
                <c:pt idx="1">
                  <c:v>9.3773944105200009</c:v>
                </c:pt>
                <c:pt idx="2">
                  <c:v>9.7157714293600002</c:v>
                </c:pt>
                <c:pt idx="3">
                  <c:v>10.0294474763</c:v>
                </c:pt>
                <c:pt idx="4">
                  <c:v>10.3305913674</c:v>
                </c:pt>
                <c:pt idx="5">
                  <c:v>10.622941084600001</c:v>
                </c:pt>
                <c:pt idx="6">
                  <c:v>10.9129721065</c:v>
                </c:pt>
                <c:pt idx="7">
                  <c:v>11.205991518600001</c:v>
                </c:pt>
                <c:pt idx="8">
                  <c:v>11.499718595200001</c:v>
                </c:pt>
                <c:pt idx="9">
                  <c:v>11.7961552266</c:v>
                </c:pt>
                <c:pt idx="10">
                  <c:v>12.0961233156</c:v>
                </c:pt>
                <c:pt idx="11">
                  <c:v>12.355896793299999</c:v>
                </c:pt>
              </c:numCache>
            </c:numRef>
          </c:val>
          <c:smooth val="0"/>
          <c:extLst>
            <c:ext xmlns:c16="http://schemas.microsoft.com/office/drawing/2014/chart" uri="{C3380CC4-5D6E-409C-BE32-E72D297353CC}">
              <c16:uniqueId val="{00000006-98A9-4608-A7F6-81E088583F21}"/>
            </c:ext>
          </c:extLst>
        </c:ser>
        <c:ser>
          <c:idx val="7"/>
          <c:order val="7"/>
          <c:tx>
            <c:strRef>
              <c:f>'[Fiji Scenario Analysis 070420 new.xlsx]Extreme'!$V$3</c:f>
              <c:strCache>
                <c:ptCount val="1"/>
                <c:pt idx="0">
                  <c:v>S4_H</c:v>
                </c:pt>
              </c:strCache>
            </c:strRef>
          </c:tx>
          <c:spPr>
            <a:ln w="12700" cap="rnd">
              <a:solidFill>
                <a:srgbClr val="ED7D31"/>
              </a:solidFill>
              <a:prstDash val="dash"/>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new.xlsx]Extreme'!$V$34:$V$45</c:f>
              <c:numCache>
                <c:formatCode>General</c:formatCode>
                <c:ptCount val="12"/>
                <c:pt idx="0">
                  <c:v>9.0026927844400007</c:v>
                </c:pt>
                <c:pt idx="1">
                  <c:v>9.3720825676499988</c:v>
                </c:pt>
                <c:pt idx="2">
                  <c:v>9.7017284516800011</c:v>
                </c:pt>
                <c:pt idx="3">
                  <c:v>10.011600577700001</c:v>
                </c:pt>
                <c:pt idx="4">
                  <c:v>10.3096132676</c:v>
                </c:pt>
                <c:pt idx="5">
                  <c:v>10.594826197200002</c:v>
                </c:pt>
                <c:pt idx="6">
                  <c:v>10.869352919799999</c:v>
                </c:pt>
                <c:pt idx="7">
                  <c:v>11.145365566500001</c:v>
                </c:pt>
                <c:pt idx="8">
                  <c:v>11.4223724116</c:v>
                </c:pt>
                <c:pt idx="9">
                  <c:v>11.702663100399999</c:v>
                </c:pt>
                <c:pt idx="10">
                  <c:v>11.987011649899999</c:v>
                </c:pt>
                <c:pt idx="11">
                  <c:v>12.2322906503</c:v>
                </c:pt>
              </c:numCache>
            </c:numRef>
          </c:val>
          <c:smooth val="0"/>
          <c:extLst>
            <c:ext xmlns:c16="http://schemas.microsoft.com/office/drawing/2014/chart" uri="{C3380CC4-5D6E-409C-BE32-E72D297353CC}">
              <c16:uniqueId val="{00000007-98A9-4608-A7F6-81E088583F21}"/>
            </c:ext>
          </c:extLst>
        </c:ser>
        <c:ser>
          <c:idx val="8"/>
          <c:order val="8"/>
          <c:tx>
            <c:strRef>
              <c:f>'[Fiji Scenario Analysis 070420 new.xlsx]Extreme'!$W$3</c:f>
              <c:strCache>
                <c:ptCount val="1"/>
                <c:pt idx="0">
                  <c:v>S4_SDG</c:v>
                </c:pt>
              </c:strCache>
            </c:strRef>
          </c:tx>
          <c:spPr>
            <a:ln w="12700" cap="rnd">
              <a:solidFill>
                <a:srgbClr val="0070C0"/>
              </a:solidFill>
              <a:prstDash val="dash"/>
              <a:round/>
            </a:ln>
            <a:effectLst/>
          </c:spPr>
          <c:marker>
            <c:symbol val="none"/>
          </c:marker>
          <c:cat>
            <c:strRef>
              <c:f>'[Fiji Scenario Analysis 070420 new.xlsx]Extreme'!$N$34:$N$45</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new.xlsx]Extreme'!$W$34:$W$45</c:f>
              <c:numCache>
                <c:formatCode>General</c:formatCode>
                <c:ptCount val="12"/>
                <c:pt idx="0">
                  <c:v>9.0026927844400007</c:v>
                </c:pt>
                <c:pt idx="1">
                  <c:v>9.5600391821699997</c:v>
                </c:pt>
                <c:pt idx="2">
                  <c:v>10.008624445899999</c:v>
                </c:pt>
                <c:pt idx="3">
                  <c:v>10.434876860200001</c:v>
                </c:pt>
                <c:pt idx="4">
                  <c:v>10.8144096018</c:v>
                </c:pt>
                <c:pt idx="5">
                  <c:v>11.167233187000001</c:v>
                </c:pt>
                <c:pt idx="6">
                  <c:v>11.535440276200001</c:v>
                </c:pt>
                <c:pt idx="7">
                  <c:v>11.854933438</c:v>
                </c:pt>
                <c:pt idx="8">
                  <c:v>12.146351153200001</c:v>
                </c:pt>
                <c:pt idx="9">
                  <c:v>12.431969777999999</c:v>
                </c:pt>
                <c:pt idx="10">
                  <c:v>12.7094967575</c:v>
                </c:pt>
                <c:pt idx="11">
                  <c:v>12.917635090999999</c:v>
                </c:pt>
              </c:numCache>
            </c:numRef>
          </c:val>
          <c:smooth val="0"/>
          <c:extLst>
            <c:ext xmlns:c16="http://schemas.microsoft.com/office/drawing/2014/chart" uri="{C3380CC4-5D6E-409C-BE32-E72D297353CC}">
              <c16:uniqueId val="{00000008-98A9-4608-A7F6-81E088583F21}"/>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in"/>
        <c:minorTickMark val="none"/>
        <c:tickLblPos val="nextTo"/>
        <c:spPr>
          <a:noFill/>
          <a:ln w="9525" cap="flat" cmpd="sng" algn="ctr">
            <a:solidFill>
              <a:sysClr val="windowText" lastClr="000000"/>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Real GDP (FJD billion)</a:t>
                </a:r>
              </a:p>
            </c:rich>
          </c:tx>
          <c:layout>
            <c:manualLayout>
              <c:xMode val="edge"/>
              <c:yMode val="edge"/>
              <c:x val="1.2825052959750591E-2"/>
              <c:y val="0.342749177853611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midCat"/>
        <c:majorUnit val="1"/>
      </c:valAx>
      <c:spPr>
        <a:noFill/>
        <a:ln>
          <a:noFill/>
        </a:ln>
        <a:effectLst/>
      </c:spPr>
    </c:plotArea>
    <c:legend>
      <c:legendPos val="b"/>
      <c:layout>
        <c:manualLayout>
          <c:xMode val="edge"/>
          <c:yMode val="edge"/>
          <c:x val="8.7370664961296085E-2"/>
          <c:y val="0.87407708867852196"/>
          <c:w val="0.89999999999999991"/>
          <c:h val="0.11462266654870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5577971392629"/>
          <c:y val="1.7970371747376437E-2"/>
          <c:w val="0.85821510661758993"/>
          <c:h val="0.75468046831224767"/>
        </c:manualLayout>
      </c:layout>
      <c:lineChart>
        <c:grouping val="standard"/>
        <c:varyColors val="0"/>
        <c:ser>
          <c:idx val="6"/>
          <c:order val="0"/>
          <c:tx>
            <c:strRef>
              <c:f>'[Fiji Scenario Analysis 070420 new.xlsx]Extreme'!$C$50</c:f>
              <c:strCache>
                <c:ptCount val="1"/>
                <c:pt idx="0">
                  <c:v>S4_SDG_half_grants</c:v>
                </c:pt>
              </c:strCache>
            </c:strRef>
          </c:tx>
          <c:spPr>
            <a:ln w="28575" cap="rnd">
              <a:solidFill>
                <a:sysClr val="windowText" lastClr="000000">
                  <a:lumMod val="65000"/>
                  <a:lumOff val="35000"/>
                </a:sysClr>
              </a:solidFill>
              <a:prstDash val="dash"/>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new.xlsx]Extreme'!$C$81:$C$92</c:f>
              <c:numCache>
                <c:formatCode>0%</c:formatCode>
                <c:ptCount val="12"/>
                <c:pt idx="0">
                  <c:v>0.511285121708</c:v>
                </c:pt>
                <c:pt idx="1">
                  <c:v>0.54426778816700006</c:v>
                </c:pt>
                <c:pt idx="2">
                  <c:v>0.60129179209600003</c:v>
                </c:pt>
                <c:pt idx="3">
                  <c:v>0.66780626558400003</c:v>
                </c:pt>
                <c:pt idx="4">
                  <c:v>0.73783150581300005</c:v>
                </c:pt>
                <c:pt idx="5">
                  <c:v>0.80632880905399995</c:v>
                </c:pt>
                <c:pt idx="6">
                  <c:v>0.86284551007800003</c:v>
                </c:pt>
                <c:pt idx="7">
                  <c:v>0.92900278797699998</c:v>
                </c:pt>
                <c:pt idx="8">
                  <c:v>0.99540568174199995</c:v>
                </c:pt>
                <c:pt idx="9">
                  <c:v>1.06084916125</c:v>
                </c:pt>
                <c:pt idx="10">
                  <c:v>1.1300034376500001</c:v>
                </c:pt>
                <c:pt idx="11">
                  <c:v>1.20766492755</c:v>
                </c:pt>
              </c:numCache>
            </c:numRef>
          </c:val>
          <c:smooth val="0"/>
          <c:extLst>
            <c:ext xmlns:c16="http://schemas.microsoft.com/office/drawing/2014/chart" uri="{C3380CC4-5D6E-409C-BE32-E72D297353CC}">
              <c16:uniqueId val="{00000000-DFA9-433E-A881-798937EC84B9}"/>
            </c:ext>
          </c:extLst>
        </c:ser>
        <c:ser>
          <c:idx val="5"/>
          <c:order val="1"/>
          <c:tx>
            <c:strRef>
              <c:f>'[Fiji Scenario Analysis 070420 new.xlsx]Extreme'!$D$50</c:f>
              <c:strCache>
                <c:ptCount val="1"/>
                <c:pt idx="0">
                  <c:v>S4_SDG_no_grants</c:v>
                </c:pt>
              </c:strCache>
            </c:strRef>
          </c:tx>
          <c:spPr>
            <a:ln w="28575" cap="rnd">
              <a:solidFill>
                <a:srgbClr val="A5A5A5"/>
              </a:solidFill>
              <a:prstDash val="dash"/>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new.xlsx]Extreme'!$D$81:$D$92</c:f>
              <c:numCache>
                <c:formatCode>0%</c:formatCode>
                <c:ptCount val="12"/>
                <c:pt idx="0">
                  <c:v>0.511285121708</c:v>
                </c:pt>
                <c:pt idx="1">
                  <c:v>0.56255975351900001</c:v>
                </c:pt>
                <c:pt idx="2">
                  <c:v>0.64658888509900003</c:v>
                </c:pt>
                <c:pt idx="3">
                  <c:v>0.74975530045100003</c:v>
                </c:pt>
                <c:pt idx="4">
                  <c:v>0.86703780063000002</c:v>
                </c:pt>
                <c:pt idx="5">
                  <c:v>0.99419927107700001</c:v>
                </c:pt>
                <c:pt idx="6">
                  <c:v>1.1246936315</c:v>
                </c:pt>
                <c:pt idx="7">
                  <c:v>1.2677533413199999</c:v>
                </c:pt>
                <c:pt idx="8">
                  <c:v>1.41551426341</c:v>
                </c:pt>
                <c:pt idx="9">
                  <c:v>1.5669210575900001</c:v>
                </c:pt>
                <c:pt idx="10">
                  <c:v>1.7275351322900001</c:v>
                </c:pt>
                <c:pt idx="11">
                  <c:v>1.90560177758</c:v>
                </c:pt>
              </c:numCache>
            </c:numRef>
          </c:val>
          <c:smooth val="0"/>
          <c:extLst>
            <c:ext xmlns:c16="http://schemas.microsoft.com/office/drawing/2014/chart" uri="{C3380CC4-5D6E-409C-BE32-E72D297353CC}">
              <c16:uniqueId val="{00000001-DFA9-433E-A881-798937EC84B9}"/>
            </c:ext>
          </c:extLst>
        </c:ser>
        <c:ser>
          <c:idx val="4"/>
          <c:order val="2"/>
          <c:tx>
            <c:strRef>
              <c:f>'[Fiji Scenario Analysis 070420 new.xlsx]Extreme'!$E$50</c:f>
              <c:strCache>
                <c:ptCount val="1"/>
                <c:pt idx="0">
                  <c:v>BAU</c:v>
                </c:pt>
              </c:strCache>
            </c:strRef>
          </c:tx>
          <c:spPr>
            <a:ln w="12700" cap="rnd">
              <a:solidFill>
                <a:srgbClr val="FFC000"/>
              </a:solidFill>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new.xlsx]Extreme'!$E$81:$E$92</c:f>
              <c:numCache>
                <c:formatCode>0%</c:formatCode>
                <c:ptCount val="12"/>
                <c:pt idx="0">
                  <c:v>0.511285121708</c:v>
                </c:pt>
                <c:pt idx="1">
                  <c:v>0.53012990464099996</c:v>
                </c:pt>
                <c:pt idx="2">
                  <c:v>0.55053343116499998</c:v>
                </c:pt>
                <c:pt idx="3">
                  <c:v>0.57202057711900001</c:v>
                </c:pt>
                <c:pt idx="4">
                  <c:v>0.59452649109699995</c:v>
                </c:pt>
                <c:pt idx="5">
                  <c:v>0.61781758582500002</c:v>
                </c:pt>
                <c:pt idx="6">
                  <c:v>0.63743594854300001</c:v>
                </c:pt>
                <c:pt idx="7">
                  <c:v>0.65760237621399997</c:v>
                </c:pt>
                <c:pt idx="8">
                  <c:v>0.67877779476800004</c:v>
                </c:pt>
                <c:pt idx="9">
                  <c:v>0.70072014764599999</c:v>
                </c:pt>
                <c:pt idx="10">
                  <c:v>0.72315656332300005</c:v>
                </c:pt>
                <c:pt idx="11">
                  <c:v>0.74572035246199997</c:v>
                </c:pt>
              </c:numCache>
            </c:numRef>
          </c:val>
          <c:smooth val="0"/>
          <c:extLst>
            <c:ext xmlns:c16="http://schemas.microsoft.com/office/drawing/2014/chart" uri="{C3380CC4-5D6E-409C-BE32-E72D297353CC}">
              <c16:uniqueId val="{00000002-DFA9-433E-A881-798937EC84B9}"/>
            </c:ext>
          </c:extLst>
        </c:ser>
        <c:ser>
          <c:idx val="3"/>
          <c:order val="3"/>
          <c:tx>
            <c:strRef>
              <c:f>'[Fiji Scenario Analysis 070420 new.xlsx]Extreme'!$F$50</c:f>
              <c:strCache>
                <c:ptCount val="1"/>
                <c:pt idx="0">
                  <c:v>S1</c:v>
                </c:pt>
              </c:strCache>
            </c:strRef>
          </c:tx>
          <c:spPr>
            <a:ln w="12700" cap="rnd">
              <a:solidFill>
                <a:srgbClr val="FF0000"/>
              </a:solidFill>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new.xlsx]Extreme'!$F$81:$F$92</c:f>
              <c:numCache>
                <c:formatCode>0%</c:formatCode>
                <c:ptCount val="12"/>
                <c:pt idx="0">
                  <c:v>0.511285121708</c:v>
                </c:pt>
                <c:pt idx="1">
                  <c:v>0.54926344502000002</c:v>
                </c:pt>
                <c:pt idx="2">
                  <c:v>0.58813409521899995</c:v>
                </c:pt>
                <c:pt idx="3">
                  <c:v>0.632029404977</c:v>
                </c:pt>
                <c:pt idx="4">
                  <c:v>0.68038710172000005</c:v>
                </c:pt>
                <c:pt idx="5">
                  <c:v>0.72595515535999999</c:v>
                </c:pt>
                <c:pt idx="6">
                  <c:v>0.76328334443699997</c:v>
                </c:pt>
                <c:pt idx="7">
                  <c:v>0.79997846488699997</c:v>
                </c:pt>
                <c:pt idx="8">
                  <c:v>0.83790149215999998</c:v>
                </c:pt>
                <c:pt idx="9">
                  <c:v>0.87678351663099996</c:v>
                </c:pt>
                <c:pt idx="10">
                  <c:v>0.91595556186399996</c:v>
                </c:pt>
                <c:pt idx="11">
                  <c:v>0.956051394379</c:v>
                </c:pt>
              </c:numCache>
            </c:numRef>
          </c:val>
          <c:smooth val="0"/>
          <c:extLst>
            <c:ext xmlns:c16="http://schemas.microsoft.com/office/drawing/2014/chart" uri="{C3380CC4-5D6E-409C-BE32-E72D297353CC}">
              <c16:uniqueId val="{00000003-DFA9-433E-A881-798937EC84B9}"/>
            </c:ext>
          </c:extLst>
        </c:ser>
        <c:ser>
          <c:idx val="2"/>
          <c:order val="4"/>
          <c:tx>
            <c:strRef>
              <c:f>'[Fiji Scenario Analysis 070420 new.xlsx]Extreme'!$G$50</c:f>
              <c:strCache>
                <c:ptCount val="1"/>
                <c:pt idx="0">
                  <c:v>S2</c:v>
                </c:pt>
              </c:strCache>
            </c:strRef>
          </c:tx>
          <c:spPr>
            <a:ln w="12700" cap="rnd">
              <a:solidFill>
                <a:srgbClr val="92D050"/>
              </a:solidFill>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new.xlsx]Extreme'!$G$81:$G$92</c:f>
              <c:numCache>
                <c:formatCode>0%</c:formatCode>
                <c:ptCount val="12"/>
                <c:pt idx="0">
                  <c:v>0.511285121708</c:v>
                </c:pt>
                <c:pt idx="1">
                  <c:v>0.53380922790800001</c:v>
                </c:pt>
                <c:pt idx="2">
                  <c:v>0.55606799900000004</c:v>
                </c:pt>
                <c:pt idx="3">
                  <c:v>0.57919669555200004</c:v>
                </c:pt>
                <c:pt idx="4">
                  <c:v>0.60312886366899998</c:v>
                </c:pt>
                <c:pt idx="5">
                  <c:v>0.62777752056199998</c:v>
                </c:pt>
                <c:pt idx="6">
                  <c:v>0.64856938764399996</c:v>
                </c:pt>
                <c:pt idx="7">
                  <c:v>0.67000748215499994</c:v>
                </c:pt>
                <c:pt idx="8">
                  <c:v>0.69212818044900004</c:v>
                </c:pt>
                <c:pt idx="9">
                  <c:v>0.71482318363800001</c:v>
                </c:pt>
                <c:pt idx="10">
                  <c:v>0.73808725353399995</c:v>
                </c:pt>
                <c:pt idx="11">
                  <c:v>0.76220421082800005</c:v>
                </c:pt>
              </c:numCache>
            </c:numRef>
          </c:val>
          <c:smooth val="0"/>
          <c:extLst>
            <c:ext xmlns:c16="http://schemas.microsoft.com/office/drawing/2014/chart" uri="{C3380CC4-5D6E-409C-BE32-E72D297353CC}">
              <c16:uniqueId val="{00000004-DFA9-433E-A881-798937EC84B9}"/>
            </c:ext>
          </c:extLst>
        </c:ser>
        <c:ser>
          <c:idx val="1"/>
          <c:order val="5"/>
          <c:tx>
            <c:strRef>
              <c:f>'[Fiji Scenario Analysis 070420 new.xlsx]Extreme'!$H$50</c:f>
              <c:strCache>
                <c:ptCount val="1"/>
                <c:pt idx="0">
                  <c:v>S3</c:v>
                </c:pt>
              </c:strCache>
            </c:strRef>
          </c:tx>
          <c:spPr>
            <a:ln w="12700" cap="rnd">
              <a:solidFill>
                <a:srgbClr val="00B0F0"/>
              </a:solidFill>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new.xlsx]Extreme'!$H$81:$H$92</c:f>
              <c:numCache>
                <c:formatCode>0%</c:formatCode>
                <c:ptCount val="12"/>
                <c:pt idx="0">
                  <c:v>0.511285121708</c:v>
                </c:pt>
                <c:pt idx="1">
                  <c:v>0.52828948228600003</c:v>
                </c:pt>
                <c:pt idx="2">
                  <c:v>0.54702302728399999</c:v>
                </c:pt>
                <c:pt idx="3">
                  <c:v>0.56897930141599995</c:v>
                </c:pt>
                <c:pt idx="4">
                  <c:v>0.59166889325899996</c:v>
                </c:pt>
                <c:pt idx="5">
                  <c:v>0.61485334541799996</c:v>
                </c:pt>
                <c:pt idx="6">
                  <c:v>0.63402414307099997</c:v>
                </c:pt>
                <c:pt idx="7">
                  <c:v>0.65348688154699996</c:v>
                </c:pt>
                <c:pt idx="8">
                  <c:v>0.67373755709600003</c:v>
                </c:pt>
                <c:pt idx="9">
                  <c:v>0.69452164827499996</c:v>
                </c:pt>
                <c:pt idx="10">
                  <c:v>0.71515168995599998</c:v>
                </c:pt>
                <c:pt idx="11">
                  <c:v>0.73839965575199995</c:v>
                </c:pt>
              </c:numCache>
            </c:numRef>
          </c:val>
          <c:smooth val="0"/>
          <c:extLst>
            <c:ext xmlns:c16="http://schemas.microsoft.com/office/drawing/2014/chart" uri="{C3380CC4-5D6E-409C-BE32-E72D297353CC}">
              <c16:uniqueId val="{00000005-DFA9-433E-A881-798937EC84B9}"/>
            </c:ext>
          </c:extLst>
        </c:ser>
        <c:ser>
          <c:idx val="0"/>
          <c:order val="6"/>
          <c:tx>
            <c:strRef>
              <c:f>'[Fiji Scenario Analysis 070420 new.xlsx]Extreme'!$I$50</c:f>
              <c:strCache>
                <c:ptCount val="1"/>
                <c:pt idx="0">
                  <c:v>S4</c:v>
                </c:pt>
              </c:strCache>
            </c:strRef>
          </c:tx>
          <c:spPr>
            <a:ln w="12700" cap="rnd">
              <a:solidFill>
                <a:srgbClr val="008080"/>
              </a:solidFill>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new.xlsx]Extreme'!$I$81:$I$92</c:f>
              <c:numCache>
                <c:formatCode>0%</c:formatCode>
                <c:ptCount val="12"/>
                <c:pt idx="0">
                  <c:v>0.511285121708</c:v>
                </c:pt>
                <c:pt idx="1">
                  <c:v>0.51189304033600003</c:v>
                </c:pt>
                <c:pt idx="2">
                  <c:v>0.51280144066400002</c:v>
                </c:pt>
                <c:pt idx="3">
                  <c:v>0.51405611201699997</c:v>
                </c:pt>
                <c:pt idx="4">
                  <c:v>0.51982255068399996</c:v>
                </c:pt>
                <c:pt idx="5">
                  <c:v>0.52481175185600004</c:v>
                </c:pt>
                <c:pt idx="6">
                  <c:v>0.52676567275200004</c:v>
                </c:pt>
                <c:pt idx="7">
                  <c:v>0.52907382347300003</c:v>
                </c:pt>
                <c:pt idx="8">
                  <c:v>0.53179315394799997</c:v>
                </c:pt>
                <c:pt idx="9">
                  <c:v>0.53479886689199996</c:v>
                </c:pt>
                <c:pt idx="10">
                  <c:v>0.53803715350100001</c:v>
                </c:pt>
                <c:pt idx="11">
                  <c:v>0.54294740280099996</c:v>
                </c:pt>
              </c:numCache>
            </c:numRef>
          </c:val>
          <c:smooth val="0"/>
          <c:extLst>
            <c:ext xmlns:c16="http://schemas.microsoft.com/office/drawing/2014/chart" uri="{C3380CC4-5D6E-409C-BE32-E72D297353CC}">
              <c16:uniqueId val="{00000006-DFA9-433E-A881-798937EC84B9}"/>
            </c:ext>
          </c:extLst>
        </c:ser>
        <c:ser>
          <c:idx val="7"/>
          <c:order val="7"/>
          <c:tx>
            <c:strRef>
              <c:f>'[Fiji Scenario Analysis 070420 new.xlsx]Extreme'!$J$50</c:f>
              <c:strCache>
                <c:ptCount val="1"/>
                <c:pt idx="0">
                  <c:v>S4_H</c:v>
                </c:pt>
              </c:strCache>
            </c:strRef>
          </c:tx>
          <c:spPr>
            <a:ln w="12700" cap="rnd">
              <a:solidFill>
                <a:srgbClr val="ED7D31"/>
              </a:solidFill>
              <a:prstDash val="dash"/>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new.xlsx]Extreme'!$J$81:$J$92</c:f>
              <c:numCache>
                <c:formatCode>0%</c:formatCode>
                <c:ptCount val="12"/>
                <c:pt idx="0">
                  <c:v>0.511285121708</c:v>
                </c:pt>
                <c:pt idx="1">
                  <c:v>0.52169271201</c:v>
                </c:pt>
                <c:pt idx="2">
                  <c:v>0.53014232937100003</c:v>
                </c:pt>
                <c:pt idx="3">
                  <c:v>0.532193229617</c:v>
                </c:pt>
                <c:pt idx="4">
                  <c:v>0.53045137071500004</c:v>
                </c:pt>
                <c:pt idx="5">
                  <c:v>0.524426438913</c:v>
                </c:pt>
                <c:pt idx="6">
                  <c:v>0.51880510298399996</c:v>
                </c:pt>
                <c:pt idx="7">
                  <c:v>0.51349338280199996</c:v>
                </c:pt>
                <c:pt idx="8">
                  <c:v>0.50846044208499996</c:v>
                </c:pt>
                <c:pt idx="9">
                  <c:v>0.50356810570199995</c:v>
                </c:pt>
                <c:pt idx="10">
                  <c:v>0.49876345619200002</c:v>
                </c:pt>
                <c:pt idx="11">
                  <c:v>0.49536231725500002</c:v>
                </c:pt>
              </c:numCache>
            </c:numRef>
          </c:val>
          <c:smooth val="0"/>
          <c:extLst>
            <c:ext xmlns:c16="http://schemas.microsoft.com/office/drawing/2014/chart" uri="{C3380CC4-5D6E-409C-BE32-E72D297353CC}">
              <c16:uniqueId val="{00000007-DFA9-433E-A881-798937EC84B9}"/>
            </c:ext>
          </c:extLst>
        </c:ser>
        <c:ser>
          <c:idx val="8"/>
          <c:order val="8"/>
          <c:tx>
            <c:strRef>
              <c:f>'[Fiji Scenario Analysis 070420 new.xlsx]Extreme'!$K$50</c:f>
              <c:strCache>
                <c:ptCount val="1"/>
                <c:pt idx="0">
                  <c:v>S4_SDG</c:v>
                </c:pt>
              </c:strCache>
            </c:strRef>
          </c:tx>
          <c:spPr>
            <a:ln w="12700" cap="rnd">
              <a:solidFill>
                <a:srgbClr val="0070C0"/>
              </a:solidFill>
              <a:prstDash val="dash"/>
              <a:round/>
            </a:ln>
            <a:effectLst/>
          </c:spPr>
          <c:marker>
            <c:symbol val="none"/>
          </c:marker>
          <c:cat>
            <c:strRef>
              <c:f>'[Fiji Scenario Analysis 070420 new.xlsx]Extreme'!$B$81:$B$92</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new.xlsx]Extreme'!$K$81:$K$92</c:f>
              <c:numCache>
                <c:formatCode>0%</c:formatCode>
                <c:ptCount val="12"/>
                <c:pt idx="0">
                  <c:v>0.511285121708</c:v>
                </c:pt>
                <c:pt idx="1">
                  <c:v>0.52603550680800004</c:v>
                </c:pt>
                <c:pt idx="2">
                  <c:v>0.55627750427699996</c:v>
                </c:pt>
                <c:pt idx="3">
                  <c:v>0.58672194606999994</c:v>
                </c:pt>
                <c:pt idx="4">
                  <c:v>0.61070454907500005</c:v>
                </c:pt>
                <c:pt idx="5">
                  <c:v>0.62272281934600004</c:v>
                </c:pt>
                <c:pt idx="6">
                  <c:v>0.60928788095499997</c:v>
                </c:pt>
                <c:pt idx="7">
                  <c:v>0.60382182630000003</c:v>
                </c:pt>
                <c:pt idx="8">
                  <c:v>0.59599990319700002</c:v>
                </c:pt>
                <c:pt idx="9">
                  <c:v>0.58472628009200001</c:v>
                </c:pt>
                <c:pt idx="10">
                  <c:v>0.57407113706500001</c:v>
                </c:pt>
                <c:pt idx="11">
                  <c:v>0.56613434216799996</c:v>
                </c:pt>
              </c:numCache>
            </c:numRef>
          </c:val>
          <c:smooth val="0"/>
          <c:extLst>
            <c:ext xmlns:c16="http://schemas.microsoft.com/office/drawing/2014/chart" uri="{C3380CC4-5D6E-409C-BE32-E72D297353CC}">
              <c16:uniqueId val="{00000008-DFA9-433E-A881-798937EC84B9}"/>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in"/>
        <c:minorTickMark val="none"/>
        <c:tickLblPos val="nextTo"/>
        <c:spPr>
          <a:noFill/>
          <a:ln w="9525" cap="flat" cmpd="sng" algn="ctr">
            <a:solidFill>
              <a:sysClr val="windowText" lastClr="000000"/>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ax val="2"/>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Debt-to-GDP ratio (%)</a:t>
                </a:r>
              </a:p>
            </c:rich>
          </c:tx>
          <c:layout>
            <c:manualLayout>
              <c:xMode val="edge"/>
              <c:yMode val="edge"/>
              <c:x val="1.2825052959750591E-2"/>
              <c:y val="0.342749177853611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midCat"/>
        <c:majorUnit val="0.2"/>
      </c:valAx>
      <c:spPr>
        <a:noFill/>
        <a:ln>
          <a:noFill/>
        </a:ln>
        <a:effectLst/>
      </c:spPr>
    </c:plotArea>
    <c:legend>
      <c:legendPos val="b"/>
      <c:layout>
        <c:manualLayout>
          <c:xMode val="edge"/>
          <c:yMode val="edge"/>
          <c:x val="8.7370664961296085E-2"/>
          <c:y val="0.87407708867852196"/>
          <c:w val="0.89999999999999991"/>
          <c:h val="0.11462266654870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47958608960695E-2"/>
          <c:y val="1.7970371747376437E-2"/>
          <c:w val="0.88356027726548203"/>
          <c:h val="0.75468046831224767"/>
        </c:manualLayout>
      </c:layout>
      <c:lineChart>
        <c:grouping val="standard"/>
        <c:varyColors val="0"/>
        <c:ser>
          <c:idx val="6"/>
          <c:order val="0"/>
          <c:tx>
            <c:strRef>
              <c:f>'[Fiji Scenario Analysis 070420 new.xlsx]Extreme'!$P$97</c:f>
              <c:strCache>
                <c:ptCount val="1"/>
                <c:pt idx="0">
                  <c:v>S4_SDG_half_grants</c:v>
                </c:pt>
              </c:strCache>
            </c:strRef>
          </c:tx>
          <c:spPr>
            <a:ln w="28575" cap="rnd">
              <a:solidFill>
                <a:sysClr val="windowText" lastClr="000000">
                  <a:lumMod val="65000"/>
                  <a:lumOff val="35000"/>
                </a:sysClr>
              </a:solidFill>
              <a:prstDash val="dash"/>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new.xlsx]Extreme'!$P$128:$P$139</c:f>
              <c:numCache>
                <c:formatCode>General</c:formatCode>
                <c:ptCount val="12"/>
                <c:pt idx="0">
                  <c:v>0.41697880891299999</c:v>
                </c:pt>
                <c:pt idx="1">
                  <c:v>0.483411554066</c:v>
                </c:pt>
                <c:pt idx="2">
                  <c:v>0.57325588695899998</c:v>
                </c:pt>
                <c:pt idx="3">
                  <c:v>0.67997477691499997</c:v>
                </c:pt>
                <c:pt idx="4">
                  <c:v>0.79683930475699993</c:v>
                </c:pt>
                <c:pt idx="5">
                  <c:v>0.91934330293900002</c:v>
                </c:pt>
                <c:pt idx="6">
                  <c:v>1.0370669232600001</c:v>
                </c:pt>
                <c:pt idx="7">
                  <c:v>1.1714943331800001</c:v>
                </c:pt>
                <c:pt idx="8">
                  <c:v>1.3123226801400001</c:v>
                </c:pt>
                <c:pt idx="9">
                  <c:v>1.46251132827</c:v>
                </c:pt>
                <c:pt idx="10">
                  <c:v>1.6262753052200001</c:v>
                </c:pt>
                <c:pt idx="11">
                  <c:v>1.80281731779</c:v>
                </c:pt>
              </c:numCache>
            </c:numRef>
          </c:val>
          <c:smooth val="0"/>
          <c:extLst>
            <c:ext xmlns:c16="http://schemas.microsoft.com/office/drawing/2014/chart" uri="{C3380CC4-5D6E-409C-BE32-E72D297353CC}">
              <c16:uniqueId val="{00000000-75CE-4D82-AE75-FA06BAB3073A}"/>
            </c:ext>
          </c:extLst>
        </c:ser>
        <c:ser>
          <c:idx val="5"/>
          <c:order val="1"/>
          <c:tx>
            <c:strRef>
              <c:f>'[Fiji Scenario Analysis 070420 new.xlsx]Extreme'!$Q$97</c:f>
              <c:strCache>
                <c:ptCount val="1"/>
                <c:pt idx="0">
                  <c:v>S4_SDG_no_grants</c:v>
                </c:pt>
              </c:strCache>
            </c:strRef>
          </c:tx>
          <c:spPr>
            <a:ln w="28575" cap="rnd">
              <a:solidFill>
                <a:srgbClr val="A5A5A5"/>
              </a:solidFill>
              <a:prstDash val="dash"/>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new.xlsx]Extreme'!$Q$128:$Q$139</c:f>
              <c:numCache>
                <c:formatCode>General</c:formatCode>
                <c:ptCount val="12"/>
                <c:pt idx="0">
                  <c:v>0.41697880891299999</c:v>
                </c:pt>
                <c:pt idx="1">
                  <c:v>0.49827234409400001</c:v>
                </c:pt>
                <c:pt idx="2">
                  <c:v>0.61284263963300001</c:v>
                </c:pt>
                <c:pt idx="3">
                  <c:v>0.755927545097</c:v>
                </c:pt>
                <c:pt idx="4">
                  <c:v>0.92253347668300001</c:v>
                </c:pt>
                <c:pt idx="5">
                  <c:v>1.1099516384500001</c:v>
                </c:pt>
                <c:pt idx="6">
                  <c:v>1.3181581134</c:v>
                </c:pt>
                <c:pt idx="7">
                  <c:v>1.55406062295</c:v>
                </c:pt>
                <c:pt idx="8">
                  <c:v>1.8081595323199999</c:v>
                </c:pt>
                <c:pt idx="9">
                  <c:v>2.0815328547199998</c:v>
                </c:pt>
                <c:pt idx="10">
                  <c:v>2.3813478562800001</c:v>
                </c:pt>
                <c:pt idx="11">
                  <c:v>2.7075156449</c:v>
                </c:pt>
              </c:numCache>
            </c:numRef>
          </c:val>
          <c:smooth val="0"/>
          <c:extLst>
            <c:ext xmlns:c16="http://schemas.microsoft.com/office/drawing/2014/chart" uri="{C3380CC4-5D6E-409C-BE32-E72D297353CC}">
              <c16:uniqueId val="{00000001-75CE-4D82-AE75-FA06BAB3073A}"/>
            </c:ext>
          </c:extLst>
        </c:ser>
        <c:ser>
          <c:idx val="4"/>
          <c:order val="2"/>
          <c:tx>
            <c:strRef>
              <c:f>'[Fiji Scenario Analysis 070420 new.xlsx]Extreme'!$R$97</c:f>
              <c:strCache>
                <c:ptCount val="1"/>
                <c:pt idx="0">
                  <c:v>BAU</c:v>
                </c:pt>
              </c:strCache>
            </c:strRef>
          </c:tx>
          <c:spPr>
            <a:ln w="12700" cap="rnd">
              <a:solidFill>
                <a:srgbClr val="FFC000"/>
              </a:solidFill>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new.xlsx]Extreme'!$R$128:$R$139</c:f>
              <c:numCache>
                <c:formatCode>General</c:formatCode>
                <c:ptCount val="12"/>
                <c:pt idx="0">
                  <c:v>0.41697880891299999</c:v>
                </c:pt>
                <c:pt idx="1">
                  <c:v>0.45511826922299997</c:v>
                </c:pt>
                <c:pt idx="2">
                  <c:v>0.49614158851500001</c:v>
                </c:pt>
                <c:pt idx="3">
                  <c:v>0.54035241048800009</c:v>
                </c:pt>
                <c:pt idx="4">
                  <c:v>0.58809563060899994</c:v>
                </c:pt>
                <c:pt idx="5">
                  <c:v>0.63971642724199995</c:v>
                </c:pt>
                <c:pt idx="6">
                  <c:v>0.69081019636700003</c:v>
                </c:pt>
                <c:pt idx="7">
                  <c:v>0.74587348083899996</c:v>
                </c:pt>
                <c:pt idx="8">
                  <c:v>0.80513097917300003</c:v>
                </c:pt>
                <c:pt idx="9">
                  <c:v>0.86882886424799999</c:v>
                </c:pt>
                <c:pt idx="10">
                  <c:v>0.93725782142400005</c:v>
                </c:pt>
                <c:pt idx="11">
                  <c:v>1.0098595643899999</c:v>
                </c:pt>
              </c:numCache>
            </c:numRef>
          </c:val>
          <c:smooth val="0"/>
          <c:extLst>
            <c:ext xmlns:c16="http://schemas.microsoft.com/office/drawing/2014/chart" uri="{C3380CC4-5D6E-409C-BE32-E72D297353CC}">
              <c16:uniqueId val="{00000002-75CE-4D82-AE75-FA06BAB3073A}"/>
            </c:ext>
          </c:extLst>
        </c:ser>
        <c:ser>
          <c:idx val="3"/>
          <c:order val="3"/>
          <c:tx>
            <c:strRef>
              <c:f>'[Fiji Scenario Analysis 070420 new.xlsx]Extreme'!$S$97</c:f>
              <c:strCache>
                <c:ptCount val="1"/>
                <c:pt idx="0">
                  <c:v>S1</c:v>
                </c:pt>
              </c:strCache>
            </c:strRef>
          </c:tx>
          <c:spPr>
            <a:ln w="12700" cap="rnd">
              <a:solidFill>
                <a:srgbClr val="FF0000"/>
              </a:solidFill>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new.xlsx]Extreme'!$S$128:$S$139</c:f>
              <c:numCache>
                <c:formatCode>General</c:formatCode>
                <c:ptCount val="12"/>
                <c:pt idx="0">
                  <c:v>0.41697880891299999</c:v>
                </c:pt>
                <c:pt idx="1">
                  <c:v>0.46521881929199999</c:v>
                </c:pt>
                <c:pt idx="2">
                  <c:v>0.52083229891100002</c:v>
                </c:pt>
                <c:pt idx="3">
                  <c:v>0.58472254716100003</c:v>
                </c:pt>
                <c:pt idx="4">
                  <c:v>0.65744113769299994</c:v>
                </c:pt>
                <c:pt idx="5">
                  <c:v>0.73277420796800008</c:v>
                </c:pt>
                <c:pt idx="6">
                  <c:v>0.80512527382799992</c:v>
                </c:pt>
                <c:pt idx="7">
                  <c:v>0.88364433617299998</c:v>
                </c:pt>
                <c:pt idx="8">
                  <c:v>0.96872949888799997</c:v>
                </c:pt>
                <c:pt idx="9">
                  <c:v>1.0607836686799998</c:v>
                </c:pt>
                <c:pt idx="10">
                  <c:v>1.16028884855</c:v>
                </c:pt>
                <c:pt idx="11">
                  <c:v>1.2666381040000001</c:v>
                </c:pt>
              </c:numCache>
            </c:numRef>
          </c:val>
          <c:smooth val="0"/>
          <c:extLst>
            <c:ext xmlns:c16="http://schemas.microsoft.com/office/drawing/2014/chart" uri="{C3380CC4-5D6E-409C-BE32-E72D297353CC}">
              <c16:uniqueId val="{00000003-75CE-4D82-AE75-FA06BAB3073A}"/>
            </c:ext>
          </c:extLst>
        </c:ser>
        <c:ser>
          <c:idx val="2"/>
          <c:order val="4"/>
          <c:tx>
            <c:strRef>
              <c:f>'[Fiji Scenario Analysis 070420 new.xlsx]Extreme'!$T$97</c:f>
              <c:strCache>
                <c:ptCount val="1"/>
                <c:pt idx="0">
                  <c:v>S2</c:v>
                </c:pt>
              </c:strCache>
            </c:strRef>
          </c:tx>
          <c:spPr>
            <a:ln w="12700" cap="rnd">
              <a:solidFill>
                <a:srgbClr val="92D050"/>
              </a:solidFill>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new.xlsx]Extreme'!$T$128:$T$139</c:f>
              <c:numCache>
                <c:formatCode>General</c:formatCode>
                <c:ptCount val="12"/>
                <c:pt idx="0">
                  <c:v>0.41697880891299999</c:v>
                </c:pt>
                <c:pt idx="1">
                  <c:v>0.45730689452600004</c:v>
                </c:pt>
                <c:pt idx="2">
                  <c:v>0.50074014936</c:v>
                </c:pt>
                <c:pt idx="3">
                  <c:v>0.54763385980799995</c:v>
                </c:pt>
                <c:pt idx="4">
                  <c:v>0.59837467244500009</c:v>
                </c:pt>
                <c:pt idx="5">
                  <c:v>0.65334875772500001</c:v>
                </c:pt>
                <c:pt idx="6">
                  <c:v>0.70805598910099998</c:v>
                </c:pt>
                <c:pt idx="7">
                  <c:v>0.76711649324800002</c:v>
                </c:pt>
                <c:pt idx="8">
                  <c:v>0.83078312804099996</c:v>
                </c:pt>
                <c:pt idx="9">
                  <c:v>0.89935148183199998</c:v>
                </c:pt>
                <c:pt idx="10">
                  <c:v>0.97315175592400005</c:v>
                </c:pt>
                <c:pt idx="11">
                  <c:v>1.0516011052200001</c:v>
                </c:pt>
              </c:numCache>
            </c:numRef>
          </c:val>
          <c:smooth val="0"/>
          <c:extLst>
            <c:ext xmlns:c16="http://schemas.microsoft.com/office/drawing/2014/chart" uri="{C3380CC4-5D6E-409C-BE32-E72D297353CC}">
              <c16:uniqueId val="{00000004-75CE-4D82-AE75-FA06BAB3073A}"/>
            </c:ext>
          </c:extLst>
        </c:ser>
        <c:ser>
          <c:idx val="1"/>
          <c:order val="5"/>
          <c:tx>
            <c:strRef>
              <c:f>'[Fiji Scenario Analysis 070420 new.xlsx]Extreme'!$U$97</c:f>
              <c:strCache>
                <c:ptCount val="1"/>
                <c:pt idx="0">
                  <c:v>S3</c:v>
                </c:pt>
              </c:strCache>
            </c:strRef>
          </c:tx>
          <c:spPr>
            <a:ln w="12700" cap="rnd">
              <a:solidFill>
                <a:srgbClr val="00B0F0"/>
              </a:solidFill>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new.xlsx]Extreme'!$U$128:$U$139</c:f>
              <c:numCache>
                <c:formatCode>General</c:formatCode>
                <c:ptCount val="12"/>
                <c:pt idx="0">
                  <c:v>0.41697880891299999</c:v>
                </c:pt>
                <c:pt idx="1">
                  <c:v>0.45739155183300001</c:v>
                </c:pt>
                <c:pt idx="2">
                  <c:v>0.50321498089600003</c:v>
                </c:pt>
                <c:pt idx="3">
                  <c:v>0.55287353337300005</c:v>
                </c:pt>
                <c:pt idx="4">
                  <c:v>0.60671901624100011</c:v>
                </c:pt>
                <c:pt idx="5">
                  <c:v>0.66518490491499993</c:v>
                </c:pt>
                <c:pt idx="6">
                  <c:v>0.72372127171</c:v>
                </c:pt>
                <c:pt idx="7">
                  <c:v>0.78708252391799993</c:v>
                </c:pt>
                <c:pt idx="8">
                  <c:v>0.85557635712899993</c:v>
                </c:pt>
                <c:pt idx="9">
                  <c:v>0.92953029268799992</c:v>
                </c:pt>
                <c:pt idx="10">
                  <c:v>1.00933324614</c:v>
                </c:pt>
                <c:pt idx="11">
                  <c:v>1.09442318101</c:v>
                </c:pt>
              </c:numCache>
            </c:numRef>
          </c:val>
          <c:smooth val="0"/>
          <c:extLst>
            <c:ext xmlns:c16="http://schemas.microsoft.com/office/drawing/2014/chart" uri="{C3380CC4-5D6E-409C-BE32-E72D297353CC}">
              <c16:uniqueId val="{00000005-75CE-4D82-AE75-FA06BAB3073A}"/>
            </c:ext>
          </c:extLst>
        </c:ser>
        <c:ser>
          <c:idx val="0"/>
          <c:order val="6"/>
          <c:tx>
            <c:strRef>
              <c:f>'[Fiji Scenario Analysis 070420 new.xlsx]Extreme'!$V$97</c:f>
              <c:strCache>
                <c:ptCount val="1"/>
                <c:pt idx="0">
                  <c:v>S4</c:v>
                </c:pt>
              </c:strCache>
            </c:strRef>
          </c:tx>
          <c:spPr>
            <a:ln w="12700" cap="rnd">
              <a:solidFill>
                <a:srgbClr val="008080"/>
              </a:solidFill>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new.xlsx]Extreme'!$V$128:$V$139</c:f>
              <c:numCache>
                <c:formatCode>General</c:formatCode>
                <c:ptCount val="12"/>
                <c:pt idx="0">
                  <c:v>0.41697880891299999</c:v>
                </c:pt>
                <c:pt idx="1">
                  <c:v>0.44720506619700001</c:v>
                </c:pt>
                <c:pt idx="2">
                  <c:v>0.47735199385600002</c:v>
                </c:pt>
                <c:pt idx="3">
                  <c:v>0.50800344634600003</c:v>
                </c:pt>
                <c:pt idx="4">
                  <c:v>0.54415964347400003</c:v>
                </c:pt>
                <c:pt idx="5">
                  <c:v>0.58098010835699998</c:v>
                </c:pt>
                <c:pt idx="6">
                  <c:v>0.61608460698599998</c:v>
                </c:pt>
                <c:pt idx="7">
                  <c:v>0.65345143963199992</c:v>
                </c:pt>
                <c:pt idx="8">
                  <c:v>0.69317616011399996</c:v>
                </c:pt>
                <c:pt idx="9">
                  <c:v>0.73537951520900002</c:v>
                </c:pt>
                <c:pt idx="10">
                  <c:v>0.78020000842699999</c:v>
                </c:pt>
                <c:pt idx="11">
                  <c:v>0.82707790430700001</c:v>
                </c:pt>
              </c:numCache>
            </c:numRef>
          </c:val>
          <c:smooth val="0"/>
          <c:extLst>
            <c:ext xmlns:c16="http://schemas.microsoft.com/office/drawing/2014/chart" uri="{C3380CC4-5D6E-409C-BE32-E72D297353CC}">
              <c16:uniqueId val="{00000006-75CE-4D82-AE75-FA06BAB3073A}"/>
            </c:ext>
          </c:extLst>
        </c:ser>
        <c:ser>
          <c:idx val="7"/>
          <c:order val="7"/>
          <c:tx>
            <c:strRef>
              <c:f>'[Fiji Scenario Analysis 070420 new.xlsx]Extreme'!$W$97</c:f>
              <c:strCache>
                <c:ptCount val="1"/>
                <c:pt idx="0">
                  <c:v>S4_H</c:v>
                </c:pt>
              </c:strCache>
            </c:strRef>
          </c:tx>
          <c:spPr>
            <a:ln w="12700" cap="rnd">
              <a:solidFill>
                <a:srgbClr val="ED7D31"/>
              </a:solidFill>
              <a:prstDash val="dash"/>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new.xlsx]Extreme'!$W$128:$W$139</c:f>
              <c:numCache>
                <c:formatCode>General</c:formatCode>
                <c:ptCount val="12"/>
                <c:pt idx="0">
                  <c:v>0.41697880891299999</c:v>
                </c:pt>
                <c:pt idx="1">
                  <c:v>0.455508182677</c:v>
                </c:pt>
                <c:pt idx="2">
                  <c:v>0.49278083806900003</c:v>
                </c:pt>
                <c:pt idx="3">
                  <c:v>0.52499115083399994</c:v>
                </c:pt>
                <c:pt idx="4">
                  <c:v>0.55415847745199998</c:v>
                </c:pt>
                <c:pt idx="5">
                  <c:v>0.57901705241299994</c:v>
                </c:pt>
                <c:pt idx="6">
                  <c:v>0.60434895606399996</c:v>
                </c:pt>
                <c:pt idx="7">
                  <c:v>0.63077710859800007</c:v>
                </c:pt>
                <c:pt idx="8">
                  <c:v>0.65830499312500002</c:v>
                </c:pt>
                <c:pt idx="9">
                  <c:v>0.68694740751900008</c:v>
                </c:pt>
                <c:pt idx="10">
                  <c:v>0.71672578962100009</c:v>
                </c:pt>
                <c:pt idx="11">
                  <c:v>0.74704221551900007</c:v>
                </c:pt>
              </c:numCache>
            </c:numRef>
          </c:val>
          <c:smooth val="0"/>
          <c:extLst>
            <c:ext xmlns:c16="http://schemas.microsoft.com/office/drawing/2014/chart" uri="{C3380CC4-5D6E-409C-BE32-E72D297353CC}">
              <c16:uniqueId val="{00000007-75CE-4D82-AE75-FA06BAB3073A}"/>
            </c:ext>
          </c:extLst>
        </c:ser>
        <c:ser>
          <c:idx val="8"/>
          <c:order val="8"/>
          <c:tx>
            <c:strRef>
              <c:f>'[Fiji Scenario Analysis 070420 new.xlsx]Extreme'!$X$97</c:f>
              <c:strCache>
                <c:ptCount val="1"/>
                <c:pt idx="0">
                  <c:v>S4_SDG</c:v>
                </c:pt>
              </c:strCache>
            </c:strRef>
          </c:tx>
          <c:spPr>
            <a:ln w="12700" cap="rnd">
              <a:solidFill>
                <a:srgbClr val="0070C0"/>
              </a:solidFill>
              <a:prstDash val="dash"/>
              <a:round/>
            </a:ln>
            <a:effectLst/>
          </c:spPr>
          <c:marker>
            <c:symbol val="none"/>
          </c:marker>
          <c:cat>
            <c:strRef>
              <c:f>'[Fiji Scenario Analysis 070420 new.xlsx]Extreme'!$O$128:$O$139</c:f>
              <c:strCache>
                <c:ptCount val="12"/>
                <c:pt idx="0">
                  <c:v>2020</c:v>
                </c:pt>
                <c:pt idx="1">
                  <c:v>2021</c:v>
                </c:pt>
                <c:pt idx="2">
                  <c:v>2022</c:v>
                </c:pt>
                <c:pt idx="3">
                  <c:v>2023</c:v>
                </c:pt>
                <c:pt idx="4">
                  <c:v>2024</c:v>
                </c:pt>
                <c:pt idx="5">
                  <c:v>2025</c:v>
                </c:pt>
                <c:pt idx="6">
                  <c:v>2026</c:v>
                </c:pt>
                <c:pt idx="7">
                  <c:v>2027</c:v>
                </c:pt>
                <c:pt idx="8">
                  <c:v>2028</c:v>
                </c:pt>
                <c:pt idx="9">
                  <c:v>2029</c:v>
                </c:pt>
                <c:pt idx="10">
                  <c:v>2030</c:v>
                </c:pt>
                <c:pt idx="11">
                  <c:v>Final</c:v>
                </c:pt>
              </c:strCache>
            </c:strRef>
          </c:cat>
          <c:val>
            <c:numRef>
              <c:f>'[Fiji Scenario Analysis 070420 new.xlsx]Extreme'!$X$128:$X$139</c:f>
              <c:numCache>
                <c:formatCode>General</c:formatCode>
                <c:ptCount val="12"/>
                <c:pt idx="0">
                  <c:v>0.41697880891299999</c:v>
                </c:pt>
                <c:pt idx="1">
                  <c:v>0.468511266461</c:v>
                </c:pt>
                <c:pt idx="2">
                  <c:v>0.53343082232100003</c:v>
                </c:pt>
                <c:pt idx="3">
                  <c:v>0.60325201967999997</c:v>
                </c:pt>
                <c:pt idx="4">
                  <c:v>0.669237087846</c:v>
                </c:pt>
                <c:pt idx="5">
                  <c:v>0.72469172842700003</c:v>
                </c:pt>
                <c:pt idx="6">
                  <c:v>0.75324552766100006</c:v>
                </c:pt>
                <c:pt idx="7">
                  <c:v>0.78895944937499995</c:v>
                </c:pt>
                <c:pt idx="8">
                  <c:v>0.82055119908800001</c:v>
                </c:pt>
                <c:pt idx="9">
                  <c:v>0.84737008855600005</c:v>
                </c:pt>
                <c:pt idx="10">
                  <c:v>0.87466459111099992</c:v>
                </c:pt>
                <c:pt idx="11">
                  <c:v>0.90160621955999998</c:v>
                </c:pt>
              </c:numCache>
            </c:numRef>
          </c:val>
          <c:smooth val="0"/>
          <c:extLst>
            <c:ext xmlns:c16="http://schemas.microsoft.com/office/drawing/2014/chart" uri="{C3380CC4-5D6E-409C-BE32-E72D297353CC}">
              <c16:uniqueId val="{00000008-75CE-4D82-AE75-FA06BAB3073A}"/>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in"/>
        <c:minorTickMark val="none"/>
        <c:tickLblPos val="nextTo"/>
        <c:spPr>
          <a:noFill/>
          <a:ln w="9525" cap="flat" cmpd="sng" algn="ctr">
            <a:solidFill>
              <a:sysClr val="windowText" lastClr="000000"/>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Interest payments</a:t>
                </a:r>
                <a:r>
                  <a:rPr lang="en-AU" baseline="0"/>
                  <a:t> on debt (FJD billion)</a:t>
                </a:r>
                <a:endParaRPr lang="en-AU"/>
              </a:p>
            </c:rich>
          </c:tx>
          <c:layout>
            <c:manualLayout>
              <c:xMode val="edge"/>
              <c:yMode val="edge"/>
              <c:x val="7.8424333729584256E-3"/>
              <c:y val="0.171131987214469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midCat"/>
        <c:majorUnit val="0.5"/>
      </c:valAx>
      <c:spPr>
        <a:noFill/>
        <a:ln>
          <a:noFill/>
        </a:ln>
        <a:effectLst/>
      </c:spPr>
    </c:plotArea>
    <c:legend>
      <c:legendPos val="b"/>
      <c:layout>
        <c:manualLayout>
          <c:xMode val="edge"/>
          <c:yMode val="edge"/>
          <c:x val="8.7370664961296085E-2"/>
          <c:y val="0.87407708867852196"/>
          <c:w val="0.89999999999999991"/>
          <c:h val="0.11462266654870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13372515691718E-2"/>
          <c:y val="1.7970371747376437E-2"/>
          <c:w val="0.88789493803521635"/>
          <c:h val="0.75468046831224767"/>
        </c:manualLayout>
      </c:layout>
      <c:lineChart>
        <c:grouping val="standard"/>
        <c:varyColors val="0"/>
        <c:ser>
          <c:idx val="6"/>
          <c:order val="0"/>
          <c:tx>
            <c:strRef>
              <c:f>'[Fiji Scenario Analysis 070420 new.xlsx]Extreme'!$C$144</c:f>
              <c:strCache>
                <c:ptCount val="1"/>
                <c:pt idx="0">
                  <c:v>S4_SDG_half_grants</c:v>
                </c:pt>
              </c:strCache>
            </c:strRef>
          </c:tx>
          <c:spPr>
            <a:ln w="28575" cap="rnd">
              <a:solidFill>
                <a:sysClr val="windowText" lastClr="000000">
                  <a:lumMod val="65000"/>
                  <a:lumOff val="35000"/>
                </a:sysClr>
              </a:solidFill>
              <a:prstDash val="dash"/>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new.xlsx]Extreme'!$C$149:$C$161</c:f>
              <c:numCache>
                <c:formatCode>0.0%</c:formatCode>
                <c:ptCount val="13"/>
                <c:pt idx="0">
                  <c:v>0.26561747542199998</c:v>
                </c:pt>
                <c:pt idx="1">
                  <c:v>0.32777971660799998</c:v>
                </c:pt>
                <c:pt idx="2">
                  <c:v>0.41445025934599999</c:v>
                </c:pt>
                <c:pt idx="3">
                  <c:v>0.47290185531399997</c:v>
                </c:pt>
                <c:pt idx="4">
                  <c:v>0.51652557321100001</c:v>
                </c:pt>
                <c:pt idx="5">
                  <c:v>0.56743105594099996</c:v>
                </c:pt>
                <c:pt idx="6">
                  <c:v>0.62355114337700002</c:v>
                </c:pt>
                <c:pt idx="7">
                  <c:v>0.67746263085000002</c:v>
                </c:pt>
                <c:pt idx="8">
                  <c:v>0.72235723683499997</c:v>
                </c:pt>
                <c:pt idx="9">
                  <c:v>0.75926513340799995</c:v>
                </c:pt>
                <c:pt idx="10">
                  <c:v>0.78026368754200004</c:v>
                </c:pt>
                <c:pt idx="11">
                  <c:v>0.82244201899699998</c:v>
                </c:pt>
                <c:pt idx="12">
                  <c:v>0.82789978927800001</c:v>
                </c:pt>
              </c:numCache>
            </c:numRef>
          </c:val>
          <c:smooth val="0"/>
          <c:extLst>
            <c:ext xmlns:c16="http://schemas.microsoft.com/office/drawing/2014/chart" uri="{C3380CC4-5D6E-409C-BE32-E72D297353CC}">
              <c16:uniqueId val="{00000000-F684-4B5E-B392-3C58ED0B2C78}"/>
            </c:ext>
          </c:extLst>
        </c:ser>
        <c:ser>
          <c:idx val="5"/>
          <c:order val="1"/>
          <c:tx>
            <c:strRef>
              <c:f>'[Fiji Scenario Analysis 070420 new.xlsx]Extreme'!$D$144</c:f>
              <c:strCache>
                <c:ptCount val="1"/>
                <c:pt idx="0">
                  <c:v>S4_SDG_no_grants</c:v>
                </c:pt>
              </c:strCache>
            </c:strRef>
          </c:tx>
          <c:spPr>
            <a:ln w="28575" cap="rnd">
              <a:solidFill>
                <a:srgbClr val="A5A5A5"/>
              </a:solidFill>
              <a:prstDash val="dash"/>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new.xlsx]Extreme'!$D$149:$D$161</c:f>
              <c:numCache>
                <c:formatCode>0.0%</c:formatCode>
                <c:ptCount val="13"/>
                <c:pt idx="0">
                  <c:v>0.26561747542199998</c:v>
                </c:pt>
                <c:pt idx="1">
                  <c:v>0.30809228401299998</c:v>
                </c:pt>
                <c:pt idx="2">
                  <c:v>0.39470267113399998</c:v>
                </c:pt>
                <c:pt idx="3">
                  <c:v>0.44301845865599998</c:v>
                </c:pt>
                <c:pt idx="4">
                  <c:v>0.498699438035</c:v>
                </c:pt>
                <c:pt idx="5">
                  <c:v>0.54877480994500005</c:v>
                </c:pt>
                <c:pt idx="6">
                  <c:v>0.60247602009400003</c:v>
                </c:pt>
                <c:pt idx="7">
                  <c:v>0.65332181765899999</c:v>
                </c:pt>
                <c:pt idx="8">
                  <c:v>0.69521558201800004</c:v>
                </c:pt>
                <c:pt idx="9">
                  <c:v>0.72413984889799998</c:v>
                </c:pt>
                <c:pt idx="10">
                  <c:v>0.74331178344000004</c:v>
                </c:pt>
                <c:pt idx="11">
                  <c:v>0.76228534430999995</c:v>
                </c:pt>
                <c:pt idx="12">
                  <c:v>0.79116864974199996</c:v>
                </c:pt>
              </c:numCache>
            </c:numRef>
          </c:val>
          <c:smooth val="0"/>
          <c:extLst>
            <c:ext xmlns:c16="http://schemas.microsoft.com/office/drawing/2014/chart" uri="{C3380CC4-5D6E-409C-BE32-E72D297353CC}">
              <c16:uniqueId val="{00000001-F684-4B5E-B392-3C58ED0B2C78}"/>
            </c:ext>
          </c:extLst>
        </c:ser>
        <c:ser>
          <c:idx val="4"/>
          <c:order val="2"/>
          <c:tx>
            <c:strRef>
              <c:f>'[Fiji Scenario Analysis 070420 new.xlsx]Extreme'!$E$144</c:f>
              <c:strCache>
                <c:ptCount val="1"/>
                <c:pt idx="0">
                  <c:v>BAU</c:v>
                </c:pt>
              </c:strCache>
            </c:strRef>
          </c:tx>
          <c:spPr>
            <a:ln w="12700" cap="rnd">
              <a:solidFill>
                <a:srgbClr val="FFC000"/>
              </a:solidFill>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new.xlsx]Extreme'!$E$149:$E$161</c:f>
              <c:numCache>
                <c:formatCode>0.0%</c:formatCode>
                <c:ptCount val="13"/>
                <c:pt idx="0">
                  <c:v>0.26561747542199998</c:v>
                </c:pt>
                <c:pt idx="1">
                  <c:v>0.287510925004</c:v>
                </c:pt>
                <c:pt idx="2">
                  <c:v>0.306932260766</c:v>
                </c:pt>
                <c:pt idx="3">
                  <c:v>0.32203982549400001</c:v>
                </c:pt>
                <c:pt idx="4">
                  <c:v>0.33389111351299999</c:v>
                </c:pt>
                <c:pt idx="5">
                  <c:v>0.34235551345499998</c:v>
                </c:pt>
                <c:pt idx="6">
                  <c:v>0.34962109732199997</c:v>
                </c:pt>
                <c:pt idx="7">
                  <c:v>0.36210353248999999</c:v>
                </c:pt>
                <c:pt idx="8">
                  <c:v>0.37832915858900001</c:v>
                </c:pt>
                <c:pt idx="9">
                  <c:v>0.38665774154999999</c:v>
                </c:pt>
                <c:pt idx="10">
                  <c:v>0.39111013272200001</c:v>
                </c:pt>
                <c:pt idx="11">
                  <c:v>0.39858956714600002</c:v>
                </c:pt>
                <c:pt idx="12">
                  <c:v>0.40522665355800003</c:v>
                </c:pt>
              </c:numCache>
            </c:numRef>
          </c:val>
          <c:smooth val="0"/>
          <c:extLst>
            <c:ext xmlns:c16="http://schemas.microsoft.com/office/drawing/2014/chart" uri="{C3380CC4-5D6E-409C-BE32-E72D297353CC}">
              <c16:uniqueId val="{00000002-F684-4B5E-B392-3C58ED0B2C78}"/>
            </c:ext>
          </c:extLst>
        </c:ser>
        <c:ser>
          <c:idx val="3"/>
          <c:order val="3"/>
          <c:tx>
            <c:strRef>
              <c:f>'[Fiji Scenario Analysis 070420 new.xlsx]Extreme'!$F$144</c:f>
              <c:strCache>
                <c:ptCount val="1"/>
                <c:pt idx="0">
                  <c:v>S1</c:v>
                </c:pt>
              </c:strCache>
            </c:strRef>
          </c:tx>
          <c:spPr>
            <a:ln w="12700" cap="rnd">
              <a:solidFill>
                <a:srgbClr val="FF0000"/>
              </a:solidFill>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new.xlsx]Extreme'!$F$149:$F$161</c:f>
              <c:numCache>
                <c:formatCode>0.0%</c:formatCode>
                <c:ptCount val="13"/>
                <c:pt idx="0">
                  <c:v>0.26561747542199998</c:v>
                </c:pt>
                <c:pt idx="1">
                  <c:v>0.27912408311699999</c:v>
                </c:pt>
                <c:pt idx="2">
                  <c:v>0.281869885963</c:v>
                </c:pt>
                <c:pt idx="3">
                  <c:v>0.27566510703800001</c:v>
                </c:pt>
                <c:pt idx="4">
                  <c:v>0.28620781350399999</c:v>
                </c:pt>
                <c:pt idx="5">
                  <c:v>0.29251279315299999</c:v>
                </c:pt>
                <c:pt idx="6">
                  <c:v>0.29688813046500001</c:v>
                </c:pt>
                <c:pt idx="7">
                  <c:v>0.30685056121999998</c:v>
                </c:pt>
                <c:pt idx="8">
                  <c:v>0.32028803379800003</c:v>
                </c:pt>
                <c:pt idx="9">
                  <c:v>0.32402446493699999</c:v>
                </c:pt>
                <c:pt idx="10">
                  <c:v>0.32924601695099998</c:v>
                </c:pt>
                <c:pt idx="11">
                  <c:v>0.33491352642299999</c:v>
                </c:pt>
                <c:pt idx="12">
                  <c:v>0.34037845459600002</c:v>
                </c:pt>
              </c:numCache>
            </c:numRef>
          </c:val>
          <c:smooth val="0"/>
          <c:extLst>
            <c:ext xmlns:c16="http://schemas.microsoft.com/office/drawing/2014/chart" uri="{C3380CC4-5D6E-409C-BE32-E72D297353CC}">
              <c16:uniqueId val="{00000003-F684-4B5E-B392-3C58ED0B2C78}"/>
            </c:ext>
          </c:extLst>
        </c:ser>
        <c:ser>
          <c:idx val="2"/>
          <c:order val="4"/>
          <c:tx>
            <c:strRef>
              <c:f>'[Fiji Scenario Analysis 070420 new.xlsx]Extreme'!$G$144</c:f>
              <c:strCache>
                <c:ptCount val="1"/>
                <c:pt idx="0">
                  <c:v>S2</c:v>
                </c:pt>
              </c:strCache>
            </c:strRef>
          </c:tx>
          <c:spPr>
            <a:ln w="12700" cap="rnd">
              <a:solidFill>
                <a:srgbClr val="92D050"/>
              </a:solidFill>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new.xlsx]Extreme'!$G$149:$G$161</c:f>
              <c:numCache>
                <c:formatCode>0.0%</c:formatCode>
                <c:ptCount val="13"/>
                <c:pt idx="0">
                  <c:v>0.26561747542199998</c:v>
                </c:pt>
                <c:pt idx="1">
                  <c:v>0.297325016198</c:v>
                </c:pt>
                <c:pt idx="2">
                  <c:v>0.31860742126300001</c:v>
                </c:pt>
                <c:pt idx="3">
                  <c:v>0.350526253766</c:v>
                </c:pt>
                <c:pt idx="4">
                  <c:v>0.38167018428499999</c:v>
                </c:pt>
                <c:pt idx="5">
                  <c:v>0.41063907169199998</c:v>
                </c:pt>
                <c:pt idx="6">
                  <c:v>0.43994038728200002</c:v>
                </c:pt>
                <c:pt idx="7">
                  <c:v>0.46779630673200001</c:v>
                </c:pt>
                <c:pt idx="8">
                  <c:v>0.49595110546900001</c:v>
                </c:pt>
                <c:pt idx="9">
                  <c:v>0.52136763963800004</c:v>
                </c:pt>
                <c:pt idx="10">
                  <c:v>0.54140712349700004</c:v>
                </c:pt>
                <c:pt idx="11">
                  <c:v>0.55701692880300002</c:v>
                </c:pt>
                <c:pt idx="12">
                  <c:v>0.56957442362999999</c:v>
                </c:pt>
              </c:numCache>
            </c:numRef>
          </c:val>
          <c:smooth val="0"/>
          <c:extLst>
            <c:ext xmlns:c16="http://schemas.microsoft.com/office/drawing/2014/chart" uri="{C3380CC4-5D6E-409C-BE32-E72D297353CC}">
              <c16:uniqueId val="{00000004-F684-4B5E-B392-3C58ED0B2C78}"/>
            </c:ext>
          </c:extLst>
        </c:ser>
        <c:ser>
          <c:idx val="1"/>
          <c:order val="5"/>
          <c:tx>
            <c:strRef>
              <c:f>'[Fiji Scenario Analysis 070420 new.xlsx]Extreme'!$H$144</c:f>
              <c:strCache>
                <c:ptCount val="1"/>
                <c:pt idx="0">
                  <c:v>S3</c:v>
                </c:pt>
              </c:strCache>
            </c:strRef>
          </c:tx>
          <c:spPr>
            <a:ln w="12700" cap="rnd">
              <a:solidFill>
                <a:srgbClr val="00B0F0"/>
              </a:solidFill>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new.xlsx]Extreme'!$H$149:$H$161</c:f>
              <c:numCache>
                <c:formatCode>0.0%</c:formatCode>
                <c:ptCount val="13"/>
                <c:pt idx="0">
                  <c:v>0.26561747542199998</c:v>
                </c:pt>
                <c:pt idx="1">
                  <c:v>0.30944854174199998</c:v>
                </c:pt>
                <c:pt idx="2">
                  <c:v>0.343632961954</c:v>
                </c:pt>
                <c:pt idx="3">
                  <c:v>0.37385041577200001</c:v>
                </c:pt>
                <c:pt idx="4">
                  <c:v>0.39530729786300001</c:v>
                </c:pt>
                <c:pt idx="5">
                  <c:v>0.41231888158199997</c:v>
                </c:pt>
                <c:pt idx="6">
                  <c:v>0.43047709804899997</c:v>
                </c:pt>
                <c:pt idx="7">
                  <c:v>0.44944989798200002</c:v>
                </c:pt>
                <c:pt idx="8">
                  <c:v>0.47048777215299997</c:v>
                </c:pt>
                <c:pt idx="9">
                  <c:v>0.479839951456</c:v>
                </c:pt>
                <c:pt idx="10">
                  <c:v>0.48951130455199998</c:v>
                </c:pt>
                <c:pt idx="11">
                  <c:v>0.50097807407700001</c:v>
                </c:pt>
                <c:pt idx="12">
                  <c:v>0.50691822766100003</c:v>
                </c:pt>
              </c:numCache>
            </c:numRef>
          </c:val>
          <c:smooth val="0"/>
          <c:extLst>
            <c:ext xmlns:c16="http://schemas.microsoft.com/office/drawing/2014/chart" uri="{C3380CC4-5D6E-409C-BE32-E72D297353CC}">
              <c16:uniqueId val="{00000005-F684-4B5E-B392-3C58ED0B2C78}"/>
            </c:ext>
          </c:extLst>
        </c:ser>
        <c:ser>
          <c:idx val="0"/>
          <c:order val="6"/>
          <c:tx>
            <c:strRef>
              <c:f>'[Fiji Scenario Analysis 070420 new.xlsx]Extreme'!$I$144</c:f>
              <c:strCache>
                <c:ptCount val="1"/>
                <c:pt idx="0">
                  <c:v>S4</c:v>
                </c:pt>
              </c:strCache>
            </c:strRef>
          </c:tx>
          <c:spPr>
            <a:ln w="12700" cap="rnd">
              <a:solidFill>
                <a:srgbClr val="008080"/>
              </a:solidFill>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new.xlsx]Extreme'!$I$149:$I$161</c:f>
              <c:numCache>
                <c:formatCode>0.0%</c:formatCode>
                <c:ptCount val="13"/>
                <c:pt idx="0">
                  <c:v>0.26561747542199998</c:v>
                </c:pt>
                <c:pt idx="1">
                  <c:v>0.31122802533999999</c:v>
                </c:pt>
                <c:pt idx="2">
                  <c:v>0.37306089381700003</c:v>
                </c:pt>
                <c:pt idx="3">
                  <c:v>0.41816994550800002</c:v>
                </c:pt>
                <c:pt idx="4">
                  <c:v>0.46149048519699998</c:v>
                </c:pt>
                <c:pt idx="5">
                  <c:v>0.49946928567799997</c:v>
                </c:pt>
                <c:pt idx="6">
                  <c:v>0.53666198801800002</c:v>
                </c:pt>
                <c:pt idx="7">
                  <c:v>0.57365900838499995</c:v>
                </c:pt>
                <c:pt idx="8">
                  <c:v>0.61163975212699995</c:v>
                </c:pt>
                <c:pt idx="9">
                  <c:v>0.64320612100200003</c:v>
                </c:pt>
                <c:pt idx="10">
                  <c:v>0.67031989900800004</c:v>
                </c:pt>
                <c:pt idx="11">
                  <c:v>0.68926051701799995</c:v>
                </c:pt>
                <c:pt idx="12">
                  <c:v>0.69898201256299997</c:v>
                </c:pt>
              </c:numCache>
            </c:numRef>
          </c:val>
          <c:smooth val="0"/>
          <c:extLst>
            <c:ext xmlns:c16="http://schemas.microsoft.com/office/drawing/2014/chart" uri="{C3380CC4-5D6E-409C-BE32-E72D297353CC}">
              <c16:uniqueId val="{00000006-F684-4B5E-B392-3C58ED0B2C78}"/>
            </c:ext>
          </c:extLst>
        </c:ser>
        <c:ser>
          <c:idx val="7"/>
          <c:order val="7"/>
          <c:tx>
            <c:strRef>
              <c:f>'[Fiji Scenario Analysis 070420 new.xlsx]Extreme'!$J$144</c:f>
              <c:strCache>
                <c:ptCount val="1"/>
                <c:pt idx="0">
                  <c:v>S4_H</c:v>
                </c:pt>
              </c:strCache>
            </c:strRef>
          </c:tx>
          <c:spPr>
            <a:ln w="12700" cap="rnd">
              <a:solidFill>
                <a:srgbClr val="ED7D31"/>
              </a:solidFill>
              <a:prstDash val="dash"/>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new.xlsx]Extreme'!$J$149:$J$161</c:f>
              <c:numCache>
                <c:formatCode>0.0%</c:formatCode>
                <c:ptCount val="13"/>
                <c:pt idx="0">
                  <c:v>0.26561747542199998</c:v>
                </c:pt>
                <c:pt idx="1">
                  <c:v>0.31361139067400001</c:v>
                </c:pt>
                <c:pt idx="2">
                  <c:v>0.369483575249</c:v>
                </c:pt>
                <c:pt idx="3">
                  <c:v>0.41786048925399999</c:v>
                </c:pt>
                <c:pt idx="4">
                  <c:v>0.46533721551500001</c:v>
                </c:pt>
                <c:pt idx="5">
                  <c:v>0.508673233191</c:v>
                </c:pt>
                <c:pt idx="6">
                  <c:v>0.55000078167300004</c:v>
                </c:pt>
                <c:pt idx="7">
                  <c:v>0.59130532766900001</c:v>
                </c:pt>
                <c:pt idx="8">
                  <c:v>0.63308873992400005</c:v>
                </c:pt>
                <c:pt idx="9">
                  <c:v>0.668804356647</c:v>
                </c:pt>
                <c:pt idx="10">
                  <c:v>0.69732157905000003</c:v>
                </c:pt>
                <c:pt idx="11">
                  <c:v>0.72962089297099997</c:v>
                </c:pt>
                <c:pt idx="12">
                  <c:v>0.75757893254899999</c:v>
                </c:pt>
              </c:numCache>
            </c:numRef>
          </c:val>
          <c:smooth val="0"/>
          <c:extLst>
            <c:ext xmlns:c16="http://schemas.microsoft.com/office/drawing/2014/chart" uri="{C3380CC4-5D6E-409C-BE32-E72D297353CC}">
              <c16:uniqueId val="{00000007-F684-4B5E-B392-3C58ED0B2C78}"/>
            </c:ext>
          </c:extLst>
        </c:ser>
        <c:ser>
          <c:idx val="8"/>
          <c:order val="8"/>
          <c:tx>
            <c:strRef>
              <c:f>'[Fiji Scenario Analysis 070420 new.xlsx]Extreme'!$K$144</c:f>
              <c:strCache>
                <c:ptCount val="1"/>
                <c:pt idx="0">
                  <c:v>S4_SDG</c:v>
                </c:pt>
              </c:strCache>
            </c:strRef>
          </c:tx>
          <c:spPr>
            <a:ln w="12700" cap="rnd">
              <a:solidFill>
                <a:srgbClr val="0070C0"/>
              </a:solidFill>
              <a:prstDash val="dash"/>
              <a:round/>
            </a:ln>
            <a:effectLst/>
          </c:spPr>
          <c:marker>
            <c:symbol val="none"/>
          </c:marker>
          <c:cat>
            <c:strRef>
              <c:f>'[Fiji Scenario Analysis 070420 new.xlsx]Extreme'!$B$149:$B$161</c:f>
              <c:strCach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Final</c:v>
                </c:pt>
              </c:strCache>
            </c:strRef>
          </c:cat>
          <c:val>
            <c:numRef>
              <c:f>'[Fiji Scenario Analysis 070420 new.xlsx]Extreme'!$K$149:$K$161</c:f>
              <c:numCache>
                <c:formatCode>0.0%</c:formatCode>
                <c:ptCount val="13"/>
                <c:pt idx="0">
                  <c:v>0.26561747542199998</c:v>
                </c:pt>
                <c:pt idx="1">
                  <c:v>0.32785918913399997</c:v>
                </c:pt>
                <c:pt idx="2">
                  <c:v>0.41473214627799998</c:v>
                </c:pt>
                <c:pt idx="3">
                  <c:v>0.47356306262199999</c:v>
                </c:pt>
                <c:pt idx="4">
                  <c:v>0.52946939568499995</c:v>
                </c:pt>
                <c:pt idx="5">
                  <c:v>0.56800184410999999</c:v>
                </c:pt>
                <c:pt idx="6">
                  <c:v>0.62437639647400001</c:v>
                </c:pt>
                <c:pt idx="7">
                  <c:v>0.67875226806</c:v>
                </c:pt>
                <c:pt idx="8">
                  <c:v>0.72329094109100001</c:v>
                </c:pt>
                <c:pt idx="9">
                  <c:v>0.76058296546399995</c:v>
                </c:pt>
                <c:pt idx="10">
                  <c:v>0.79659257722800003</c:v>
                </c:pt>
                <c:pt idx="11">
                  <c:v>0.82592602074099997</c:v>
                </c:pt>
                <c:pt idx="12">
                  <c:v>0.83402468447</c:v>
                </c:pt>
              </c:numCache>
            </c:numRef>
          </c:val>
          <c:smooth val="0"/>
          <c:extLst>
            <c:ext xmlns:c16="http://schemas.microsoft.com/office/drawing/2014/chart" uri="{C3380CC4-5D6E-409C-BE32-E72D297353CC}">
              <c16:uniqueId val="{00000008-F684-4B5E-B392-3C58ED0B2C78}"/>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in"/>
        <c:minorTickMark val="none"/>
        <c:tickLblPos val="nextTo"/>
        <c:spPr>
          <a:noFill/>
          <a:ln w="9525" cap="flat" cmpd="sng" algn="ctr">
            <a:solidFill>
              <a:sysClr val="windowText" lastClr="000000"/>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Overall</a:t>
                </a:r>
                <a:r>
                  <a:rPr lang="en-AU" baseline="0"/>
                  <a:t> SDG Progress</a:t>
                </a:r>
                <a:endParaRPr lang="en-AU"/>
              </a:p>
            </c:rich>
          </c:tx>
          <c:layout>
            <c:manualLayout>
              <c:xMode val="edge"/>
              <c:yMode val="edge"/>
              <c:x val="6.323104280365476E-3"/>
              <c:y val="0.249358256403294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midCat"/>
        <c:majorUnit val="0.1"/>
      </c:valAx>
      <c:spPr>
        <a:noFill/>
        <a:ln>
          <a:noFill/>
        </a:ln>
        <a:effectLst/>
      </c:spPr>
    </c:plotArea>
    <c:legend>
      <c:legendPos val="b"/>
      <c:layout>
        <c:manualLayout>
          <c:xMode val="edge"/>
          <c:yMode val="edge"/>
          <c:x val="8.7370664961296085E-2"/>
          <c:y val="0.87407708867852196"/>
          <c:w val="0.89999999999999991"/>
          <c:h val="0.11462266654870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13061376334669E-2"/>
          <c:y val="1.5061631693944019E-2"/>
          <c:w val="0.89721350119428833"/>
          <c:h val="0.81328515583860439"/>
        </c:manualLayout>
      </c:layout>
      <c:lineChart>
        <c:grouping val="standard"/>
        <c:varyColors val="0"/>
        <c:ser>
          <c:idx val="6"/>
          <c:order val="0"/>
          <c:tx>
            <c:strRef>
              <c:f>'[Fiji Scenario Analysis 070420 new.xlsx]Dom_rev'!$C$3</c:f>
              <c:strCache>
                <c:ptCount val="1"/>
                <c:pt idx="0">
                  <c:v>BAU</c:v>
                </c:pt>
              </c:strCache>
            </c:strRef>
          </c:tx>
          <c:spPr>
            <a:ln w="12700" cap="rnd">
              <a:solidFill>
                <a:srgbClr val="FFC000"/>
              </a:solidFill>
              <a:prstDash val="solid"/>
              <a:round/>
            </a:ln>
            <a:effectLst/>
          </c:spPr>
          <c:marker>
            <c:symbol val="none"/>
          </c:marker>
          <c:cat>
            <c:numRef>
              <c:f>'[Fiji Scenario Analysis 070420 new.xlsx]Dom_rev'!$B$4:$B$45</c:f>
              <c:numCache>
                <c:formatCode>General</c:formatCod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numCache>
            </c:numRef>
          </c:cat>
          <c:val>
            <c:numRef>
              <c:f>'[Fiji Scenario Analysis 070420 new.xlsx]Dom_rev'!$C$4:$C$45</c:f>
              <c:numCache>
                <c:formatCode>0.0%</c:formatCode>
                <c:ptCount val="42"/>
                <c:pt idx="0">
                  <c:v>0.22315537193400001</c:v>
                </c:pt>
                <c:pt idx="1">
                  <c:v>0.232795205797</c:v>
                </c:pt>
                <c:pt idx="2">
                  <c:v>0.21625097411200001</c:v>
                </c:pt>
                <c:pt idx="3">
                  <c:v>0.22142192120500001</c:v>
                </c:pt>
                <c:pt idx="4">
                  <c:v>0.23779202506200001</c:v>
                </c:pt>
                <c:pt idx="5">
                  <c:v>0.23258642869900001</c:v>
                </c:pt>
                <c:pt idx="6">
                  <c:v>0.217664178496</c:v>
                </c:pt>
                <c:pt idx="7">
                  <c:v>0.23700001332199999</c:v>
                </c:pt>
                <c:pt idx="8">
                  <c:v>0.32227903786700002</c:v>
                </c:pt>
                <c:pt idx="9">
                  <c:v>0.25208299670599998</c:v>
                </c:pt>
                <c:pt idx="10">
                  <c:v>0.237711041481</c:v>
                </c:pt>
                <c:pt idx="11">
                  <c:v>0.21731055576700001</c:v>
                </c:pt>
                <c:pt idx="12">
                  <c:v>0.22662429051999999</c:v>
                </c:pt>
                <c:pt idx="13">
                  <c:v>0.22078035982700001</c:v>
                </c:pt>
                <c:pt idx="14">
                  <c:v>0.21985767902</c:v>
                </c:pt>
                <c:pt idx="15">
                  <c:v>0.21939420893200001</c:v>
                </c:pt>
                <c:pt idx="16">
                  <c:v>0.243816155585</c:v>
                </c:pt>
                <c:pt idx="17">
                  <c:v>0.23537749919500001</c:v>
                </c:pt>
                <c:pt idx="18">
                  <c:v>0.24774414965700001</c:v>
                </c:pt>
                <c:pt idx="19">
                  <c:v>0.23080595925799999</c:v>
                </c:pt>
                <c:pt idx="20">
                  <c:v>0.228926684263</c:v>
                </c:pt>
                <c:pt idx="21">
                  <c:v>0.25229648147299999</c:v>
                </c:pt>
                <c:pt idx="22">
                  <c:v>0.24397641350400001</c:v>
                </c:pt>
                <c:pt idx="23">
                  <c:v>0.26078494995700002</c:v>
                </c:pt>
                <c:pt idx="24">
                  <c:v>0.25965599945000001</c:v>
                </c:pt>
                <c:pt idx="25">
                  <c:v>0.25706726184599998</c:v>
                </c:pt>
                <c:pt idx="26">
                  <c:v>0.25693937616700002</c:v>
                </c:pt>
                <c:pt idx="27">
                  <c:v>0.25683434339799999</c:v>
                </c:pt>
                <c:pt idx="28">
                  <c:v>0.25698871262099998</c:v>
                </c:pt>
                <c:pt idx="29">
                  <c:v>0.25670239982800003</c:v>
                </c:pt>
                <c:pt idx="30">
                  <c:v>0.25739618586700003</c:v>
                </c:pt>
                <c:pt idx="31">
                  <c:v>0.25790177776399997</c:v>
                </c:pt>
                <c:pt idx="32">
                  <c:v>0.25823965488599998</c:v>
                </c:pt>
                <c:pt idx="33">
                  <c:v>0.25843214967400002</c:v>
                </c:pt>
                <c:pt idx="34">
                  <c:v>0.25851990485600002</c:v>
                </c:pt>
                <c:pt idx="35">
                  <c:v>0.25853711469700003</c:v>
                </c:pt>
                <c:pt idx="36">
                  <c:v>0.25835325992500002</c:v>
                </c:pt>
                <c:pt idx="37">
                  <c:v>0.25827316614000001</c:v>
                </c:pt>
                <c:pt idx="38">
                  <c:v>0.25823431207000003</c:v>
                </c:pt>
                <c:pt idx="39">
                  <c:v>0.25822121118000002</c:v>
                </c:pt>
                <c:pt idx="40">
                  <c:v>0.25821843370999997</c:v>
                </c:pt>
                <c:pt idx="41">
                  <c:v>0.25820529563400002</c:v>
                </c:pt>
              </c:numCache>
            </c:numRef>
          </c:val>
          <c:smooth val="0"/>
          <c:extLst>
            <c:ext xmlns:c16="http://schemas.microsoft.com/office/drawing/2014/chart" uri="{C3380CC4-5D6E-409C-BE32-E72D297353CC}">
              <c16:uniqueId val="{00000000-6063-4D66-AFAA-7D118DBD5965}"/>
            </c:ext>
          </c:extLst>
        </c:ser>
        <c:ser>
          <c:idx val="5"/>
          <c:order val="1"/>
          <c:tx>
            <c:strRef>
              <c:f>'[Fiji Scenario Analysis 070420 new.xlsx]Dom_rev'!$D$3</c:f>
              <c:strCache>
                <c:ptCount val="1"/>
                <c:pt idx="0">
                  <c:v>1. GAC</c:v>
                </c:pt>
              </c:strCache>
            </c:strRef>
          </c:tx>
          <c:spPr>
            <a:ln w="12700" cap="rnd">
              <a:solidFill>
                <a:srgbClr val="FF0000"/>
              </a:solidFill>
              <a:prstDash val="solid"/>
              <a:round/>
            </a:ln>
            <a:effectLst/>
          </c:spPr>
          <c:marker>
            <c:symbol val="none"/>
          </c:marker>
          <c:cat>
            <c:numRef>
              <c:f>'[Fiji Scenario Analysis 070420 new.xlsx]Dom_rev'!$B$4:$B$45</c:f>
              <c:numCache>
                <c:formatCode>General</c:formatCod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numCache>
            </c:numRef>
          </c:cat>
          <c:val>
            <c:numRef>
              <c:f>'[Fiji Scenario Analysis 070420 new.xlsx]Dom_rev'!$D$4:$D$45</c:f>
              <c:numCache>
                <c:formatCode>0.0%</c:formatCode>
                <c:ptCount val="42"/>
                <c:pt idx="0">
                  <c:v>0.22315537193400001</c:v>
                </c:pt>
                <c:pt idx="1">
                  <c:v>0.232795205797</c:v>
                </c:pt>
                <c:pt idx="2">
                  <c:v>0.21625097411200001</c:v>
                </c:pt>
                <c:pt idx="3">
                  <c:v>0.22142192120500001</c:v>
                </c:pt>
                <c:pt idx="4">
                  <c:v>0.23779202506200001</c:v>
                </c:pt>
                <c:pt idx="5">
                  <c:v>0.23258642869900001</c:v>
                </c:pt>
                <c:pt idx="6">
                  <c:v>0.217664178496</c:v>
                </c:pt>
                <c:pt idx="7">
                  <c:v>0.23700001332199999</c:v>
                </c:pt>
                <c:pt idx="8">
                  <c:v>0.32227903786700002</c:v>
                </c:pt>
                <c:pt idx="9">
                  <c:v>0.25208299670599998</c:v>
                </c:pt>
                <c:pt idx="10">
                  <c:v>0.237711041481</c:v>
                </c:pt>
                <c:pt idx="11">
                  <c:v>0.21731055576700001</c:v>
                </c:pt>
                <c:pt idx="12">
                  <c:v>0.22662429051999999</c:v>
                </c:pt>
                <c:pt idx="13">
                  <c:v>0.22078035982700001</c:v>
                </c:pt>
                <c:pt idx="14">
                  <c:v>0.21985767902</c:v>
                </c:pt>
                <c:pt idx="15">
                  <c:v>0.21939420893200001</c:v>
                </c:pt>
                <c:pt idx="16">
                  <c:v>0.243816155585</c:v>
                </c:pt>
                <c:pt idx="17">
                  <c:v>0.23537749919500001</c:v>
                </c:pt>
                <c:pt idx="18">
                  <c:v>0.24774414965700001</c:v>
                </c:pt>
                <c:pt idx="19">
                  <c:v>0.23080595925799999</c:v>
                </c:pt>
                <c:pt idx="20">
                  <c:v>0.228926684263</c:v>
                </c:pt>
                <c:pt idx="21">
                  <c:v>0.25229648147299999</c:v>
                </c:pt>
                <c:pt idx="22">
                  <c:v>0.24397641350400001</c:v>
                </c:pt>
                <c:pt idx="23">
                  <c:v>0.26078494995700002</c:v>
                </c:pt>
                <c:pt idx="24">
                  <c:v>0.25965599945000001</c:v>
                </c:pt>
                <c:pt idx="25">
                  <c:v>0.25706726184599998</c:v>
                </c:pt>
                <c:pt idx="26">
                  <c:v>0.25693937616700002</c:v>
                </c:pt>
                <c:pt idx="27">
                  <c:v>0.25683434339799999</c:v>
                </c:pt>
                <c:pt idx="28">
                  <c:v>0.25698871262099998</c:v>
                </c:pt>
                <c:pt idx="29">
                  <c:v>0.25670239982800003</c:v>
                </c:pt>
                <c:pt idx="30">
                  <c:v>0.241938874783</c:v>
                </c:pt>
                <c:pt idx="31">
                  <c:v>0.233582832978</c:v>
                </c:pt>
                <c:pt idx="32">
                  <c:v>0.22577714663199999</c:v>
                </c:pt>
                <c:pt idx="33">
                  <c:v>0.21799750539599999</c:v>
                </c:pt>
                <c:pt idx="34">
                  <c:v>0.21815240518599999</c:v>
                </c:pt>
                <c:pt idx="35">
                  <c:v>0.21808783829799999</c:v>
                </c:pt>
                <c:pt idx="36">
                  <c:v>0.21778465797999999</c:v>
                </c:pt>
                <c:pt idx="37">
                  <c:v>0.21761891910600001</c:v>
                </c:pt>
                <c:pt idx="38">
                  <c:v>0.21753046548300001</c:v>
                </c:pt>
                <c:pt idx="39">
                  <c:v>0.217490964299</c:v>
                </c:pt>
                <c:pt idx="40">
                  <c:v>0.217466896109</c:v>
                </c:pt>
                <c:pt idx="41">
                  <c:v>0.217456063266</c:v>
                </c:pt>
              </c:numCache>
            </c:numRef>
          </c:val>
          <c:smooth val="0"/>
          <c:extLst>
            <c:ext xmlns:c16="http://schemas.microsoft.com/office/drawing/2014/chart" uri="{C3380CC4-5D6E-409C-BE32-E72D297353CC}">
              <c16:uniqueId val="{00000001-6063-4D66-AFAA-7D118DBD5965}"/>
            </c:ext>
          </c:extLst>
        </c:ser>
        <c:ser>
          <c:idx val="4"/>
          <c:order val="2"/>
          <c:tx>
            <c:strRef>
              <c:f>'[Fiji Scenario Analysis 070420 new.xlsx]Dom_rev'!$E$3</c:f>
              <c:strCache>
                <c:ptCount val="1"/>
                <c:pt idx="0">
                  <c:v>2. GE</c:v>
                </c:pt>
              </c:strCache>
            </c:strRef>
          </c:tx>
          <c:spPr>
            <a:ln w="12700" cap="rnd">
              <a:solidFill>
                <a:srgbClr val="7CBF33"/>
              </a:solidFill>
              <a:round/>
            </a:ln>
            <a:effectLst/>
          </c:spPr>
          <c:marker>
            <c:symbol val="none"/>
          </c:marker>
          <c:cat>
            <c:numRef>
              <c:f>'[Fiji Scenario Analysis 070420 new.xlsx]Dom_rev'!$B$4:$B$45</c:f>
              <c:numCache>
                <c:formatCode>General</c:formatCod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numCache>
            </c:numRef>
          </c:cat>
          <c:val>
            <c:numRef>
              <c:f>'[Fiji Scenario Analysis 070420 new.xlsx]Dom_rev'!$E$4:$E$45</c:f>
              <c:numCache>
                <c:formatCode>0.0%</c:formatCode>
                <c:ptCount val="42"/>
                <c:pt idx="0">
                  <c:v>0.22315537193400001</c:v>
                </c:pt>
                <c:pt idx="1">
                  <c:v>0.232795205797</c:v>
                </c:pt>
                <c:pt idx="2">
                  <c:v>0.21625097411200001</c:v>
                </c:pt>
                <c:pt idx="3">
                  <c:v>0.22142192120500001</c:v>
                </c:pt>
                <c:pt idx="4">
                  <c:v>0.23779202506200001</c:v>
                </c:pt>
                <c:pt idx="5">
                  <c:v>0.23258642869900001</c:v>
                </c:pt>
                <c:pt idx="6">
                  <c:v>0.217664178496</c:v>
                </c:pt>
                <c:pt idx="7">
                  <c:v>0.23700001332199999</c:v>
                </c:pt>
                <c:pt idx="8">
                  <c:v>0.32227903786700002</c:v>
                </c:pt>
                <c:pt idx="9">
                  <c:v>0.25208299670599998</c:v>
                </c:pt>
                <c:pt idx="10">
                  <c:v>0.237711041481</c:v>
                </c:pt>
                <c:pt idx="11">
                  <c:v>0.21731055576700001</c:v>
                </c:pt>
                <c:pt idx="12">
                  <c:v>0.22662429051999999</c:v>
                </c:pt>
                <c:pt idx="13">
                  <c:v>0.22078035982700001</c:v>
                </c:pt>
                <c:pt idx="14">
                  <c:v>0.21985767902</c:v>
                </c:pt>
                <c:pt idx="15">
                  <c:v>0.21939420893200001</c:v>
                </c:pt>
                <c:pt idx="16">
                  <c:v>0.243816155585</c:v>
                </c:pt>
                <c:pt idx="17">
                  <c:v>0.23537749919500001</c:v>
                </c:pt>
                <c:pt idx="18">
                  <c:v>0.24774414965700001</c:v>
                </c:pt>
                <c:pt idx="19">
                  <c:v>0.23080595925799999</c:v>
                </c:pt>
                <c:pt idx="20">
                  <c:v>0.228926684263</c:v>
                </c:pt>
                <c:pt idx="21">
                  <c:v>0.25229648147299999</c:v>
                </c:pt>
                <c:pt idx="22">
                  <c:v>0.24397641350400001</c:v>
                </c:pt>
                <c:pt idx="23">
                  <c:v>0.26078494995700002</c:v>
                </c:pt>
                <c:pt idx="24">
                  <c:v>0.25965599945000001</c:v>
                </c:pt>
                <c:pt idx="25">
                  <c:v>0.25706726184599998</c:v>
                </c:pt>
                <c:pt idx="26">
                  <c:v>0.25693937616700002</c:v>
                </c:pt>
                <c:pt idx="27">
                  <c:v>0.25683434339799999</c:v>
                </c:pt>
                <c:pt idx="28">
                  <c:v>0.25698871262099998</c:v>
                </c:pt>
                <c:pt idx="29">
                  <c:v>0.25670239982800003</c:v>
                </c:pt>
                <c:pt idx="30">
                  <c:v>0.25785084305099998</c:v>
                </c:pt>
                <c:pt idx="31">
                  <c:v>0.258351169027</c:v>
                </c:pt>
                <c:pt idx="32">
                  <c:v>0.25873539199399997</c:v>
                </c:pt>
                <c:pt idx="33">
                  <c:v>0.25895475431100001</c:v>
                </c:pt>
                <c:pt idx="34">
                  <c:v>0.25905645908899999</c:v>
                </c:pt>
                <c:pt idx="35">
                  <c:v>0.25908316865800002</c:v>
                </c:pt>
                <c:pt idx="36">
                  <c:v>0.25890671181500002</c:v>
                </c:pt>
                <c:pt idx="37">
                  <c:v>0.25883881401999997</c:v>
                </c:pt>
                <c:pt idx="38">
                  <c:v>0.25880682704199998</c:v>
                </c:pt>
                <c:pt idx="39">
                  <c:v>0.25879736788500002</c:v>
                </c:pt>
                <c:pt idx="40">
                  <c:v>0.25880091087899998</c:v>
                </c:pt>
                <c:pt idx="41">
                  <c:v>0.25881030520999998</c:v>
                </c:pt>
              </c:numCache>
            </c:numRef>
          </c:val>
          <c:smooth val="0"/>
          <c:extLst>
            <c:ext xmlns:c16="http://schemas.microsoft.com/office/drawing/2014/chart" uri="{C3380CC4-5D6E-409C-BE32-E72D297353CC}">
              <c16:uniqueId val="{00000002-6063-4D66-AFAA-7D118DBD5965}"/>
            </c:ext>
          </c:extLst>
        </c:ser>
        <c:ser>
          <c:idx val="3"/>
          <c:order val="3"/>
          <c:tx>
            <c:strRef>
              <c:f>'[Fiji Scenario Analysis 070420 new.xlsx]Dom_rev'!$F$3</c:f>
              <c:strCache>
                <c:ptCount val="1"/>
                <c:pt idx="0">
                  <c:v>3. IG</c:v>
                </c:pt>
              </c:strCache>
            </c:strRef>
          </c:tx>
          <c:spPr>
            <a:ln w="12700" cap="rnd">
              <a:solidFill>
                <a:srgbClr val="00B0F0"/>
              </a:solidFill>
              <a:round/>
            </a:ln>
            <a:effectLst/>
          </c:spPr>
          <c:marker>
            <c:symbol val="none"/>
          </c:marker>
          <c:cat>
            <c:numRef>
              <c:f>'[Fiji Scenario Analysis 070420 new.xlsx]Dom_rev'!$B$4:$B$45</c:f>
              <c:numCache>
                <c:formatCode>General</c:formatCod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numCache>
            </c:numRef>
          </c:cat>
          <c:val>
            <c:numRef>
              <c:f>'[Fiji Scenario Analysis 070420 new.xlsx]Dom_rev'!$F$4:$F$45</c:f>
              <c:numCache>
                <c:formatCode>0.0%</c:formatCode>
                <c:ptCount val="42"/>
                <c:pt idx="0">
                  <c:v>0.22315537193400001</c:v>
                </c:pt>
                <c:pt idx="1">
                  <c:v>0.232795205797</c:v>
                </c:pt>
                <c:pt idx="2">
                  <c:v>0.21625097411200001</c:v>
                </c:pt>
                <c:pt idx="3">
                  <c:v>0.22142192120500001</c:v>
                </c:pt>
                <c:pt idx="4">
                  <c:v>0.23779202506200001</c:v>
                </c:pt>
                <c:pt idx="5">
                  <c:v>0.23258642869900001</c:v>
                </c:pt>
                <c:pt idx="6">
                  <c:v>0.217664178496</c:v>
                </c:pt>
                <c:pt idx="7">
                  <c:v>0.23700001332199999</c:v>
                </c:pt>
                <c:pt idx="8">
                  <c:v>0.32227903786700002</c:v>
                </c:pt>
                <c:pt idx="9">
                  <c:v>0.25208299670599998</c:v>
                </c:pt>
                <c:pt idx="10">
                  <c:v>0.237711041481</c:v>
                </c:pt>
                <c:pt idx="11">
                  <c:v>0.21731055576700001</c:v>
                </c:pt>
                <c:pt idx="12">
                  <c:v>0.22662429051999999</c:v>
                </c:pt>
                <c:pt idx="13">
                  <c:v>0.22078035982700001</c:v>
                </c:pt>
                <c:pt idx="14">
                  <c:v>0.21985767902</c:v>
                </c:pt>
                <c:pt idx="15">
                  <c:v>0.21939420893200001</c:v>
                </c:pt>
                <c:pt idx="16">
                  <c:v>0.243816155585</c:v>
                </c:pt>
                <c:pt idx="17">
                  <c:v>0.23537749919500001</c:v>
                </c:pt>
                <c:pt idx="18">
                  <c:v>0.24774414965700001</c:v>
                </c:pt>
                <c:pt idx="19">
                  <c:v>0.23080595925799999</c:v>
                </c:pt>
                <c:pt idx="20">
                  <c:v>0.228926684263</c:v>
                </c:pt>
                <c:pt idx="21">
                  <c:v>0.25229648147299999</c:v>
                </c:pt>
                <c:pt idx="22">
                  <c:v>0.24397641350400001</c:v>
                </c:pt>
                <c:pt idx="23">
                  <c:v>0.26078494995700002</c:v>
                </c:pt>
                <c:pt idx="24">
                  <c:v>0.25965599945000001</c:v>
                </c:pt>
                <c:pt idx="25">
                  <c:v>0.25706726184599998</c:v>
                </c:pt>
                <c:pt idx="26">
                  <c:v>0.25693937616700002</c:v>
                </c:pt>
                <c:pt idx="27">
                  <c:v>0.25683434339799999</c:v>
                </c:pt>
                <c:pt idx="28">
                  <c:v>0.25698871262099998</c:v>
                </c:pt>
                <c:pt idx="29">
                  <c:v>0.25670239982800003</c:v>
                </c:pt>
                <c:pt idx="30">
                  <c:v>0.27406420874800003</c:v>
                </c:pt>
                <c:pt idx="31">
                  <c:v>0.28254562037699998</c:v>
                </c:pt>
                <c:pt idx="32">
                  <c:v>0.28289913830300001</c:v>
                </c:pt>
                <c:pt idx="33">
                  <c:v>0.28320112744699999</c:v>
                </c:pt>
                <c:pt idx="34">
                  <c:v>0.28336982393499999</c:v>
                </c:pt>
                <c:pt idx="35">
                  <c:v>0.283445687537</c:v>
                </c:pt>
                <c:pt idx="36">
                  <c:v>0.28330529249399999</c:v>
                </c:pt>
                <c:pt idx="37">
                  <c:v>0.28326063528599998</c:v>
                </c:pt>
                <c:pt idx="38">
                  <c:v>0.28325400298800002</c:v>
                </c:pt>
                <c:pt idx="39">
                  <c:v>0.28327024895000003</c:v>
                </c:pt>
                <c:pt idx="40">
                  <c:v>0.28328556444800002</c:v>
                </c:pt>
                <c:pt idx="41">
                  <c:v>0.28333464415499998</c:v>
                </c:pt>
              </c:numCache>
            </c:numRef>
          </c:val>
          <c:smooth val="0"/>
          <c:extLst>
            <c:ext xmlns:c16="http://schemas.microsoft.com/office/drawing/2014/chart" uri="{C3380CC4-5D6E-409C-BE32-E72D297353CC}">
              <c16:uniqueId val="{00000003-6063-4D66-AFAA-7D118DBD5965}"/>
            </c:ext>
          </c:extLst>
        </c:ser>
        <c:ser>
          <c:idx val="2"/>
          <c:order val="4"/>
          <c:tx>
            <c:strRef>
              <c:f>'[Fiji Scenario Analysis 070420 new.xlsx]Dom_rev'!$G$3</c:f>
              <c:strCache>
                <c:ptCount val="1"/>
                <c:pt idx="0">
                  <c:v>4. ST</c:v>
                </c:pt>
              </c:strCache>
            </c:strRef>
          </c:tx>
          <c:spPr>
            <a:ln w="12700" cap="rnd">
              <a:solidFill>
                <a:srgbClr val="008080"/>
              </a:solidFill>
              <a:round/>
            </a:ln>
            <a:effectLst/>
          </c:spPr>
          <c:marker>
            <c:symbol val="none"/>
          </c:marker>
          <c:cat>
            <c:numRef>
              <c:f>'[Fiji Scenario Analysis 070420 new.xlsx]Dom_rev'!$B$4:$B$45</c:f>
              <c:numCache>
                <c:formatCode>General</c:formatCod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numCache>
            </c:numRef>
          </c:cat>
          <c:val>
            <c:numRef>
              <c:f>'[Fiji Scenario Analysis 070420 new.xlsx]Dom_rev'!$G$4:$G$45</c:f>
              <c:numCache>
                <c:formatCode>0.0%</c:formatCode>
                <c:ptCount val="42"/>
                <c:pt idx="0">
                  <c:v>0.22315537193400001</c:v>
                </c:pt>
                <c:pt idx="1">
                  <c:v>0.232795205797</c:v>
                </c:pt>
                <c:pt idx="2">
                  <c:v>0.21625097411200001</c:v>
                </c:pt>
                <c:pt idx="3">
                  <c:v>0.22142192120500001</c:v>
                </c:pt>
                <c:pt idx="4">
                  <c:v>0.23779202506200001</c:v>
                </c:pt>
                <c:pt idx="5">
                  <c:v>0.23258642869900001</c:v>
                </c:pt>
                <c:pt idx="6">
                  <c:v>0.217664178496</c:v>
                </c:pt>
                <c:pt idx="7">
                  <c:v>0.23700001332199999</c:v>
                </c:pt>
                <c:pt idx="8">
                  <c:v>0.32227903786700002</c:v>
                </c:pt>
                <c:pt idx="9">
                  <c:v>0.25208299670599998</c:v>
                </c:pt>
                <c:pt idx="10">
                  <c:v>0.237711041481</c:v>
                </c:pt>
                <c:pt idx="11">
                  <c:v>0.21731055576700001</c:v>
                </c:pt>
                <c:pt idx="12">
                  <c:v>0.22662429051999999</c:v>
                </c:pt>
                <c:pt idx="13">
                  <c:v>0.22078035982700001</c:v>
                </c:pt>
                <c:pt idx="14">
                  <c:v>0.21985767902</c:v>
                </c:pt>
                <c:pt idx="15">
                  <c:v>0.21939420893200001</c:v>
                </c:pt>
                <c:pt idx="16">
                  <c:v>0.243816155585</c:v>
                </c:pt>
                <c:pt idx="17">
                  <c:v>0.23537749919500001</c:v>
                </c:pt>
                <c:pt idx="18">
                  <c:v>0.24774414965700001</c:v>
                </c:pt>
                <c:pt idx="19">
                  <c:v>0.23080595925799999</c:v>
                </c:pt>
                <c:pt idx="20">
                  <c:v>0.228926684263</c:v>
                </c:pt>
                <c:pt idx="21">
                  <c:v>0.25229648147299999</c:v>
                </c:pt>
                <c:pt idx="22">
                  <c:v>0.24397641350400001</c:v>
                </c:pt>
                <c:pt idx="23">
                  <c:v>0.26078494995700002</c:v>
                </c:pt>
                <c:pt idx="24">
                  <c:v>0.25965599945000001</c:v>
                </c:pt>
                <c:pt idx="25">
                  <c:v>0.25706726184599998</c:v>
                </c:pt>
                <c:pt idx="26">
                  <c:v>0.25693937616700002</c:v>
                </c:pt>
                <c:pt idx="27">
                  <c:v>0.25683434339799999</c:v>
                </c:pt>
                <c:pt idx="28">
                  <c:v>0.25698871262099998</c:v>
                </c:pt>
                <c:pt idx="29">
                  <c:v>0.25670239982800003</c:v>
                </c:pt>
                <c:pt idx="30">
                  <c:v>0.28232244399</c:v>
                </c:pt>
                <c:pt idx="31">
                  <c:v>0.29066449841600001</c:v>
                </c:pt>
                <c:pt idx="32">
                  <c:v>0.29888577783699999</c:v>
                </c:pt>
                <c:pt idx="33">
                  <c:v>0.30314038239000002</c:v>
                </c:pt>
                <c:pt idx="34">
                  <c:v>0.30743086895600003</c:v>
                </c:pt>
                <c:pt idx="35">
                  <c:v>0.30753640758599998</c:v>
                </c:pt>
                <c:pt idx="36">
                  <c:v>0.30743403557299998</c:v>
                </c:pt>
                <c:pt idx="37">
                  <c:v>0.30741971464899998</c:v>
                </c:pt>
                <c:pt idx="38">
                  <c:v>0.30742985720900001</c:v>
                </c:pt>
                <c:pt idx="39">
                  <c:v>0.30745500965200001</c:v>
                </c:pt>
                <c:pt idx="40">
                  <c:v>0.30748781715599999</c:v>
                </c:pt>
                <c:pt idx="41">
                  <c:v>0.307544633279</c:v>
                </c:pt>
              </c:numCache>
            </c:numRef>
          </c:val>
          <c:smooth val="0"/>
          <c:extLst>
            <c:ext xmlns:c16="http://schemas.microsoft.com/office/drawing/2014/chart" uri="{C3380CC4-5D6E-409C-BE32-E72D297353CC}">
              <c16:uniqueId val="{00000004-6063-4D66-AFAA-7D118DBD5965}"/>
            </c:ext>
          </c:extLst>
        </c:ser>
        <c:ser>
          <c:idx val="1"/>
          <c:order val="5"/>
          <c:tx>
            <c:strRef>
              <c:f>'[Fiji Scenario Analysis 070420 new.xlsx]Dom_rev'!$H$3</c:f>
              <c:strCache>
                <c:ptCount val="1"/>
                <c:pt idx="0">
                  <c:v>5. ST_CLIMATE</c:v>
                </c:pt>
              </c:strCache>
            </c:strRef>
          </c:tx>
          <c:spPr>
            <a:ln w="12700" cap="rnd">
              <a:solidFill>
                <a:srgbClr val="ED7D31"/>
              </a:solidFill>
              <a:prstDash val="sysDash"/>
              <a:round/>
            </a:ln>
            <a:effectLst/>
          </c:spPr>
          <c:marker>
            <c:symbol val="none"/>
          </c:marker>
          <c:cat>
            <c:numRef>
              <c:f>'[Fiji Scenario Analysis 070420 new.xlsx]Dom_rev'!$B$4:$B$45</c:f>
              <c:numCache>
                <c:formatCode>General</c:formatCod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numCache>
            </c:numRef>
          </c:cat>
          <c:val>
            <c:numRef>
              <c:f>'[Fiji Scenario Analysis 070420 new.xlsx]Dom_rev'!$H$4:$H$45</c:f>
              <c:numCache>
                <c:formatCode>0.0%</c:formatCode>
                <c:ptCount val="42"/>
                <c:pt idx="0">
                  <c:v>0.22315537193400001</c:v>
                </c:pt>
                <c:pt idx="1">
                  <c:v>0.232795205797</c:v>
                </c:pt>
                <c:pt idx="2">
                  <c:v>0.21625097411200001</c:v>
                </c:pt>
                <c:pt idx="3">
                  <c:v>0.22142192120500001</c:v>
                </c:pt>
                <c:pt idx="4">
                  <c:v>0.23779202506200001</c:v>
                </c:pt>
                <c:pt idx="5">
                  <c:v>0.23258642869900001</c:v>
                </c:pt>
                <c:pt idx="6">
                  <c:v>0.217664178496</c:v>
                </c:pt>
                <c:pt idx="7">
                  <c:v>0.23700001332199999</c:v>
                </c:pt>
                <c:pt idx="8">
                  <c:v>0.32227903786700002</c:v>
                </c:pt>
                <c:pt idx="9">
                  <c:v>0.25208299670599998</c:v>
                </c:pt>
                <c:pt idx="10">
                  <c:v>0.237711041481</c:v>
                </c:pt>
                <c:pt idx="11">
                  <c:v>0.21731055576700001</c:v>
                </c:pt>
                <c:pt idx="12">
                  <c:v>0.22662429051999999</c:v>
                </c:pt>
                <c:pt idx="13">
                  <c:v>0.22078035982700001</c:v>
                </c:pt>
                <c:pt idx="14">
                  <c:v>0.21985767902</c:v>
                </c:pt>
                <c:pt idx="15">
                  <c:v>0.21939420893200001</c:v>
                </c:pt>
                <c:pt idx="16">
                  <c:v>0.243816155585</c:v>
                </c:pt>
                <c:pt idx="17">
                  <c:v>0.23537749919500001</c:v>
                </c:pt>
                <c:pt idx="18">
                  <c:v>0.24774414965700001</c:v>
                </c:pt>
                <c:pt idx="19">
                  <c:v>0.23080595925799999</c:v>
                </c:pt>
                <c:pt idx="20">
                  <c:v>0.228926684263</c:v>
                </c:pt>
                <c:pt idx="21">
                  <c:v>0.25229648147299999</c:v>
                </c:pt>
                <c:pt idx="22">
                  <c:v>0.24397641350400001</c:v>
                </c:pt>
                <c:pt idx="23">
                  <c:v>0.26078494995700002</c:v>
                </c:pt>
                <c:pt idx="24">
                  <c:v>0.25965599945000001</c:v>
                </c:pt>
                <c:pt idx="25">
                  <c:v>0.25706726184599998</c:v>
                </c:pt>
                <c:pt idx="26">
                  <c:v>0.25693937616700002</c:v>
                </c:pt>
                <c:pt idx="27">
                  <c:v>0.25683434339799999</c:v>
                </c:pt>
                <c:pt idx="28">
                  <c:v>0.25698871262099998</c:v>
                </c:pt>
                <c:pt idx="29">
                  <c:v>0.25670239982800003</c:v>
                </c:pt>
                <c:pt idx="30">
                  <c:v>0.28652733780900003</c:v>
                </c:pt>
                <c:pt idx="31">
                  <c:v>0.301231010493</c:v>
                </c:pt>
                <c:pt idx="32">
                  <c:v>0.31595555269699999</c:v>
                </c:pt>
                <c:pt idx="33">
                  <c:v>0.32444630327599999</c:v>
                </c:pt>
                <c:pt idx="34">
                  <c:v>0.33251460282200002</c:v>
                </c:pt>
                <c:pt idx="35">
                  <c:v>0.332506217577</c:v>
                </c:pt>
                <c:pt idx="36">
                  <c:v>0.33241923629499998</c:v>
                </c:pt>
                <c:pt idx="37">
                  <c:v>0.33240073623600003</c:v>
                </c:pt>
                <c:pt idx="38">
                  <c:v>0.33240620589999997</c:v>
                </c:pt>
                <c:pt idx="39">
                  <c:v>0.33242708811299998</c:v>
                </c:pt>
                <c:pt idx="40">
                  <c:v>0.33245660027500001</c:v>
                </c:pt>
                <c:pt idx="41">
                  <c:v>0.33250964460999999</c:v>
                </c:pt>
              </c:numCache>
            </c:numRef>
          </c:val>
          <c:smooth val="0"/>
          <c:extLst>
            <c:ext xmlns:c16="http://schemas.microsoft.com/office/drawing/2014/chart" uri="{C3380CC4-5D6E-409C-BE32-E72D297353CC}">
              <c16:uniqueId val="{00000005-6063-4D66-AFAA-7D118DBD5965}"/>
            </c:ext>
          </c:extLst>
        </c:ser>
        <c:ser>
          <c:idx val="0"/>
          <c:order val="6"/>
          <c:tx>
            <c:strRef>
              <c:f>'[Fiji Scenario Analysis 070420 new.xlsx]Dom_rev'!$I$3</c:f>
              <c:strCache>
                <c:ptCount val="1"/>
                <c:pt idx="0">
                  <c:v>6. ST_SDG</c:v>
                </c:pt>
              </c:strCache>
            </c:strRef>
          </c:tx>
          <c:spPr>
            <a:ln w="12700" cap="rnd">
              <a:solidFill>
                <a:srgbClr val="4472C4"/>
              </a:solidFill>
              <a:prstDash val="dash"/>
              <a:round/>
            </a:ln>
            <a:effectLst/>
          </c:spPr>
          <c:marker>
            <c:symbol val="none"/>
          </c:marker>
          <c:cat>
            <c:numRef>
              <c:f>'[Fiji Scenario Analysis 070420 new.xlsx]Dom_rev'!$B$4:$B$45</c:f>
              <c:numCache>
                <c:formatCode>General</c:formatCod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numCache>
            </c:numRef>
          </c:cat>
          <c:val>
            <c:numRef>
              <c:f>'[Fiji Scenario Analysis 070420 new.xlsx]Dom_rev'!$I$4:$I$45</c:f>
              <c:numCache>
                <c:formatCode>0.0%</c:formatCode>
                <c:ptCount val="42"/>
                <c:pt idx="0">
                  <c:v>0.22315537193400001</c:v>
                </c:pt>
                <c:pt idx="1">
                  <c:v>0.232795205797</c:v>
                </c:pt>
                <c:pt idx="2">
                  <c:v>0.21625097411200001</c:v>
                </c:pt>
                <c:pt idx="3">
                  <c:v>0.22142192120500001</c:v>
                </c:pt>
                <c:pt idx="4">
                  <c:v>0.23779202506200001</c:v>
                </c:pt>
                <c:pt idx="5">
                  <c:v>0.23258642869900001</c:v>
                </c:pt>
                <c:pt idx="6">
                  <c:v>0.217664178496</c:v>
                </c:pt>
                <c:pt idx="7">
                  <c:v>0.23700001332199999</c:v>
                </c:pt>
                <c:pt idx="8">
                  <c:v>0.32227903786700002</c:v>
                </c:pt>
                <c:pt idx="9">
                  <c:v>0.25208299670599998</c:v>
                </c:pt>
                <c:pt idx="10">
                  <c:v>0.237711041481</c:v>
                </c:pt>
                <c:pt idx="11">
                  <c:v>0.21731055576700001</c:v>
                </c:pt>
                <c:pt idx="12">
                  <c:v>0.22662429051999999</c:v>
                </c:pt>
                <c:pt idx="13">
                  <c:v>0.22078035982700001</c:v>
                </c:pt>
                <c:pt idx="14">
                  <c:v>0.21985767902</c:v>
                </c:pt>
                <c:pt idx="15">
                  <c:v>0.21939420893200001</c:v>
                </c:pt>
                <c:pt idx="16">
                  <c:v>0.243816155585</c:v>
                </c:pt>
                <c:pt idx="17">
                  <c:v>0.23537749919500001</c:v>
                </c:pt>
                <c:pt idx="18">
                  <c:v>0.24774414965700001</c:v>
                </c:pt>
                <c:pt idx="19">
                  <c:v>0.23080595925799999</c:v>
                </c:pt>
                <c:pt idx="20">
                  <c:v>0.228926684263</c:v>
                </c:pt>
                <c:pt idx="21">
                  <c:v>0.25229648147299999</c:v>
                </c:pt>
                <c:pt idx="22">
                  <c:v>0.24397641350400001</c:v>
                </c:pt>
                <c:pt idx="23">
                  <c:v>0.26078494995700002</c:v>
                </c:pt>
                <c:pt idx="24">
                  <c:v>0.25965599945000001</c:v>
                </c:pt>
                <c:pt idx="25">
                  <c:v>0.25706726184599998</c:v>
                </c:pt>
                <c:pt idx="26">
                  <c:v>0.25693937616700002</c:v>
                </c:pt>
                <c:pt idx="27">
                  <c:v>0.25683434339799999</c:v>
                </c:pt>
                <c:pt idx="28">
                  <c:v>0.25698871262099998</c:v>
                </c:pt>
                <c:pt idx="29">
                  <c:v>0.25670239982800003</c:v>
                </c:pt>
                <c:pt idx="30">
                  <c:v>0.29285396515200002</c:v>
                </c:pt>
                <c:pt idx="31">
                  <c:v>0.31029616716899999</c:v>
                </c:pt>
                <c:pt idx="32">
                  <c:v>0.32866718932099998</c:v>
                </c:pt>
                <c:pt idx="33">
                  <c:v>0.34684072785600001</c:v>
                </c:pt>
                <c:pt idx="34">
                  <c:v>0.35661752644099998</c:v>
                </c:pt>
                <c:pt idx="35">
                  <c:v>0.36684561596800003</c:v>
                </c:pt>
                <c:pt idx="36">
                  <c:v>0.37403271469900001</c:v>
                </c:pt>
                <c:pt idx="37">
                  <c:v>0.37838278574599998</c:v>
                </c:pt>
                <c:pt idx="38">
                  <c:v>0.38249932917200002</c:v>
                </c:pt>
                <c:pt idx="39">
                  <c:v>0.38244090793199997</c:v>
                </c:pt>
                <c:pt idx="40">
                  <c:v>0.38242289716200001</c:v>
                </c:pt>
                <c:pt idx="41">
                  <c:v>0.38246599953999999</c:v>
                </c:pt>
              </c:numCache>
            </c:numRef>
          </c:val>
          <c:smooth val="0"/>
          <c:extLst>
            <c:ext xmlns:c16="http://schemas.microsoft.com/office/drawing/2014/chart" uri="{C3380CC4-5D6E-409C-BE32-E72D297353CC}">
              <c16:uniqueId val="{00000006-6063-4D66-AFAA-7D118DBD5965}"/>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Domestic Revenue as Share of GDP (%)</a:t>
                </a:r>
              </a:p>
            </c:rich>
          </c:tx>
          <c:layout>
            <c:manualLayout>
              <c:xMode val="edge"/>
              <c:yMode val="edge"/>
              <c:x val="1.1857860697857466E-2"/>
              <c:y val="0.243854465835749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3038194444445E-2"/>
          <c:y val="1.7970253718285215E-2"/>
          <c:w val="0.88993975694444449"/>
          <c:h val="0.80162500000000003"/>
        </c:manualLayout>
      </c:layout>
      <c:lineChart>
        <c:grouping val="standard"/>
        <c:varyColors val="0"/>
        <c:ser>
          <c:idx val="6"/>
          <c:order val="0"/>
          <c:tx>
            <c:strRef>
              <c:f>'[Fiji Scenario Analysis 070420 new.xlsx]Rev_grants'!$B$3</c:f>
              <c:strCache>
                <c:ptCount val="1"/>
                <c:pt idx="0">
                  <c:v>BAU</c:v>
                </c:pt>
              </c:strCache>
            </c:strRef>
          </c:tx>
          <c:spPr>
            <a:ln w="12700" cap="rnd">
              <a:solidFill>
                <a:srgbClr val="FFC000"/>
              </a:solidFill>
              <a:prstDash val="solid"/>
              <a:round/>
            </a:ln>
            <a:effectLst/>
          </c:spPr>
          <c:marker>
            <c:symbol val="none"/>
          </c:marker>
          <c:cat>
            <c:strRef>
              <c:f>'[Fiji Scenario Analysis 070420 new.xlsx]Rev_grants'!$A$4:$A$45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new.xlsx]Rev_grants'!$B$4:$B$45</c:f>
              <c:numCache>
                <c:formatCode>0.0%</c:formatCode>
                <c:ptCount val="42"/>
                <c:pt idx="0">
                  <c:v>0.26023791453299999</c:v>
                </c:pt>
                <c:pt idx="1">
                  <c:v>0.26517509398400002</c:v>
                </c:pt>
                <c:pt idx="2">
                  <c:v>0.25765291084899999</c:v>
                </c:pt>
                <c:pt idx="3">
                  <c:v>0.25885498345000002</c:v>
                </c:pt>
                <c:pt idx="4">
                  <c:v>0.26004098379399998</c:v>
                </c:pt>
                <c:pt idx="5">
                  <c:v>0.25512105624600001</c:v>
                </c:pt>
                <c:pt idx="6">
                  <c:v>0.23963887985900001</c:v>
                </c:pt>
                <c:pt idx="7">
                  <c:v>0.25825566947299999</c:v>
                </c:pt>
                <c:pt idx="8">
                  <c:v>0.34454524307399997</c:v>
                </c:pt>
                <c:pt idx="9">
                  <c:v>0.27020727490899998</c:v>
                </c:pt>
                <c:pt idx="10">
                  <c:v>0.25515072712699999</c:v>
                </c:pt>
                <c:pt idx="11">
                  <c:v>0.233080898551</c:v>
                </c:pt>
                <c:pt idx="12">
                  <c:v>0.24516605154500001</c:v>
                </c:pt>
                <c:pt idx="13">
                  <c:v>0.24290730942399999</c:v>
                </c:pt>
                <c:pt idx="14">
                  <c:v>0.24388258694699999</c:v>
                </c:pt>
                <c:pt idx="15">
                  <c:v>0.24137117666999999</c:v>
                </c:pt>
                <c:pt idx="16">
                  <c:v>0.26180007872</c:v>
                </c:pt>
                <c:pt idx="17">
                  <c:v>0.25031985359300002</c:v>
                </c:pt>
                <c:pt idx="18">
                  <c:v>0.26058770552999999</c:v>
                </c:pt>
                <c:pt idx="19">
                  <c:v>0.254044902824</c:v>
                </c:pt>
                <c:pt idx="20">
                  <c:v>0.25307574221700002</c:v>
                </c:pt>
                <c:pt idx="21">
                  <c:v>0.27226976218400001</c:v>
                </c:pt>
                <c:pt idx="22">
                  <c:v>0.27050443725599999</c:v>
                </c:pt>
                <c:pt idx="23">
                  <c:v>0.28255494671499998</c:v>
                </c:pt>
                <c:pt idx="24">
                  <c:v>0.28074022503599999</c:v>
                </c:pt>
                <c:pt idx="25">
                  <c:v>0.28040556515600001</c:v>
                </c:pt>
                <c:pt idx="26">
                  <c:v>0.280277679477</c:v>
                </c:pt>
                <c:pt idx="27">
                  <c:v>0.28017264670800002</c:v>
                </c:pt>
                <c:pt idx="28">
                  <c:v>0.28032701593100001</c:v>
                </c:pt>
                <c:pt idx="29">
                  <c:v>0.280040703138</c:v>
                </c:pt>
                <c:pt idx="30">
                  <c:v>0.28073448917799998</c:v>
                </c:pt>
                <c:pt idx="31">
                  <c:v>0.281240081074</c:v>
                </c:pt>
                <c:pt idx="32">
                  <c:v>0.28157795819600001</c:v>
                </c:pt>
                <c:pt idx="33">
                  <c:v>0.281770452984</c:v>
                </c:pt>
                <c:pt idx="34">
                  <c:v>0.28185820816599999</c:v>
                </c:pt>
                <c:pt idx="35">
                  <c:v>0.28187541800799998</c:v>
                </c:pt>
                <c:pt idx="36">
                  <c:v>0.28169156323599998</c:v>
                </c:pt>
                <c:pt idx="37">
                  <c:v>0.28161146944999998</c:v>
                </c:pt>
                <c:pt idx="38">
                  <c:v>0.28157261538</c:v>
                </c:pt>
                <c:pt idx="39">
                  <c:v>0.28155951449</c:v>
                </c:pt>
                <c:pt idx="40">
                  <c:v>0.28155673702</c:v>
                </c:pt>
                <c:pt idx="41">
                  <c:v>0.281543598944</c:v>
                </c:pt>
              </c:numCache>
            </c:numRef>
          </c:val>
          <c:smooth val="0"/>
          <c:extLst>
            <c:ext xmlns:c16="http://schemas.microsoft.com/office/drawing/2014/chart" uri="{C3380CC4-5D6E-409C-BE32-E72D297353CC}">
              <c16:uniqueId val="{00000000-5078-4ED9-B8D1-35A5D788FE73}"/>
            </c:ext>
          </c:extLst>
        </c:ser>
        <c:ser>
          <c:idx val="5"/>
          <c:order val="1"/>
          <c:tx>
            <c:strRef>
              <c:f>'[Fiji Scenario Analysis 070420 new.xlsx]Rev_grants'!$C$3</c:f>
              <c:strCache>
                <c:ptCount val="1"/>
                <c:pt idx="0">
                  <c:v>1. GAC</c:v>
                </c:pt>
              </c:strCache>
            </c:strRef>
          </c:tx>
          <c:spPr>
            <a:ln w="12700" cap="rnd">
              <a:solidFill>
                <a:srgbClr val="FF0000"/>
              </a:solidFill>
              <a:prstDash val="solid"/>
              <a:round/>
            </a:ln>
            <a:effectLst/>
          </c:spPr>
          <c:marker>
            <c:symbol val="none"/>
          </c:marker>
          <c:cat>
            <c:strRef>
              <c:f>'[Fiji Scenario Analysis 070420 new.xlsx]Rev_grants'!$A$4:$A$45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new.xlsx]Rev_grants'!$C$4:$C$45</c:f>
              <c:numCache>
                <c:formatCode>0.0%</c:formatCode>
                <c:ptCount val="42"/>
                <c:pt idx="0">
                  <c:v>0.26023791453299999</c:v>
                </c:pt>
                <c:pt idx="1">
                  <c:v>0.26517509398400002</c:v>
                </c:pt>
                <c:pt idx="2">
                  <c:v>0.25765291084899999</c:v>
                </c:pt>
                <c:pt idx="3">
                  <c:v>0.25885498345000002</c:v>
                </c:pt>
                <c:pt idx="4">
                  <c:v>0.26004098379399998</c:v>
                </c:pt>
                <c:pt idx="5">
                  <c:v>0.25512105624600001</c:v>
                </c:pt>
                <c:pt idx="6">
                  <c:v>0.23963887985900001</c:v>
                </c:pt>
                <c:pt idx="7">
                  <c:v>0.25825566947299999</c:v>
                </c:pt>
                <c:pt idx="8">
                  <c:v>0.34454524307399997</c:v>
                </c:pt>
                <c:pt idx="9">
                  <c:v>0.27020727490899998</c:v>
                </c:pt>
                <c:pt idx="10">
                  <c:v>0.25515072712699999</c:v>
                </c:pt>
                <c:pt idx="11">
                  <c:v>0.233080898551</c:v>
                </c:pt>
                <c:pt idx="12">
                  <c:v>0.24516605154500001</c:v>
                </c:pt>
                <c:pt idx="13">
                  <c:v>0.24290730942399999</c:v>
                </c:pt>
                <c:pt idx="14">
                  <c:v>0.24388258694699999</c:v>
                </c:pt>
                <c:pt idx="15">
                  <c:v>0.24137117666999999</c:v>
                </c:pt>
                <c:pt idx="16">
                  <c:v>0.26180007872</c:v>
                </c:pt>
                <c:pt idx="17">
                  <c:v>0.25031985359300002</c:v>
                </c:pt>
                <c:pt idx="18">
                  <c:v>0.26058770552999999</c:v>
                </c:pt>
                <c:pt idx="19">
                  <c:v>0.254044902824</c:v>
                </c:pt>
                <c:pt idx="20">
                  <c:v>0.25307574221700002</c:v>
                </c:pt>
                <c:pt idx="21">
                  <c:v>0.27226976218400001</c:v>
                </c:pt>
                <c:pt idx="22">
                  <c:v>0.27050443725599999</c:v>
                </c:pt>
                <c:pt idx="23">
                  <c:v>0.28255494671499998</c:v>
                </c:pt>
                <c:pt idx="24">
                  <c:v>0.28074022503599999</c:v>
                </c:pt>
                <c:pt idx="25">
                  <c:v>0.28040556515600001</c:v>
                </c:pt>
                <c:pt idx="26">
                  <c:v>0.280277679477</c:v>
                </c:pt>
                <c:pt idx="27">
                  <c:v>0.28017264670800002</c:v>
                </c:pt>
                <c:pt idx="28">
                  <c:v>0.28032701593100001</c:v>
                </c:pt>
                <c:pt idx="29">
                  <c:v>0.280040703138</c:v>
                </c:pt>
                <c:pt idx="30">
                  <c:v>0.26122383666999999</c:v>
                </c:pt>
                <c:pt idx="31">
                  <c:v>0.25084112415299997</c:v>
                </c:pt>
                <c:pt idx="32">
                  <c:v>0.24100876709399999</c:v>
                </c:pt>
                <c:pt idx="33">
                  <c:v>0.23322912585800001</c:v>
                </c:pt>
                <c:pt idx="34">
                  <c:v>0.23338402564800001</c:v>
                </c:pt>
                <c:pt idx="35">
                  <c:v>0.23331945875999999</c:v>
                </c:pt>
                <c:pt idx="36">
                  <c:v>0.23301627844200001</c:v>
                </c:pt>
                <c:pt idx="37">
                  <c:v>0.232850539568</c:v>
                </c:pt>
                <c:pt idx="38">
                  <c:v>0.232762085945</c:v>
                </c:pt>
                <c:pt idx="39">
                  <c:v>0.232722584761</c:v>
                </c:pt>
                <c:pt idx="40">
                  <c:v>0.23269851657099999</c:v>
                </c:pt>
                <c:pt idx="41">
                  <c:v>0.232687683728</c:v>
                </c:pt>
              </c:numCache>
            </c:numRef>
          </c:val>
          <c:smooth val="0"/>
          <c:extLst>
            <c:ext xmlns:c16="http://schemas.microsoft.com/office/drawing/2014/chart" uri="{C3380CC4-5D6E-409C-BE32-E72D297353CC}">
              <c16:uniqueId val="{00000001-5078-4ED9-B8D1-35A5D788FE73}"/>
            </c:ext>
          </c:extLst>
        </c:ser>
        <c:ser>
          <c:idx val="4"/>
          <c:order val="2"/>
          <c:tx>
            <c:strRef>
              <c:f>'[Fiji Scenario Analysis 070420 new.xlsx]Rev_grants'!$D$3</c:f>
              <c:strCache>
                <c:ptCount val="1"/>
                <c:pt idx="0">
                  <c:v>2. GE</c:v>
                </c:pt>
              </c:strCache>
            </c:strRef>
          </c:tx>
          <c:spPr>
            <a:ln w="12700" cap="rnd">
              <a:solidFill>
                <a:srgbClr val="7CBF33"/>
              </a:solidFill>
              <a:round/>
            </a:ln>
            <a:effectLst/>
          </c:spPr>
          <c:marker>
            <c:symbol val="none"/>
          </c:marker>
          <c:cat>
            <c:strRef>
              <c:f>'[Fiji Scenario Analysis 070420 new.xlsx]Rev_grants'!$A$4:$A$45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new.xlsx]Rev_grants'!$D$4:$D$45</c:f>
              <c:numCache>
                <c:formatCode>0.0%</c:formatCode>
                <c:ptCount val="42"/>
                <c:pt idx="0">
                  <c:v>0.26023791453299999</c:v>
                </c:pt>
                <c:pt idx="1">
                  <c:v>0.26517509398400002</c:v>
                </c:pt>
                <c:pt idx="2">
                  <c:v>0.25765291084899999</c:v>
                </c:pt>
                <c:pt idx="3">
                  <c:v>0.25885498345000002</c:v>
                </c:pt>
                <c:pt idx="4">
                  <c:v>0.26004098379399998</c:v>
                </c:pt>
                <c:pt idx="5">
                  <c:v>0.25512105624600001</c:v>
                </c:pt>
                <c:pt idx="6">
                  <c:v>0.23963887985900001</c:v>
                </c:pt>
                <c:pt idx="7">
                  <c:v>0.25825566947299999</c:v>
                </c:pt>
                <c:pt idx="8">
                  <c:v>0.34454524307399997</c:v>
                </c:pt>
                <c:pt idx="9">
                  <c:v>0.27020727490899998</c:v>
                </c:pt>
                <c:pt idx="10">
                  <c:v>0.25515072712699999</c:v>
                </c:pt>
                <c:pt idx="11">
                  <c:v>0.233080898551</c:v>
                </c:pt>
                <c:pt idx="12">
                  <c:v>0.24516605154500001</c:v>
                </c:pt>
                <c:pt idx="13">
                  <c:v>0.24290730942399999</c:v>
                </c:pt>
                <c:pt idx="14">
                  <c:v>0.24388258694699999</c:v>
                </c:pt>
                <c:pt idx="15">
                  <c:v>0.24137117666999999</c:v>
                </c:pt>
                <c:pt idx="16">
                  <c:v>0.26180007872</c:v>
                </c:pt>
                <c:pt idx="17">
                  <c:v>0.25031985359300002</c:v>
                </c:pt>
                <c:pt idx="18">
                  <c:v>0.26058770552999999</c:v>
                </c:pt>
                <c:pt idx="19">
                  <c:v>0.254044902824</c:v>
                </c:pt>
                <c:pt idx="20">
                  <c:v>0.25307574221700002</c:v>
                </c:pt>
                <c:pt idx="21">
                  <c:v>0.27226976218400001</c:v>
                </c:pt>
                <c:pt idx="22">
                  <c:v>0.27050443725599999</c:v>
                </c:pt>
                <c:pt idx="23">
                  <c:v>0.28255494671499998</c:v>
                </c:pt>
                <c:pt idx="24">
                  <c:v>0.28074022503599999</c:v>
                </c:pt>
                <c:pt idx="25">
                  <c:v>0.28040556515600001</c:v>
                </c:pt>
                <c:pt idx="26">
                  <c:v>0.280277679477</c:v>
                </c:pt>
                <c:pt idx="27">
                  <c:v>0.28017264670800002</c:v>
                </c:pt>
                <c:pt idx="28">
                  <c:v>0.28032701593100001</c:v>
                </c:pt>
                <c:pt idx="29">
                  <c:v>0.280040703138</c:v>
                </c:pt>
                <c:pt idx="30">
                  <c:v>0.28605315606999998</c:v>
                </c:pt>
                <c:pt idx="31">
                  <c:v>0.28655348204600001</c:v>
                </c:pt>
                <c:pt idx="32">
                  <c:v>0.28693770501299998</c:v>
                </c:pt>
                <c:pt idx="33">
                  <c:v>0.28715706733000002</c:v>
                </c:pt>
                <c:pt idx="34">
                  <c:v>0.28725877210799999</c:v>
                </c:pt>
                <c:pt idx="35">
                  <c:v>0.28728548167700002</c:v>
                </c:pt>
                <c:pt idx="36">
                  <c:v>0.28710902483400003</c:v>
                </c:pt>
                <c:pt idx="37">
                  <c:v>0.28704112703899998</c:v>
                </c:pt>
                <c:pt idx="38">
                  <c:v>0.28700914006099998</c:v>
                </c:pt>
                <c:pt idx="39">
                  <c:v>0.28699968090400002</c:v>
                </c:pt>
                <c:pt idx="40">
                  <c:v>0.28700322389799998</c:v>
                </c:pt>
                <c:pt idx="41">
                  <c:v>0.28701261823000002</c:v>
                </c:pt>
              </c:numCache>
            </c:numRef>
          </c:val>
          <c:smooth val="0"/>
          <c:extLst>
            <c:ext xmlns:c16="http://schemas.microsoft.com/office/drawing/2014/chart" uri="{C3380CC4-5D6E-409C-BE32-E72D297353CC}">
              <c16:uniqueId val="{00000002-5078-4ED9-B8D1-35A5D788FE73}"/>
            </c:ext>
          </c:extLst>
        </c:ser>
        <c:ser>
          <c:idx val="3"/>
          <c:order val="3"/>
          <c:tx>
            <c:strRef>
              <c:f>'[Fiji Scenario Analysis 070420 new.xlsx]Rev_grants'!$E$3</c:f>
              <c:strCache>
                <c:ptCount val="1"/>
                <c:pt idx="0">
                  <c:v>3. IG</c:v>
                </c:pt>
              </c:strCache>
            </c:strRef>
          </c:tx>
          <c:spPr>
            <a:ln w="12700" cap="rnd">
              <a:solidFill>
                <a:srgbClr val="00B0F0"/>
              </a:solidFill>
              <a:round/>
            </a:ln>
            <a:effectLst/>
          </c:spPr>
          <c:marker>
            <c:symbol val="none"/>
          </c:marker>
          <c:cat>
            <c:strRef>
              <c:f>'[Fiji Scenario Analysis 070420 new.xlsx]Rev_grants'!$A$4:$A$45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new.xlsx]Rev_grants'!$E$4:$E$45</c:f>
              <c:numCache>
                <c:formatCode>0.0%</c:formatCode>
                <c:ptCount val="42"/>
                <c:pt idx="0">
                  <c:v>0.26023791453299999</c:v>
                </c:pt>
                <c:pt idx="1">
                  <c:v>0.26517509398400002</c:v>
                </c:pt>
                <c:pt idx="2">
                  <c:v>0.25765291084899999</c:v>
                </c:pt>
                <c:pt idx="3">
                  <c:v>0.25885498345000002</c:v>
                </c:pt>
                <c:pt idx="4">
                  <c:v>0.26004098379399998</c:v>
                </c:pt>
                <c:pt idx="5">
                  <c:v>0.25512105624600001</c:v>
                </c:pt>
                <c:pt idx="6">
                  <c:v>0.23963887985900001</c:v>
                </c:pt>
                <c:pt idx="7">
                  <c:v>0.25825566947299999</c:v>
                </c:pt>
                <c:pt idx="8">
                  <c:v>0.34454524307399997</c:v>
                </c:pt>
                <c:pt idx="9">
                  <c:v>0.27020727490899998</c:v>
                </c:pt>
                <c:pt idx="10">
                  <c:v>0.25515072712699999</c:v>
                </c:pt>
                <c:pt idx="11">
                  <c:v>0.233080898551</c:v>
                </c:pt>
                <c:pt idx="12">
                  <c:v>0.24516605154500001</c:v>
                </c:pt>
                <c:pt idx="13">
                  <c:v>0.24290730942399999</c:v>
                </c:pt>
                <c:pt idx="14">
                  <c:v>0.24388258694699999</c:v>
                </c:pt>
                <c:pt idx="15">
                  <c:v>0.24137117666999999</c:v>
                </c:pt>
                <c:pt idx="16">
                  <c:v>0.26180007872</c:v>
                </c:pt>
                <c:pt idx="17">
                  <c:v>0.25031985359300002</c:v>
                </c:pt>
                <c:pt idx="18">
                  <c:v>0.26058770552999999</c:v>
                </c:pt>
                <c:pt idx="19">
                  <c:v>0.254044902824</c:v>
                </c:pt>
                <c:pt idx="20">
                  <c:v>0.25307574221700002</c:v>
                </c:pt>
                <c:pt idx="21">
                  <c:v>0.27226976218400001</c:v>
                </c:pt>
                <c:pt idx="22">
                  <c:v>0.27050443725599999</c:v>
                </c:pt>
                <c:pt idx="23">
                  <c:v>0.28255494671499998</c:v>
                </c:pt>
                <c:pt idx="24">
                  <c:v>0.28074022503599999</c:v>
                </c:pt>
                <c:pt idx="25">
                  <c:v>0.28040556515600001</c:v>
                </c:pt>
                <c:pt idx="26">
                  <c:v>0.280277679477</c:v>
                </c:pt>
                <c:pt idx="27">
                  <c:v>0.28017264670800002</c:v>
                </c:pt>
                <c:pt idx="28">
                  <c:v>0.28032701593100001</c:v>
                </c:pt>
                <c:pt idx="29">
                  <c:v>0.280040703138</c:v>
                </c:pt>
                <c:pt idx="30">
                  <c:v>0.30226652176699997</c:v>
                </c:pt>
                <c:pt idx="31">
                  <c:v>0.31074793339599999</c:v>
                </c:pt>
                <c:pt idx="32">
                  <c:v>0.31110145132200001</c:v>
                </c:pt>
                <c:pt idx="33">
                  <c:v>0.31140344046599999</c:v>
                </c:pt>
                <c:pt idx="34">
                  <c:v>0.31157213695399999</c:v>
                </c:pt>
                <c:pt idx="35">
                  <c:v>0.311648000556</c:v>
                </c:pt>
                <c:pt idx="36">
                  <c:v>0.311507605513</c:v>
                </c:pt>
                <c:pt idx="37">
                  <c:v>0.31146294830499999</c:v>
                </c:pt>
                <c:pt idx="38">
                  <c:v>0.31145631600700002</c:v>
                </c:pt>
                <c:pt idx="39">
                  <c:v>0.31147256196899997</c:v>
                </c:pt>
                <c:pt idx="40">
                  <c:v>0.31148787746700002</c:v>
                </c:pt>
                <c:pt idx="41">
                  <c:v>0.31153695717399998</c:v>
                </c:pt>
              </c:numCache>
            </c:numRef>
          </c:val>
          <c:smooth val="0"/>
          <c:extLst>
            <c:ext xmlns:c16="http://schemas.microsoft.com/office/drawing/2014/chart" uri="{C3380CC4-5D6E-409C-BE32-E72D297353CC}">
              <c16:uniqueId val="{00000003-5078-4ED9-B8D1-35A5D788FE73}"/>
            </c:ext>
          </c:extLst>
        </c:ser>
        <c:ser>
          <c:idx val="2"/>
          <c:order val="4"/>
          <c:tx>
            <c:strRef>
              <c:f>'[Fiji Scenario Analysis 070420 new.xlsx]Rev_grants'!$F$3</c:f>
              <c:strCache>
                <c:ptCount val="1"/>
                <c:pt idx="0">
                  <c:v>4. ST</c:v>
                </c:pt>
              </c:strCache>
            </c:strRef>
          </c:tx>
          <c:spPr>
            <a:ln w="12700" cap="rnd">
              <a:solidFill>
                <a:srgbClr val="008080"/>
              </a:solidFill>
              <a:round/>
            </a:ln>
            <a:effectLst/>
          </c:spPr>
          <c:marker>
            <c:symbol val="none"/>
          </c:marker>
          <c:cat>
            <c:strRef>
              <c:f>'[Fiji Scenario Analysis 070420 new.xlsx]Rev_grants'!$A$4:$A$45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new.xlsx]Rev_grants'!$F$4:$F$45</c:f>
              <c:numCache>
                <c:formatCode>0.0%</c:formatCode>
                <c:ptCount val="42"/>
                <c:pt idx="0">
                  <c:v>0.26023791453299999</c:v>
                </c:pt>
                <c:pt idx="1">
                  <c:v>0.26517509398400002</c:v>
                </c:pt>
                <c:pt idx="2">
                  <c:v>0.25765291084899999</c:v>
                </c:pt>
                <c:pt idx="3">
                  <c:v>0.25885498345000002</c:v>
                </c:pt>
                <c:pt idx="4">
                  <c:v>0.26004098379399998</c:v>
                </c:pt>
                <c:pt idx="5">
                  <c:v>0.25512105624600001</c:v>
                </c:pt>
                <c:pt idx="6">
                  <c:v>0.23963887985900001</c:v>
                </c:pt>
                <c:pt idx="7">
                  <c:v>0.25825566947299999</c:v>
                </c:pt>
                <c:pt idx="8">
                  <c:v>0.34454524307399997</c:v>
                </c:pt>
                <c:pt idx="9">
                  <c:v>0.27020727490899998</c:v>
                </c:pt>
                <c:pt idx="10">
                  <c:v>0.25515072712699999</c:v>
                </c:pt>
                <c:pt idx="11">
                  <c:v>0.233080898551</c:v>
                </c:pt>
                <c:pt idx="12">
                  <c:v>0.24516605154500001</c:v>
                </c:pt>
                <c:pt idx="13">
                  <c:v>0.24290730942399999</c:v>
                </c:pt>
                <c:pt idx="14">
                  <c:v>0.24388258694699999</c:v>
                </c:pt>
                <c:pt idx="15">
                  <c:v>0.24137117666999999</c:v>
                </c:pt>
                <c:pt idx="16">
                  <c:v>0.26180007872</c:v>
                </c:pt>
                <c:pt idx="17">
                  <c:v>0.25031985359300002</c:v>
                </c:pt>
                <c:pt idx="18">
                  <c:v>0.26058770552999999</c:v>
                </c:pt>
                <c:pt idx="19">
                  <c:v>0.254044902824</c:v>
                </c:pt>
                <c:pt idx="20">
                  <c:v>0.25307574221700002</c:v>
                </c:pt>
                <c:pt idx="21">
                  <c:v>0.27226976218400001</c:v>
                </c:pt>
                <c:pt idx="22">
                  <c:v>0.27050443725599999</c:v>
                </c:pt>
                <c:pt idx="23">
                  <c:v>0.28255494671499998</c:v>
                </c:pt>
                <c:pt idx="24">
                  <c:v>0.28074022503599999</c:v>
                </c:pt>
                <c:pt idx="25">
                  <c:v>0.28040556515600001</c:v>
                </c:pt>
                <c:pt idx="26">
                  <c:v>0.280277679477</c:v>
                </c:pt>
                <c:pt idx="27">
                  <c:v>0.28017264670800002</c:v>
                </c:pt>
                <c:pt idx="28">
                  <c:v>0.28032701593100001</c:v>
                </c:pt>
                <c:pt idx="29">
                  <c:v>0.280040703138</c:v>
                </c:pt>
                <c:pt idx="30">
                  <c:v>0.31214609357899997</c:v>
                </c:pt>
                <c:pt idx="31">
                  <c:v>0.32373082114399998</c:v>
                </c:pt>
                <c:pt idx="32">
                  <c:v>0.33195210056500002</c:v>
                </c:pt>
                <c:pt idx="33">
                  <c:v>0.33620670511799999</c:v>
                </c:pt>
                <c:pt idx="34">
                  <c:v>0.340497191684</c:v>
                </c:pt>
                <c:pt idx="35">
                  <c:v>0.34060273031299998</c:v>
                </c:pt>
                <c:pt idx="36">
                  <c:v>0.34050035830100001</c:v>
                </c:pt>
                <c:pt idx="37">
                  <c:v>0.34048603737700001</c:v>
                </c:pt>
                <c:pt idx="38">
                  <c:v>0.34049617993699999</c:v>
                </c:pt>
                <c:pt idx="39">
                  <c:v>0.34052133237999999</c:v>
                </c:pt>
                <c:pt idx="40">
                  <c:v>0.34055413988400002</c:v>
                </c:pt>
                <c:pt idx="41">
                  <c:v>0.34061095600699998</c:v>
                </c:pt>
              </c:numCache>
            </c:numRef>
          </c:val>
          <c:smooth val="0"/>
          <c:extLst>
            <c:ext xmlns:c16="http://schemas.microsoft.com/office/drawing/2014/chart" uri="{C3380CC4-5D6E-409C-BE32-E72D297353CC}">
              <c16:uniqueId val="{00000004-5078-4ED9-B8D1-35A5D788FE73}"/>
            </c:ext>
          </c:extLst>
        </c:ser>
        <c:ser>
          <c:idx val="1"/>
          <c:order val="5"/>
          <c:tx>
            <c:strRef>
              <c:f>'[Fiji Scenario Analysis 070420 new.xlsx]Rev_grants'!$G$3</c:f>
              <c:strCache>
                <c:ptCount val="1"/>
                <c:pt idx="0">
                  <c:v>5. ST_CLIMATE</c:v>
                </c:pt>
              </c:strCache>
            </c:strRef>
          </c:tx>
          <c:spPr>
            <a:ln w="12700" cap="rnd">
              <a:solidFill>
                <a:srgbClr val="ED7D31"/>
              </a:solidFill>
              <a:prstDash val="sysDash"/>
              <a:round/>
            </a:ln>
            <a:effectLst/>
          </c:spPr>
          <c:marker>
            <c:symbol val="none"/>
          </c:marker>
          <c:cat>
            <c:strRef>
              <c:f>'[Fiji Scenario Analysis 070420 new.xlsx]Rev_grants'!$A$4:$A$45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new.xlsx]Rev_grants'!$G$4:$G$45</c:f>
              <c:numCache>
                <c:formatCode>0.0%</c:formatCode>
                <c:ptCount val="42"/>
                <c:pt idx="0">
                  <c:v>0.26023791453299999</c:v>
                </c:pt>
                <c:pt idx="1">
                  <c:v>0.26517509398400002</c:v>
                </c:pt>
                <c:pt idx="2">
                  <c:v>0.25765291084899999</c:v>
                </c:pt>
                <c:pt idx="3">
                  <c:v>0.25885498345000002</c:v>
                </c:pt>
                <c:pt idx="4">
                  <c:v>0.26004098379399998</c:v>
                </c:pt>
                <c:pt idx="5">
                  <c:v>0.25512105624600001</c:v>
                </c:pt>
                <c:pt idx="6">
                  <c:v>0.23963887985900001</c:v>
                </c:pt>
                <c:pt idx="7">
                  <c:v>0.25825566947299999</c:v>
                </c:pt>
                <c:pt idx="8">
                  <c:v>0.34454524307399997</c:v>
                </c:pt>
                <c:pt idx="9">
                  <c:v>0.27020727490899998</c:v>
                </c:pt>
                <c:pt idx="10">
                  <c:v>0.25515072712699999</c:v>
                </c:pt>
                <c:pt idx="11">
                  <c:v>0.233080898551</c:v>
                </c:pt>
                <c:pt idx="12">
                  <c:v>0.24516605154500001</c:v>
                </c:pt>
                <c:pt idx="13">
                  <c:v>0.24290730942399999</c:v>
                </c:pt>
                <c:pt idx="14">
                  <c:v>0.24388258694699999</c:v>
                </c:pt>
                <c:pt idx="15">
                  <c:v>0.24137117666999999</c:v>
                </c:pt>
                <c:pt idx="16">
                  <c:v>0.26180007872</c:v>
                </c:pt>
                <c:pt idx="17">
                  <c:v>0.25031985359300002</c:v>
                </c:pt>
                <c:pt idx="18">
                  <c:v>0.26058770552999999</c:v>
                </c:pt>
                <c:pt idx="19">
                  <c:v>0.254044902824</c:v>
                </c:pt>
                <c:pt idx="20">
                  <c:v>0.25307574221700002</c:v>
                </c:pt>
                <c:pt idx="21">
                  <c:v>0.27226976218400001</c:v>
                </c:pt>
                <c:pt idx="22">
                  <c:v>0.27050443725599999</c:v>
                </c:pt>
                <c:pt idx="23">
                  <c:v>0.28255494671499998</c:v>
                </c:pt>
                <c:pt idx="24">
                  <c:v>0.28074022503599999</c:v>
                </c:pt>
                <c:pt idx="25">
                  <c:v>0.28040556515600001</c:v>
                </c:pt>
                <c:pt idx="26">
                  <c:v>0.280277679477</c:v>
                </c:pt>
                <c:pt idx="27">
                  <c:v>0.28017264670800002</c:v>
                </c:pt>
                <c:pt idx="28">
                  <c:v>0.28032701593100001</c:v>
                </c:pt>
                <c:pt idx="29">
                  <c:v>0.280040703138</c:v>
                </c:pt>
                <c:pt idx="30">
                  <c:v>0.31797232396699998</c:v>
                </c:pt>
                <c:pt idx="31">
                  <c:v>0.336729338075</c:v>
                </c:pt>
                <c:pt idx="32">
                  <c:v>0.35550722170400001</c:v>
                </c:pt>
                <c:pt idx="33">
                  <c:v>0.36805131370600003</c:v>
                </c:pt>
                <c:pt idx="34">
                  <c:v>0.37611961325299997</c:v>
                </c:pt>
                <c:pt idx="35">
                  <c:v>0.37611122800800001</c:v>
                </c:pt>
                <c:pt idx="36">
                  <c:v>0.37602424672500001</c:v>
                </c:pt>
                <c:pt idx="37">
                  <c:v>0.37600574666600001</c:v>
                </c:pt>
                <c:pt idx="38">
                  <c:v>0.37601121633000001</c:v>
                </c:pt>
                <c:pt idx="39">
                  <c:v>0.37603209854300002</c:v>
                </c:pt>
                <c:pt idx="40">
                  <c:v>0.37606161070600003</c:v>
                </c:pt>
                <c:pt idx="41">
                  <c:v>0.37611465504000002</c:v>
                </c:pt>
              </c:numCache>
            </c:numRef>
          </c:val>
          <c:smooth val="0"/>
          <c:extLst>
            <c:ext xmlns:c16="http://schemas.microsoft.com/office/drawing/2014/chart" uri="{C3380CC4-5D6E-409C-BE32-E72D297353CC}">
              <c16:uniqueId val="{00000005-5078-4ED9-B8D1-35A5D788FE73}"/>
            </c:ext>
          </c:extLst>
        </c:ser>
        <c:ser>
          <c:idx val="0"/>
          <c:order val="6"/>
          <c:tx>
            <c:strRef>
              <c:f>'[Fiji Scenario Analysis 070420 new.xlsx]Rev_grants'!$H$3</c:f>
              <c:strCache>
                <c:ptCount val="1"/>
                <c:pt idx="0">
                  <c:v>6. ST_SDG</c:v>
                </c:pt>
              </c:strCache>
            </c:strRef>
          </c:tx>
          <c:spPr>
            <a:ln w="12700" cap="rnd">
              <a:solidFill>
                <a:srgbClr val="4472C4"/>
              </a:solidFill>
              <a:prstDash val="dash"/>
              <a:round/>
            </a:ln>
            <a:effectLst/>
          </c:spPr>
          <c:marker>
            <c:symbol val="none"/>
          </c:marker>
          <c:cat>
            <c:strRef>
              <c:f>'[Fiji Scenario Analysis 070420 new.xlsx]Rev_grants'!$A$4:$A$45</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new.xlsx]Rev_grants'!$H$4:$H$45</c:f>
              <c:numCache>
                <c:formatCode>0.0%</c:formatCode>
                <c:ptCount val="42"/>
                <c:pt idx="0">
                  <c:v>0.26023791453299999</c:v>
                </c:pt>
                <c:pt idx="1">
                  <c:v>0.26517509398400002</c:v>
                </c:pt>
                <c:pt idx="2">
                  <c:v>0.25765291084899999</c:v>
                </c:pt>
                <c:pt idx="3">
                  <c:v>0.25885498345000002</c:v>
                </c:pt>
                <c:pt idx="4">
                  <c:v>0.26004098379399998</c:v>
                </c:pt>
                <c:pt idx="5">
                  <c:v>0.25512105624600001</c:v>
                </c:pt>
                <c:pt idx="6">
                  <c:v>0.23963887985900001</c:v>
                </c:pt>
                <c:pt idx="7">
                  <c:v>0.25825566947299999</c:v>
                </c:pt>
                <c:pt idx="8">
                  <c:v>0.34454524307399997</c:v>
                </c:pt>
                <c:pt idx="9">
                  <c:v>0.27020727490899998</c:v>
                </c:pt>
                <c:pt idx="10">
                  <c:v>0.25515072712699999</c:v>
                </c:pt>
                <c:pt idx="11">
                  <c:v>0.233080898551</c:v>
                </c:pt>
                <c:pt idx="12">
                  <c:v>0.24516605154500001</c:v>
                </c:pt>
                <c:pt idx="13">
                  <c:v>0.24290730942399999</c:v>
                </c:pt>
                <c:pt idx="14">
                  <c:v>0.24388258694699999</c:v>
                </c:pt>
                <c:pt idx="15">
                  <c:v>0.24137117666999999</c:v>
                </c:pt>
                <c:pt idx="16">
                  <c:v>0.26180007872</c:v>
                </c:pt>
                <c:pt idx="17">
                  <c:v>0.25031985359300002</c:v>
                </c:pt>
                <c:pt idx="18">
                  <c:v>0.26058770552999999</c:v>
                </c:pt>
                <c:pt idx="19">
                  <c:v>0.254044902824</c:v>
                </c:pt>
                <c:pt idx="20">
                  <c:v>0.25307574221700002</c:v>
                </c:pt>
                <c:pt idx="21">
                  <c:v>0.27226976218400001</c:v>
                </c:pt>
                <c:pt idx="22">
                  <c:v>0.27050443725599999</c:v>
                </c:pt>
                <c:pt idx="23">
                  <c:v>0.28255494671499998</c:v>
                </c:pt>
                <c:pt idx="24">
                  <c:v>0.28074022503599999</c:v>
                </c:pt>
                <c:pt idx="25">
                  <c:v>0.28040556515600001</c:v>
                </c:pt>
                <c:pt idx="26">
                  <c:v>0.280277679477</c:v>
                </c:pt>
                <c:pt idx="27">
                  <c:v>0.28017264670800002</c:v>
                </c:pt>
                <c:pt idx="28">
                  <c:v>0.28032701593100001</c:v>
                </c:pt>
                <c:pt idx="29">
                  <c:v>0.280040703138</c:v>
                </c:pt>
                <c:pt idx="30">
                  <c:v>0.34861899985400002</c:v>
                </c:pt>
                <c:pt idx="31">
                  <c:v>0.38227456756799999</c:v>
                </c:pt>
                <c:pt idx="32">
                  <c:v>0.41685895541599999</c:v>
                </c:pt>
                <c:pt idx="33">
                  <c:v>0.45124585964699998</c:v>
                </c:pt>
                <c:pt idx="34">
                  <c:v>0.477236023929</c:v>
                </c:pt>
                <c:pt idx="35">
                  <c:v>0.51178416199999999</c:v>
                </c:pt>
                <c:pt idx="36">
                  <c:v>0.51897126073099997</c:v>
                </c:pt>
                <c:pt idx="37">
                  <c:v>0.523321331778</c:v>
                </c:pt>
                <c:pt idx="38">
                  <c:v>0.52743787520499996</c:v>
                </c:pt>
                <c:pt idx="39">
                  <c:v>0.52737945396499997</c:v>
                </c:pt>
                <c:pt idx="40">
                  <c:v>0.52736144319400002</c:v>
                </c:pt>
                <c:pt idx="41">
                  <c:v>0.52740454557299998</c:v>
                </c:pt>
              </c:numCache>
            </c:numRef>
          </c:val>
          <c:smooth val="0"/>
          <c:extLst>
            <c:ext xmlns:c16="http://schemas.microsoft.com/office/drawing/2014/chart" uri="{C3380CC4-5D6E-409C-BE32-E72D297353CC}">
              <c16:uniqueId val="{00000006-5078-4ED9-B8D1-35A5D788FE73}"/>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Revenue</a:t>
                </a:r>
                <a:r>
                  <a:rPr lang="en-AU" baseline="0"/>
                  <a:t> and Grants as Share of GDP (%)</a:t>
                </a:r>
                <a:endParaRPr lang="en-AU"/>
              </a:p>
            </c:rich>
          </c:tx>
          <c:layout>
            <c:manualLayout>
              <c:xMode val="edge"/>
              <c:yMode val="edge"/>
              <c:x val="1.0674564267399822E-2"/>
              <c:y val="0.1918177496599052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2.4646692348940253E-2"/>
          <c:y val="0.94149292077926883"/>
          <c:w val="0.96272401433691757"/>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52782219703263E-2"/>
          <c:y val="1.7970253718285215E-2"/>
          <c:w val="0.90459810543986574"/>
          <c:h val="0.80550338515352915"/>
        </c:manualLayout>
      </c:layout>
      <c:lineChart>
        <c:grouping val="standard"/>
        <c:varyColors val="0"/>
        <c:ser>
          <c:idx val="6"/>
          <c:order val="0"/>
          <c:tx>
            <c:strRef>
              <c:f>'[Fiji Scenario Analysis 070420 new.xlsx]Debt'!$C$4</c:f>
              <c:strCache>
                <c:ptCount val="1"/>
                <c:pt idx="0">
                  <c:v>BAU</c:v>
                </c:pt>
              </c:strCache>
            </c:strRef>
          </c:tx>
          <c:spPr>
            <a:ln w="12700" cap="rnd">
              <a:solidFill>
                <a:srgbClr val="FFC000"/>
              </a:solidFill>
              <a:prstDash val="solid"/>
              <a:round/>
            </a:ln>
            <a:effectLst/>
          </c:spPr>
          <c:marker>
            <c:symbol val="none"/>
          </c:marker>
          <c:cat>
            <c:strRef>
              <c:f>'[Fiji Scenario Analysis 070420 new.xlsx]Debt'!$B$5:$B$46</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new.xlsx]Debt'!$C$5:$C$46</c:f>
              <c:numCache>
                <c:formatCode>0.0%</c:formatCode>
                <c:ptCount val="42"/>
                <c:pt idx="0">
                  <c:v>0.36344498434099998</c:v>
                </c:pt>
                <c:pt idx="1">
                  <c:v>0.35359689512600001</c:v>
                </c:pt>
                <c:pt idx="2">
                  <c:v>0.36854910165299998</c:v>
                </c:pt>
                <c:pt idx="3">
                  <c:v>0.36976041947999999</c:v>
                </c:pt>
                <c:pt idx="4">
                  <c:v>0.36821275133600001</c:v>
                </c:pt>
                <c:pt idx="5">
                  <c:v>0.37249421428399998</c:v>
                </c:pt>
                <c:pt idx="6">
                  <c:v>0.39273074328800001</c:v>
                </c:pt>
                <c:pt idx="7">
                  <c:v>0.42069729326100003</c:v>
                </c:pt>
                <c:pt idx="8">
                  <c:v>0.39378626104100001</c:v>
                </c:pt>
                <c:pt idx="9">
                  <c:v>0.37341466026800002</c:v>
                </c:pt>
                <c:pt idx="10">
                  <c:v>0.421310931813</c:v>
                </c:pt>
                <c:pt idx="11">
                  <c:v>0.44803212197499998</c:v>
                </c:pt>
                <c:pt idx="12">
                  <c:v>0.47662538236599999</c:v>
                </c:pt>
                <c:pt idx="13">
                  <c:v>0.47789818525599997</c:v>
                </c:pt>
                <c:pt idx="14">
                  <c:v>0.49317065594100001</c:v>
                </c:pt>
                <c:pt idx="15">
                  <c:v>0.50695762000599998</c:v>
                </c:pt>
                <c:pt idx="16">
                  <c:v>0.50236834670099995</c:v>
                </c:pt>
                <c:pt idx="17">
                  <c:v>0.465566231542</c:v>
                </c:pt>
                <c:pt idx="18">
                  <c:v>0.50464821992499997</c:v>
                </c:pt>
                <c:pt idx="19">
                  <c:v>0.52822059704799995</c:v>
                </c:pt>
                <c:pt idx="20">
                  <c:v>0.54214163800399995</c:v>
                </c:pt>
                <c:pt idx="21">
                  <c:v>0.51974717135899995</c:v>
                </c:pt>
                <c:pt idx="22">
                  <c:v>0.500780684054</c:v>
                </c:pt>
                <c:pt idx="23">
                  <c:v>0.491201851415</c:v>
                </c:pt>
                <c:pt idx="24">
                  <c:v>0.45425362238200001</c:v>
                </c:pt>
                <c:pt idx="25">
                  <c:v>0.46219681371900001</c:v>
                </c:pt>
                <c:pt idx="26">
                  <c:v>0.47446875142700001</c:v>
                </c:pt>
                <c:pt idx="27">
                  <c:v>0.48250111212300001</c:v>
                </c:pt>
                <c:pt idx="28">
                  <c:v>0.494094217364</c:v>
                </c:pt>
                <c:pt idx="29">
                  <c:v>0.50166334252800004</c:v>
                </c:pt>
                <c:pt idx="30">
                  <c:v>0.51213357431499995</c:v>
                </c:pt>
                <c:pt idx="31">
                  <c:v>0.53103047771699996</c:v>
                </c:pt>
                <c:pt idx="32">
                  <c:v>0.551493284812</c:v>
                </c:pt>
                <c:pt idx="33">
                  <c:v>0.57304288790699998</c:v>
                </c:pt>
                <c:pt idx="34">
                  <c:v>0.59561662782799996</c:v>
                </c:pt>
                <c:pt idx="35">
                  <c:v>0.61897994937400003</c:v>
                </c:pt>
                <c:pt idx="36">
                  <c:v>0.63866932548300004</c:v>
                </c:pt>
                <c:pt idx="37">
                  <c:v>0.65891040470999995</c:v>
                </c:pt>
                <c:pt idx="38">
                  <c:v>0.68016476513000002</c:v>
                </c:pt>
                <c:pt idx="39">
                  <c:v>0.70218990699600004</c:v>
                </c:pt>
                <c:pt idx="40">
                  <c:v>0.72471253925099999</c:v>
                </c:pt>
                <c:pt idx="41">
                  <c:v>0.74736515173700002</c:v>
                </c:pt>
              </c:numCache>
            </c:numRef>
          </c:val>
          <c:smooth val="0"/>
          <c:extLst>
            <c:ext xmlns:c16="http://schemas.microsoft.com/office/drawing/2014/chart" uri="{C3380CC4-5D6E-409C-BE32-E72D297353CC}">
              <c16:uniqueId val="{00000000-32C3-4336-95E0-BE81B4816516}"/>
            </c:ext>
          </c:extLst>
        </c:ser>
        <c:ser>
          <c:idx val="5"/>
          <c:order val="1"/>
          <c:tx>
            <c:strRef>
              <c:f>'[Fiji Scenario Analysis 070420 new.xlsx]Debt'!$D$4</c:f>
              <c:strCache>
                <c:ptCount val="1"/>
                <c:pt idx="0">
                  <c:v>1. GAC</c:v>
                </c:pt>
              </c:strCache>
            </c:strRef>
          </c:tx>
          <c:spPr>
            <a:ln w="12700" cap="rnd">
              <a:solidFill>
                <a:srgbClr val="FF0000"/>
              </a:solidFill>
              <a:prstDash val="solid"/>
              <a:round/>
            </a:ln>
            <a:effectLst/>
          </c:spPr>
          <c:marker>
            <c:symbol val="none"/>
          </c:marker>
          <c:cat>
            <c:strRef>
              <c:f>'[Fiji Scenario Analysis 070420 new.xlsx]Debt'!$B$5:$B$46</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new.xlsx]Debt'!$D$5:$D$46</c:f>
              <c:numCache>
                <c:formatCode>0.0%</c:formatCode>
                <c:ptCount val="42"/>
                <c:pt idx="0">
                  <c:v>0.36344498434099998</c:v>
                </c:pt>
                <c:pt idx="1">
                  <c:v>0.35359689512600001</c:v>
                </c:pt>
                <c:pt idx="2">
                  <c:v>0.36854910165299998</c:v>
                </c:pt>
                <c:pt idx="3">
                  <c:v>0.36976041947999999</c:v>
                </c:pt>
                <c:pt idx="4">
                  <c:v>0.36821275133600001</c:v>
                </c:pt>
                <c:pt idx="5">
                  <c:v>0.37249421428399998</c:v>
                </c:pt>
                <c:pt idx="6">
                  <c:v>0.39273074328800001</c:v>
                </c:pt>
                <c:pt idx="7">
                  <c:v>0.42069729326100003</c:v>
                </c:pt>
                <c:pt idx="8">
                  <c:v>0.39378626104100001</c:v>
                </c:pt>
                <c:pt idx="9">
                  <c:v>0.37341466026800002</c:v>
                </c:pt>
                <c:pt idx="10">
                  <c:v>0.421310931813</c:v>
                </c:pt>
                <c:pt idx="11">
                  <c:v>0.44803212197499998</c:v>
                </c:pt>
                <c:pt idx="12">
                  <c:v>0.47662538236599999</c:v>
                </c:pt>
                <c:pt idx="13">
                  <c:v>0.47789818525599997</c:v>
                </c:pt>
                <c:pt idx="14">
                  <c:v>0.49317065594100001</c:v>
                </c:pt>
                <c:pt idx="15">
                  <c:v>0.50695762000599998</c:v>
                </c:pt>
                <c:pt idx="16">
                  <c:v>0.50236834670099995</c:v>
                </c:pt>
                <c:pt idx="17">
                  <c:v>0.465566231542</c:v>
                </c:pt>
                <c:pt idx="18">
                  <c:v>0.50464821992499997</c:v>
                </c:pt>
                <c:pt idx="19">
                  <c:v>0.52822059704799995</c:v>
                </c:pt>
                <c:pt idx="20">
                  <c:v>0.54214163800399995</c:v>
                </c:pt>
                <c:pt idx="21">
                  <c:v>0.51974717135899995</c:v>
                </c:pt>
                <c:pt idx="22">
                  <c:v>0.500780684054</c:v>
                </c:pt>
                <c:pt idx="23">
                  <c:v>0.491201851415</c:v>
                </c:pt>
                <c:pt idx="24">
                  <c:v>0.45425362238200001</c:v>
                </c:pt>
                <c:pt idx="25">
                  <c:v>0.46219681371900001</c:v>
                </c:pt>
                <c:pt idx="26">
                  <c:v>0.47446875142700001</c:v>
                </c:pt>
                <c:pt idx="27">
                  <c:v>0.48250111212300001</c:v>
                </c:pt>
                <c:pt idx="28">
                  <c:v>0.494094217364</c:v>
                </c:pt>
                <c:pt idx="29">
                  <c:v>0.50166334252800004</c:v>
                </c:pt>
                <c:pt idx="30">
                  <c:v>0.51213357431499995</c:v>
                </c:pt>
                <c:pt idx="31">
                  <c:v>0.55018358645099996</c:v>
                </c:pt>
                <c:pt idx="32">
                  <c:v>0.58912330602999996</c:v>
                </c:pt>
                <c:pt idx="33">
                  <c:v>0.63310659169299999</c:v>
                </c:pt>
                <c:pt idx="34">
                  <c:v>0.68155219205899997</c:v>
                </c:pt>
                <c:pt idx="35">
                  <c:v>0.72721441083000005</c:v>
                </c:pt>
                <c:pt idx="36">
                  <c:v>0.764636014975</c:v>
                </c:pt>
                <c:pt idx="37">
                  <c:v>0.80142599999999997</c:v>
                </c:pt>
                <c:pt idx="38">
                  <c:v>0.83944985354299995</c:v>
                </c:pt>
                <c:pt idx="39">
                  <c:v>0.87843901097599997</c:v>
                </c:pt>
                <c:pt idx="40">
                  <c:v>0.917685718431</c:v>
                </c:pt>
                <c:pt idx="41">
                  <c:v>0.95787728139100003</c:v>
                </c:pt>
              </c:numCache>
            </c:numRef>
          </c:val>
          <c:smooth val="0"/>
          <c:extLst>
            <c:ext xmlns:c16="http://schemas.microsoft.com/office/drawing/2014/chart" uri="{C3380CC4-5D6E-409C-BE32-E72D297353CC}">
              <c16:uniqueId val="{00000001-32C3-4336-95E0-BE81B4816516}"/>
            </c:ext>
          </c:extLst>
        </c:ser>
        <c:ser>
          <c:idx val="4"/>
          <c:order val="2"/>
          <c:tx>
            <c:strRef>
              <c:f>'[Fiji Scenario Analysis 070420 new.xlsx]Debt'!$E$4</c:f>
              <c:strCache>
                <c:ptCount val="1"/>
                <c:pt idx="0">
                  <c:v>2. GE</c:v>
                </c:pt>
              </c:strCache>
            </c:strRef>
          </c:tx>
          <c:spPr>
            <a:ln w="12700" cap="rnd">
              <a:solidFill>
                <a:srgbClr val="7CBF33"/>
              </a:solidFill>
              <a:round/>
            </a:ln>
            <a:effectLst/>
          </c:spPr>
          <c:marker>
            <c:symbol val="none"/>
          </c:marker>
          <c:cat>
            <c:strRef>
              <c:f>'[Fiji Scenario Analysis 070420 new.xlsx]Debt'!$B$5:$B$46</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new.xlsx]Debt'!$E$5:$E$46</c:f>
              <c:numCache>
                <c:formatCode>0.0%</c:formatCode>
                <c:ptCount val="42"/>
                <c:pt idx="0">
                  <c:v>0.36344498434099998</c:v>
                </c:pt>
                <c:pt idx="1">
                  <c:v>0.35359689512600001</c:v>
                </c:pt>
                <c:pt idx="2">
                  <c:v>0.36854910165299998</c:v>
                </c:pt>
                <c:pt idx="3">
                  <c:v>0.36976041947999999</c:v>
                </c:pt>
                <c:pt idx="4">
                  <c:v>0.36821275133600001</c:v>
                </c:pt>
                <c:pt idx="5">
                  <c:v>0.37249421428399998</c:v>
                </c:pt>
                <c:pt idx="6">
                  <c:v>0.39273074328800001</c:v>
                </c:pt>
                <c:pt idx="7">
                  <c:v>0.42069729326100003</c:v>
                </c:pt>
                <c:pt idx="8">
                  <c:v>0.39378626104100001</c:v>
                </c:pt>
                <c:pt idx="9">
                  <c:v>0.37341466026800002</c:v>
                </c:pt>
                <c:pt idx="10">
                  <c:v>0.421310931813</c:v>
                </c:pt>
                <c:pt idx="11">
                  <c:v>0.44803212197499998</c:v>
                </c:pt>
                <c:pt idx="12">
                  <c:v>0.47662538236599999</c:v>
                </c:pt>
                <c:pt idx="13">
                  <c:v>0.47789818525599997</c:v>
                </c:pt>
                <c:pt idx="14">
                  <c:v>0.49317065594100001</c:v>
                </c:pt>
                <c:pt idx="15">
                  <c:v>0.50695762000599998</c:v>
                </c:pt>
                <c:pt idx="16">
                  <c:v>0.50236834670099995</c:v>
                </c:pt>
                <c:pt idx="17">
                  <c:v>0.465566231542</c:v>
                </c:pt>
                <c:pt idx="18">
                  <c:v>0.50464821992499997</c:v>
                </c:pt>
                <c:pt idx="19">
                  <c:v>0.52822059704799995</c:v>
                </c:pt>
                <c:pt idx="20">
                  <c:v>0.54214163800399995</c:v>
                </c:pt>
                <c:pt idx="21">
                  <c:v>0.51974717135899995</c:v>
                </c:pt>
                <c:pt idx="22">
                  <c:v>0.500780684054</c:v>
                </c:pt>
                <c:pt idx="23">
                  <c:v>0.491201851415</c:v>
                </c:pt>
                <c:pt idx="24">
                  <c:v>0.45425362238200001</c:v>
                </c:pt>
                <c:pt idx="25">
                  <c:v>0.46219681371900001</c:v>
                </c:pt>
                <c:pt idx="26">
                  <c:v>0.47446875142700001</c:v>
                </c:pt>
                <c:pt idx="27">
                  <c:v>0.48250111212300001</c:v>
                </c:pt>
                <c:pt idx="28">
                  <c:v>0.494094217364</c:v>
                </c:pt>
                <c:pt idx="29">
                  <c:v>0.50166334252800004</c:v>
                </c:pt>
                <c:pt idx="30">
                  <c:v>0.51213357431499995</c:v>
                </c:pt>
                <c:pt idx="31">
                  <c:v>0.53471232006199998</c:v>
                </c:pt>
                <c:pt idx="32">
                  <c:v>0.55703127847800005</c:v>
                </c:pt>
                <c:pt idx="33">
                  <c:v>0.58022514821399995</c:v>
                </c:pt>
                <c:pt idx="34">
                  <c:v>0.60422666820100002</c:v>
                </c:pt>
                <c:pt idx="35">
                  <c:v>0.62894852033000004</c:v>
                </c:pt>
                <c:pt idx="36">
                  <c:v>0.64981042071200001</c:v>
                </c:pt>
                <c:pt idx="37">
                  <c:v>0.67132231408599996</c:v>
                </c:pt>
                <c:pt idx="38">
                  <c:v>0.69352100207300005</c:v>
                </c:pt>
                <c:pt idx="39">
                  <c:v>0.71629781445600005</c:v>
                </c:pt>
                <c:pt idx="40">
                  <c:v>0.73964697116099998</c:v>
                </c:pt>
                <c:pt idx="41">
                  <c:v>0.76385268636899994</c:v>
                </c:pt>
              </c:numCache>
            </c:numRef>
          </c:val>
          <c:smooth val="0"/>
          <c:extLst>
            <c:ext xmlns:c16="http://schemas.microsoft.com/office/drawing/2014/chart" uri="{C3380CC4-5D6E-409C-BE32-E72D297353CC}">
              <c16:uniqueId val="{00000002-32C3-4336-95E0-BE81B4816516}"/>
            </c:ext>
          </c:extLst>
        </c:ser>
        <c:ser>
          <c:idx val="3"/>
          <c:order val="3"/>
          <c:tx>
            <c:strRef>
              <c:f>'[Fiji Scenario Analysis 070420 new.xlsx]Debt'!$F$4</c:f>
              <c:strCache>
                <c:ptCount val="1"/>
                <c:pt idx="0">
                  <c:v>3. IG</c:v>
                </c:pt>
              </c:strCache>
            </c:strRef>
          </c:tx>
          <c:spPr>
            <a:ln w="12700" cap="rnd">
              <a:solidFill>
                <a:srgbClr val="00B0F0"/>
              </a:solidFill>
              <a:round/>
            </a:ln>
            <a:effectLst/>
          </c:spPr>
          <c:marker>
            <c:symbol val="none"/>
          </c:marker>
          <c:cat>
            <c:strRef>
              <c:f>'[Fiji Scenario Analysis 070420 new.xlsx]Debt'!$B$5:$B$46</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new.xlsx]Debt'!$F$5:$F$46</c:f>
              <c:numCache>
                <c:formatCode>0.0%</c:formatCode>
                <c:ptCount val="42"/>
                <c:pt idx="0">
                  <c:v>0.36344498434099998</c:v>
                </c:pt>
                <c:pt idx="1">
                  <c:v>0.35359689512600001</c:v>
                </c:pt>
                <c:pt idx="2">
                  <c:v>0.36854910165299998</c:v>
                </c:pt>
                <c:pt idx="3">
                  <c:v>0.36976041947999999</c:v>
                </c:pt>
                <c:pt idx="4">
                  <c:v>0.36821275133600001</c:v>
                </c:pt>
                <c:pt idx="5">
                  <c:v>0.37249421428399998</c:v>
                </c:pt>
                <c:pt idx="6">
                  <c:v>0.39273074328800001</c:v>
                </c:pt>
                <c:pt idx="7">
                  <c:v>0.42069729326100003</c:v>
                </c:pt>
                <c:pt idx="8">
                  <c:v>0.39378626104100001</c:v>
                </c:pt>
                <c:pt idx="9">
                  <c:v>0.37341466026800002</c:v>
                </c:pt>
                <c:pt idx="10">
                  <c:v>0.421310931813</c:v>
                </c:pt>
                <c:pt idx="11">
                  <c:v>0.44803212197499998</c:v>
                </c:pt>
                <c:pt idx="12">
                  <c:v>0.47662538236599999</c:v>
                </c:pt>
                <c:pt idx="13">
                  <c:v>0.47789818525599997</c:v>
                </c:pt>
                <c:pt idx="14">
                  <c:v>0.49317065594100001</c:v>
                </c:pt>
                <c:pt idx="15">
                  <c:v>0.50695762000599998</c:v>
                </c:pt>
                <c:pt idx="16">
                  <c:v>0.50236834670099995</c:v>
                </c:pt>
                <c:pt idx="17">
                  <c:v>0.465566231542</c:v>
                </c:pt>
                <c:pt idx="18">
                  <c:v>0.50464821992499997</c:v>
                </c:pt>
                <c:pt idx="19">
                  <c:v>0.52822059704799995</c:v>
                </c:pt>
                <c:pt idx="20">
                  <c:v>0.54214163800399995</c:v>
                </c:pt>
                <c:pt idx="21">
                  <c:v>0.51974717135899995</c:v>
                </c:pt>
                <c:pt idx="22">
                  <c:v>0.500780684054</c:v>
                </c:pt>
                <c:pt idx="23">
                  <c:v>0.491201851415</c:v>
                </c:pt>
                <c:pt idx="24">
                  <c:v>0.45425362238200001</c:v>
                </c:pt>
                <c:pt idx="25">
                  <c:v>0.46219681371900001</c:v>
                </c:pt>
                <c:pt idx="26">
                  <c:v>0.47446875142700001</c:v>
                </c:pt>
                <c:pt idx="27">
                  <c:v>0.48250111212300001</c:v>
                </c:pt>
                <c:pt idx="28">
                  <c:v>0.494094217364</c:v>
                </c:pt>
                <c:pt idx="29">
                  <c:v>0.50166334252800004</c:v>
                </c:pt>
                <c:pt idx="30">
                  <c:v>0.51213357431499995</c:v>
                </c:pt>
                <c:pt idx="31">
                  <c:v>0.52918684582800002</c:v>
                </c:pt>
                <c:pt idx="32">
                  <c:v>0.54796570663300004</c:v>
                </c:pt>
                <c:pt idx="33">
                  <c:v>0.569974549095</c:v>
                </c:pt>
                <c:pt idx="34">
                  <c:v>0.59272356303899998</c:v>
                </c:pt>
                <c:pt idx="35">
                  <c:v>0.61597141575799996</c:v>
                </c:pt>
                <c:pt idx="36">
                  <c:v>0.63520569458300002</c:v>
                </c:pt>
                <c:pt idx="37">
                  <c:v>0.65473434962699995</c:v>
                </c:pt>
                <c:pt idx="38">
                  <c:v>0.67505692327800004</c:v>
                </c:pt>
                <c:pt idx="39">
                  <c:v>0.69591476934899998</c:v>
                </c:pt>
                <c:pt idx="40">
                  <c:v>0.71662292757000001</c:v>
                </c:pt>
                <c:pt idx="41">
                  <c:v>0.73995536124500005</c:v>
                </c:pt>
              </c:numCache>
            </c:numRef>
          </c:val>
          <c:smooth val="0"/>
          <c:extLst>
            <c:ext xmlns:c16="http://schemas.microsoft.com/office/drawing/2014/chart" uri="{C3380CC4-5D6E-409C-BE32-E72D297353CC}">
              <c16:uniqueId val="{00000003-32C3-4336-95E0-BE81B4816516}"/>
            </c:ext>
          </c:extLst>
        </c:ser>
        <c:ser>
          <c:idx val="2"/>
          <c:order val="4"/>
          <c:tx>
            <c:strRef>
              <c:f>'[Fiji Scenario Analysis 070420 new.xlsx]Debt'!$G$4</c:f>
              <c:strCache>
                <c:ptCount val="1"/>
                <c:pt idx="0">
                  <c:v>4. ST</c:v>
                </c:pt>
              </c:strCache>
            </c:strRef>
          </c:tx>
          <c:spPr>
            <a:ln w="12700" cap="rnd">
              <a:solidFill>
                <a:srgbClr val="008080"/>
              </a:solidFill>
              <a:round/>
            </a:ln>
            <a:effectLst/>
          </c:spPr>
          <c:marker>
            <c:symbol val="none"/>
          </c:marker>
          <c:cat>
            <c:strRef>
              <c:f>'[Fiji Scenario Analysis 070420 new.xlsx]Debt'!$B$5:$B$46</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new.xlsx]Debt'!$G$5:$G$46</c:f>
              <c:numCache>
                <c:formatCode>0.0%</c:formatCode>
                <c:ptCount val="42"/>
                <c:pt idx="0">
                  <c:v>0.36344498434099998</c:v>
                </c:pt>
                <c:pt idx="1">
                  <c:v>0.35359689512600001</c:v>
                </c:pt>
                <c:pt idx="2">
                  <c:v>0.36854910165299998</c:v>
                </c:pt>
                <c:pt idx="3">
                  <c:v>0.36976041947999999</c:v>
                </c:pt>
                <c:pt idx="4">
                  <c:v>0.36821275133600001</c:v>
                </c:pt>
                <c:pt idx="5">
                  <c:v>0.37249421428399998</c:v>
                </c:pt>
                <c:pt idx="6">
                  <c:v>0.39273074328800001</c:v>
                </c:pt>
                <c:pt idx="7">
                  <c:v>0.42069729326100003</c:v>
                </c:pt>
                <c:pt idx="8">
                  <c:v>0.39378626104100001</c:v>
                </c:pt>
                <c:pt idx="9">
                  <c:v>0.37341466026800002</c:v>
                </c:pt>
                <c:pt idx="10">
                  <c:v>0.421310931813</c:v>
                </c:pt>
                <c:pt idx="11">
                  <c:v>0.44803212197499998</c:v>
                </c:pt>
                <c:pt idx="12">
                  <c:v>0.47662538236599999</c:v>
                </c:pt>
                <c:pt idx="13">
                  <c:v>0.47789818525599997</c:v>
                </c:pt>
                <c:pt idx="14">
                  <c:v>0.49317065594100001</c:v>
                </c:pt>
                <c:pt idx="15">
                  <c:v>0.50695762000599998</c:v>
                </c:pt>
                <c:pt idx="16">
                  <c:v>0.50236834670099995</c:v>
                </c:pt>
                <c:pt idx="17">
                  <c:v>0.465566231542</c:v>
                </c:pt>
                <c:pt idx="18">
                  <c:v>0.50464821992499997</c:v>
                </c:pt>
                <c:pt idx="19">
                  <c:v>0.52822059704799995</c:v>
                </c:pt>
                <c:pt idx="20">
                  <c:v>0.54214163800399995</c:v>
                </c:pt>
                <c:pt idx="21">
                  <c:v>0.51974717135899995</c:v>
                </c:pt>
                <c:pt idx="22">
                  <c:v>0.500780684054</c:v>
                </c:pt>
                <c:pt idx="23">
                  <c:v>0.491201851415</c:v>
                </c:pt>
                <c:pt idx="24">
                  <c:v>0.45425362238200001</c:v>
                </c:pt>
                <c:pt idx="25">
                  <c:v>0.46219681371900001</c:v>
                </c:pt>
                <c:pt idx="26">
                  <c:v>0.47446875142700001</c:v>
                </c:pt>
                <c:pt idx="27">
                  <c:v>0.48250111212300001</c:v>
                </c:pt>
                <c:pt idx="28">
                  <c:v>0.494094217364</c:v>
                </c:pt>
                <c:pt idx="29">
                  <c:v>0.50166334252800004</c:v>
                </c:pt>
                <c:pt idx="30">
                  <c:v>0.51213357431499995</c:v>
                </c:pt>
                <c:pt idx="31">
                  <c:v>0.51277945419500004</c:v>
                </c:pt>
                <c:pt idx="32">
                  <c:v>0.51378590381699996</c:v>
                </c:pt>
                <c:pt idx="33">
                  <c:v>0.51512667612399998</c:v>
                </c:pt>
                <c:pt idx="34">
                  <c:v>0.52096437690499997</c:v>
                </c:pt>
                <c:pt idx="35">
                  <c:v>0.52601888998900004</c:v>
                </c:pt>
                <c:pt idx="36">
                  <c:v>0.52803206949600001</c:v>
                </c:pt>
                <c:pt idx="37">
                  <c:v>0.53039892603200001</c:v>
                </c:pt>
                <c:pt idx="38">
                  <c:v>0.53317850535800004</c:v>
                </c:pt>
                <c:pt idx="39">
                  <c:v>0.536246215754</c:v>
                </c:pt>
                <c:pt idx="40">
                  <c:v>0.53954948807900005</c:v>
                </c:pt>
                <c:pt idx="41">
                  <c:v>0.54452910215000006</c:v>
                </c:pt>
              </c:numCache>
            </c:numRef>
          </c:val>
          <c:smooth val="0"/>
          <c:extLst>
            <c:ext xmlns:c16="http://schemas.microsoft.com/office/drawing/2014/chart" uri="{C3380CC4-5D6E-409C-BE32-E72D297353CC}">
              <c16:uniqueId val="{00000004-32C3-4336-95E0-BE81B4816516}"/>
            </c:ext>
          </c:extLst>
        </c:ser>
        <c:ser>
          <c:idx val="1"/>
          <c:order val="5"/>
          <c:tx>
            <c:strRef>
              <c:f>'[Fiji Scenario Analysis 070420 new.xlsx]Debt'!$H$4</c:f>
              <c:strCache>
                <c:ptCount val="1"/>
                <c:pt idx="0">
                  <c:v>5. ST_CLIMATE</c:v>
                </c:pt>
              </c:strCache>
            </c:strRef>
          </c:tx>
          <c:spPr>
            <a:ln w="12700" cap="rnd">
              <a:solidFill>
                <a:srgbClr val="ED7D31"/>
              </a:solidFill>
              <a:prstDash val="sysDash"/>
              <a:round/>
            </a:ln>
            <a:effectLst/>
          </c:spPr>
          <c:marker>
            <c:symbol val="none"/>
          </c:marker>
          <c:cat>
            <c:strRef>
              <c:f>'[Fiji Scenario Analysis 070420 new.xlsx]Debt'!$B$5:$B$46</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new.xlsx]Debt'!$H$5:$H$46</c:f>
              <c:numCache>
                <c:formatCode>0.0%</c:formatCode>
                <c:ptCount val="42"/>
                <c:pt idx="0">
                  <c:v>0.36344498434099998</c:v>
                </c:pt>
                <c:pt idx="1">
                  <c:v>0.35359689512600001</c:v>
                </c:pt>
                <c:pt idx="2">
                  <c:v>0.36854910165299998</c:v>
                </c:pt>
                <c:pt idx="3">
                  <c:v>0.36976041947999999</c:v>
                </c:pt>
                <c:pt idx="4">
                  <c:v>0.36821275133600001</c:v>
                </c:pt>
                <c:pt idx="5">
                  <c:v>0.37249421428399998</c:v>
                </c:pt>
                <c:pt idx="6">
                  <c:v>0.39273074328800001</c:v>
                </c:pt>
                <c:pt idx="7">
                  <c:v>0.42069729326100003</c:v>
                </c:pt>
                <c:pt idx="8">
                  <c:v>0.39378626104100001</c:v>
                </c:pt>
                <c:pt idx="9">
                  <c:v>0.37341466026800002</c:v>
                </c:pt>
                <c:pt idx="10">
                  <c:v>0.421310931813</c:v>
                </c:pt>
                <c:pt idx="11">
                  <c:v>0.44803212197499998</c:v>
                </c:pt>
                <c:pt idx="12">
                  <c:v>0.47662538236599999</c:v>
                </c:pt>
                <c:pt idx="13">
                  <c:v>0.47789818525599997</c:v>
                </c:pt>
                <c:pt idx="14">
                  <c:v>0.49317065594100001</c:v>
                </c:pt>
                <c:pt idx="15">
                  <c:v>0.50695762000599998</c:v>
                </c:pt>
                <c:pt idx="16">
                  <c:v>0.50236834670099995</c:v>
                </c:pt>
                <c:pt idx="17">
                  <c:v>0.465566231542</c:v>
                </c:pt>
                <c:pt idx="18">
                  <c:v>0.50464821992499997</c:v>
                </c:pt>
                <c:pt idx="19">
                  <c:v>0.52822059704799995</c:v>
                </c:pt>
                <c:pt idx="20">
                  <c:v>0.54214163800399995</c:v>
                </c:pt>
                <c:pt idx="21">
                  <c:v>0.51974717135899995</c:v>
                </c:pt>
                <c:pt idx="22">
                  <c:v>0.500780684054</c:v>
                </c:pt>
                <c:pt idx="23">
                  <c:v>0.491201851415</c:v>
                </c:pt>
                <c:pt idx="24">
                  <c:v>0.45425362238200001</c:v>
                </c:pt>
                <c:pt idx="25">
                  <c:v>0.46219681371900001</c:v>
                </c:pt>
                <c:pt idx="26">
                  <c:v>0.47446875142700001</c:v>
                </c:pt>
                <c:pt idx="27">
                  <c:v>0.48250111212300001</c:v>
                </c:pt>
                <c:pt idx="28">
                  <c:v>0.494094217364</c:v>
                </c:pt>
                <c:pt idx="29">
                  <c:v>0.50166334252800004</c:v>
                </c:pt>
                <c:pt idx="30">
                  <c:v>0.51213357431499995</c:v>
                </c:pt>
                <c:pt idx="31">
                  <c:v>0.522577635215</c:v>
                </c:pt>
                <c:pt idx="32">
                  <c:v>0.53107040774199998</c:v>
                </c:pt>
                <c:pt idx="33">
                  <c:v>0.53316665232000005</c:v>
                </c:pt>
                <c:pt idx="34">
                  <c:v>0.53147367735999995</c:v>
                </c:pt>
                <c:pt idx="35">
                  <c:v>0.52550270825099998</c:v>
                </c:pt>
                <c:pt idx="36">
                  <c:v>0.51993203570099999</c:v>
                </c:pt>
                <c:pt idx="37">
                  <c:v>0.51467419749599996</c:v>
                </c:pt>
                <c:pt idx="38">
                  <c:v>0.50969588024000001</c:v>
                </c:pt>
                <c:pt idx="39">
                  <c:v>0.504859301225</c:v>
                </c:pt>
                <c:pt idx="40">
                  <c:v>0.50011280636199995</c:v>
                </c:pt>
                <c:pt idx="41">
                  <c:v>0.49677333922</c:v>
                </c:pt>
              </c:numCache>
            </c:numRef>
          </c:val>
          <c:smooth val="0"/>
          <c:extLst>
            <c:ext xmlns:c16="http://schemas.microsoft.com/office/drawing/2014/chart" uri="{C3380CC4-5D6E-409C-BE32-E72D297353CC}">
              <c16:uniqueId val="{00000005-32C3-4336-95E0-BE81B4816516}"/>
            </c:ext>
          </c:extLst>
        </c:ser>
        <c:ser>
          <c:idx val="0"/>
          <c:order val="6"/>
          <c:tx>
            <c:strRef>
              <c:f>'[Fiji Scenario Analysis 070420 new.xlsx]Debt'!$I$4</c:f>
              <c:strCache>
                <c:ptCount val="1"/>
                <c:pt idx="0">
                  <c:v>6. ST_SDG</c:v>
                </c:pt>
              </c:strCache>
            </c:strRef>
          </c:tx>
          <c:spPr>
            <a:ln w="12700" cap="rnd">
              <a:solidFill>
                <a:srgbClr val="4472C4"/>
              </a:solidFill>
              <a:prstDash val="dash"/>
              <a:round/>
            </a:ln>
            <a:effectLst/>
          </c:spPr>
          <c:marker>
            <c:symbol val="none"/>
          </c:marker>
          <c:cat>
            <c:strRef>
              <c:f>'[Fiji Scenario Analysis 070420 new.xlsx]Debt'!$B$5:$B$46</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Final</c:v>
                </c:pt>
              </c:strCache>
            </c:strRef>
          </c:cat>
          <c:val>
            <c:numRef>
              <c:f>'[Fiji Scenario Analysis 070420 new.xlsx]Debt'!$I$5:$I$46</c:f>
              <c:numCache>
                <c:formatCode>0.0%</c:formatCode>
                <c:ptCount val="42"/>
                <c:pt idx="0">
                  <c:v>0.36344498434099998</c:v>
                </c:pt>
                <c:pt idx="1">
                  <c:v>0.35359689512600001</c:v>
                </c:pt>
                <c:pt idx="2">
                  <c:v>0.36854910165299998</c:v>
                </c:pt>
                <c:pt idx="3">
                  <c:v>0.36976041947999999</c:v>
                </c:pt>
                <c:pt idx="4">
                  <c:v>0.36821275133600001</c:v>
                </c:pt>
                <c:pt idx="5">
                  <c:v>0.37249421428399998</c:v>
                </c:pt>
                <c:pt idx="6">
                  <c:v>0.39273074328800001</c:v>
                </c:pt>
                <c:pt idx="7">
                  <c:v>0.42069729326100003</c:v>
                </c:pt>
                <c:pt idx="8">
                  <c:v>0.39378626104100001</c:v>
                </c:pt>
                <c:pt idx="9">
                  <c:v>0.37341466026800002</c:v>
                </c:pt>
                <c:pt idx="10">
                  <c:v>0.421310931813</c:v>
                </c:pt>
                <c:pt idx="11">
                  <c:v>0.44803212197499998</c:v>
                </c:pt>
                <c:pt idx="12">
                  <c:v>0.47662538236599999</c:v>
                </c:pt>
                <c:pt idx="13">
                  <c:v>0.47789818525599997</c:v>
                </c:pt>
                <c:pt idx="14">
                  <c:v>0.49317065594100001</c:v>
                </c:pt>
                <c:pt idx="15">
                  <c:v>0.50695762000599998</c:v>
                </c:pt>
                <c:pt idx="16">
                  <c:v>0.50236834670099995</c:v>
                </c:pt>
                <c:pt idx="17">
                  <c:v>0.465566231542</c:v>
                </c:pt>
                <c:pt idx="18">
                  <c:v>0.50464821992499997</c:v>
                </c:pt>
                <c:pt idx="19">
                  <c:v>0.52822059704799995</c:v>
                </c:pt>
                <c:pt idx="20">
                  <c:v>0.54214163800399995</c:v>
                </c:pt>
                <c:pt idx="21">
                  <c:v>0.51974717135899995</c:v>
                </c:pt>
                <c:pt idx="22">
                  <c:v>0.500780684054</c:v>
                </c:pt>
                <c:pt idx="23">
                  <c:v>0.491201851415</c:v>
                </c:pt>
                <c:pt idx="24">
                  <c:v>0.45425362238200001</c:v>
                </c:pt>
                <c:pt idx="25">
                  <c:v>0.46219681371900001</c:v>
                </c:pt>
                <c:pt idx="26">
                  <c:v>0.47446875142700001</c:v>
                </c:pt>
                <c:pt idx="27">
                  <c:v>0.48250111212300001</c:v>
                </c:pt>
                <c:pt idx="28">
                  <c:v>0.494094217364</c:v>
                </c:pt>
                <c:pt idx="29">
                  <c:v>0.50166334252800004</c:v>
                </c:pt>
                <c:pt idx="30">
                  <c:v>0.51213357431499995</c:v>
                </c:pt>
                <c:pt idx="31">
                  <c:v>0.526900127075</c:v>
                </c:pt>
                <c:pt idx="32">
                  <c:v>0.55716929984100005</c:v>
                </c:pt>
                <c:pt idx="33">
                  <c:v>0.58764462231100001</c:v>
                </c:pt>
                <c:pt idx="34">
                  <c:v>0.61166751548499998</c:v>
                </c:pt>
                <c:pt idx="35">
                  <c:v>0.62373371603399996</c:v>
                </c:pt>
                <c:pt idx="36">
                  <c:v>0.61034281725499995</c:v>
                </c:pt>
                <c:pt idx="37">
                  <c:v>0.60492650295999995</c:v>
                </c:pt>
                <c:pt idx="38">
                  <c:v>0.59716019354399996</c:v>
                </c:pt>
                <c:pt idx="39">
                  <c:v>0.58594586179899999</c:v>
                </c:pt>
                <c:pt idx="40">
                  <c:v>0.57535333646499998</c:v>
                </c:pt>
                <c:pt idx="41">
                  <c:v>0.56748047453299999</c:v>
                </c:pt>
              </c:numCache>
            </c:numRef>
          </c:val>
          <c:smooth val="0"/>
          <c:extLst>
            <c:ext xmlns:c16="http://schemas.microsoft.com/office/drawing/2014/chart" uri="{C3380CC4-5D6E-409C-BE32-E72D297353CC}">
              <c16:uniqueId val="{00000006-32C3-4336-95E0-BE81B4816516}"/>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ax val="1"/>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Debt to GDP Ratio</a:t>
                </a:r>
                <a:r>
                  <a:rPr lang="en-AU" baseline="0"/>
                  <a:t> (%)</a:t>
                </a:r>
                <a:endParaRPr lang="en-AU"/>
              </a:p>
            </c:rich>
          </c:tx>
          <c:layout>
            <c:manualLayout>
              <c:xMode val="edge"/>
              <c:yMode val="edge"/>
              <c:x val="4.2561517856540424E-3"/>
              <c:y val="0.3427491008068435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0.1"/>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4585394162413"/>
          <c:y val="1.7970253718285215E-2"/>
          <c:w val="0.87266318468985349"/>
          <c:h val="0.81338425925925928"/>
        </c:manualLayout>
      </c:layout>
      <c:lineChart>
        <c:grouping val="standard"/>
        <c:varyColors val="0"/>
        <c:ser>
          <c:idx val="6"/>
          <c:order val="0"/>
          <c:tx>
            <c:strRef>
              <c:f>'[Fiji Scenario Analysis 070420 new.xlsx]Population'!$D$3</c:f>
              <c:strCache>
                <c:ptCount val="1"/>
                <c:pt idx="0">
                  <c:v>BAU</c:v>
                </c:pt>
              </c:strCache>
            </c:strRef>
          </c:tx>
          <c:spPr>
            <a:ln w="12700" cap="rnd">
              <a:solidFill>
                <a:srgbClr val="FFC000"/>
              </a:solidFill>
              <a:prstDash val="solid"/>
              <a:round/>
            </a:ln>
            <a:effectLst/>
          </c:spPr>
          <c:marker>
            <c:symbol val="none"/>
          </c:marker>
          <c:cat>
            <c:numRef>
              <c:f>'[Fiji Scenario Analysis 070420 new.xlsx]Population'!$B$4:$B$44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'[Fiji Scenario Analysis 070420 new.xlsx]Population'!$D$4:$D$45</c:f>
              <c:numCache>
                <c:formatCode>General</c:formatCode>
                <c:ptCount val="42"/>
                <c:pt idx="0">
                  <c:v>728575</c:v>
                </c:pt>
                <c:pt idx="1">
                  <c:v>732612.34713600005</c:v>
                </c:pt>
                <c:pt idx="2">
                  <c:v>737479.54160700005</c:v>
                </c:pt>
                <c:pt idx="3">
                  <c:v>743275.58649000002</c:v>
                </c:pt>
                <c:pt idx="4">
                  <c:v>750062.26538500004</c:v>
                </c:pt>
                <c:pt idx="5">
                  <c:v>757905.11706700001</c:v>
                </c:pt>
                <c:pt idx="6">
                  <c:v>766323.86869200005</c:v>
                </c:pt>
                <c:pt idx="7">
                  <c:v>774403.95652500005</c:v>
                </c:pt>
                <c:pt idx="8">
                  <c:v>782187.52574399998</c:v>
                </c:pt>
                <c:pt idx="9">
                  <c:v>789726.57882199995</c:v>
                </c:pt>
                <c:pt idx="10">
                  <c:v>797023.21014700003</c:v>
                </c:pt>
                <c:pt idx="11">
                  <c:v>803842.41543199995</c:v>
                </c:pt>
                <c:pt idx="12">
                  <c:v>809804.63414600003</c:v>
                </c:pt>
                <c:pt idx="13">
                  <c:v>814908.83109500003</c:v>
                </c:pt>
                <c:pt idx="14">
                  <c:v>819131.33188399998</c:v>
                </c:pt>
                <c:pt idx="15">
                  <c:v>822435.52156699996</c:v>
                </c:pt>
                <c:pt idx="16">
                  <c:v>825612.49889399996</c:v>
                </c:pt>
                <c:pt idx="17">
                  <c:v>830023.62716499995</c:v>
                </c:pt>
                <c:pt idx="18">
                  <c:v>835730.00470000005</c:v>
                </c:pt>
                <c:pt idx="19">
                  <c:v>842780.48084800004</c:v>
                </c:pt>
                <c:pt idx="20">
                  <c:v>851233.696842</c:v>
                </c:pt>
                <c:pt idx="21">
                  <c:v>860200.625841</c:v>
                </c:pt>
                <c:pt idx="22">
                  <c:v>868074.85692199995</c:v>
                </c:pt>
                <c:pt idx="23">
                  <c:v>874799.72626799997</c:v>
                </c:pt>
                <c:pt idx="24">
                  <c:v>880269.42574900005</c:v>
                </c:pt>
                <c:pt idx="25">
                  <c:v>884392.57648799999</c:v>
                </c:pt>
                <c:pt idx="26">
                  <c:v>887552.32920799998</c:v>
                </c:pt>
                <c:pt idx="27">
                  <c:v>890429.96088899998</c:v>
                </c:pt>
                <c:pt idx="28">
                  <c:v>893014.38408600003</c:v>
                </c:pt>
                <c:pt idx="29">
                  <c:v>895299.45220699999</c:v>
                </c:pt>
                <c:pt idx="30">
                  <c:v>897281.62345700001</c:v>
                </c:pt>
                <c:pt idx="31">
                  <c:v>899087.567438</c:v>
                </c:pt>
                <c:pt idx="32">
                  <c:v>900961.48192399996</c:v>
                </c:pt>
                <c:pt idx="33">
                  <c:v>902901.356042</c:v>
                </c:pt>
                <c:pt idx="34">
                  <c:v>904920.59776300006</c:v>
                </c:pt>
                <c:pt idx="35">
                  <c:v>907034.63518500002</c:v>
                </c:pt>
                <c:pt idx="36">
                  <c:v>909253.73451600003</c:v>
                </c:pt>
                <c:pt idx="37">
                  <c:v>911597.491087</c:v>
                </c:pt>
                <c:pt idx="38">
                  <c:v>914105.22544199997</c:v>
                </c:pt>
                <c:pt idx="39">
                  <c:v>916817.10293099994</c:v>
                </c:pt>
                <c:pt idx="40">
                  <c:v>919771.31015899999</c:v>
                </c:pt>
                <c:pt idx="41">
                  <c:v>922857.40463799995</c:v>
                </c:pt>
              </c:numCache>
            </c:numRef>
          </c:val>
          <c:smooth val="0"/>
          <c:extLst>
            <c:ext xmlns:c16="http://schemas.microsoft.com/office/drawing/2014/chart" uri="{C3380CC4-5D6E-409C-BE32-E72D297353CC}">
              <c16:uniqueId val="{00000000-195D-40C1-900B-EB4EFE52A0EE}"/>
            </c:ext>
          </c:extLst>
        </c:ser>
        <c:ser>
          <c:idx val="5"/>
          <c:order val="1"/>
          <c:tx>
            <c:strRef>
              <c:f>'[Fiji Scenario Analysis 070420 new.xlsx]Population'!$E$3</c:f>
              <c:strCache>
                <c:ptCount val="1"/>
                <c:pt idx="0">
                  <c:v>1. GAC</c:v>
                </c:pt>
              </c:strCache>
            </c:strRef>
          </c:tx>
          <c:spPr>
            <a:ln w="12700" cap="rnd">
              <a:solidFill>
                <a:srgbClr val="FF0000"/>
              </a:solidFill>
              <a:round/>
            </a:ln>
            <a:effectLst/>
          </c:spPr>
          <c:marker>
            <c:symbol val="none"/>
          </c:marker>
          <c:cat>
            <c:numRef>
              <c:f>'[Fiji Scenario Analysis 070420 new.xlsx]Population'!$B$4:$B$44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'[Fiji Scenario Analysis 070420 new.xlsx]Population'!$E$4:$E$45</c:f>
              <c:numCache>
                <c:formatCode>General</c:formatCode>
                <c:ptCount val="42"/>
                <c:pt idx="0">
                  <c:v>728575</c:v>
                </c:pt>
                <c:pt idx="1">
                  <c:v>732612.34713600005</c:v>
                </c:pt>
                <c:pt idx="2">
                  <c:v>737479.54160700005</c:v>
                </c:pt>
                <c:pt idx="3">
                  <c:v>743275.58649000002</c:v>
                </c:pt>
                <c:pt idx="4">
                  <c:v>750062.26538500004</c:v>
                </c:pt>
                <c:pt idx="5">
                  <c:v>757905.11706700001</c:v>
                </c:pt>
                <c:pt idx="6">
                  <c:v>766323.86869200005</c:v>
                </c:pt>
                <c:pt idx="7">
                  <c:v>774403.95652500005</c:v>
                </c:pt>
                <c:pt idx="8">
                  <c:v>782187.52574399998</c:v>
                </c:pt>
                <c:pt idx="9">
                  <c:v>789726.57882199995</c:v>
                </c:pt>
                <c:pt idx="10">
                  <c:v>797023.21014700003</c:v>
                </c:pt>
                <c:pt idx="11">
                  <c:v>803842.41543199995</c:v>
                </c:pt>
                <c:pt idx="12">
                  <c:v>809804.63414600003</c:v>
                </c:pt>
                <c:pt idx="13">
                  <c:v>814908.83109500003</c:v>
                </c:pt>
                <c:pt idx="14">
                  <c:v>819131.33188399998</c:v>
                </c:pt>
                <c:pt idx="15">
                  <c:v>822435.52156699996</c:v>
                </c:pt>
                <c:pt idx="16">
                  <c:v>825612.49889399996</c:v>
                </c:pt>
                <c:pt idx="17">
                  <c:v>830023.62716499995</c:v>
                </c:pt>
                <c:pt idx="18">
                  <c:v>835730.00470000005</c:v>
                </c:pt>
                <c:pt idx="19">
                  <c:v>842780.48084800004</c:v>
                </c:pt>
                <c:pt idx="20">
                  <c:v>851233.696842</c:v>
                </c:pt>
                <c:pt idx="21">
                  <c:v>860200.625841</c:v>
                </c:pt>
                <c:pt idx="22">
                  <c:v>868074.85692199995</c:v>
                </c:pt>
                <c:pt idx="23">
                  <c:v>874799.72626799997</c:v>
                </c:pt>
                <c:pt idx="24">
                  <c:v>880269.42574900005</c:v>
                </c:pt>
                <c:pt idx="25">
                  <c:v>884392.57648799999</c:v>
                </c:pt>
                <c:pt idx="26">
                  <c:v>887552.32920799998</c:v>
                </c:pt>
                <c:pt idx="27">
                  <c:v>890429.96088899998</c:v>
                </c:pt>
                <c:pt idx="28">
                  <c:v>893014.38408600003</c:v>
                </c:pt>
                <c:pt idx="29">
                  <c:v>895299.45220699999</c:v>
                </c:pt>
                <c:pt idx="30">
                  <c:v>897281.62345700001</c:v>
                </c:pt>
                <c:pt idx="31">
                  <c:v>899162.08951600001</c:v>
                </c:pt>
                <c:pt idx="32">
                  <c:v>901315.89367699996</c:v>
                </c:pt>
                <c:pt idx="33">
                  <c:v>903754.22018299997</c:v>
                </c:pt>
                <c:pt idx="34">
                  <c:v>906503.73783200001</c:v>
                </c:pt>
                <c:pt idx="35">
                  <c:v>909589.17850200005</c:v>
                </c:pt>
                <c:pt idx="36">
                  <c:v>913025.06926999998</c:v>
                </c:pt>
                <c:pt idx="37">
                  <c:v>916831.85426000005</c:v>
                </c:pt>
                <c:pt idx="38">
                  <c:v>921043.13530099997</c:v>
                </c:pt>
                <c:pt idx="39">
                  <c:v>925701.63861400005</c:v>
                </c:pt>
                <c:pt idx="40">
                  <c:v>930853.43567100004</c:v>
                </c:pt>
                <c:pt idx="41">
                  <c:v>936311.73995700001</c:v>
                </c:pt>
              </c:numCache>
            </c:numRef>
          </c:val>
          <c:smooth val="0"/>
          <c:extLst>
            <c:ext xmlns:c16="http://schemas.microsoft.com/office/drawing/2014/chart" uri="{C3380CC4-5D6E-409C-BE32-E72D297353CC}">
              <c16:uniqueId val="{00000001-195D-40C1-900B-EB4EFE52A0EE}"/>
            </c:ext>
          </c:extLst>
        </c:ser>
        <c:ser>
          <c:idx val="4"/>
          <c:order val="2"/>
          <c:tx>
            <c:strRef>
              <c:f>'[Fiji Scenario Analysis 070420 new.xlsx]Population'!$F$3</c:f>
              <c:strCache>
                <c:ptCount val="1"/>
                <c:pt idx="0">
                  <c:v>2. GE</c:v>
                </c:pt>
              </c:strCache>
            </c:strRef>
          </c:tx>
          <c:spPr>
            <a:ln w="12700" cap="rnd">
              <a:solidFill>
                <a:srgbClr val="7CBF33"/>
              </a:solidFill>
              <a:round/>
            </a:ln>
            <a:effectLst/>
          </c:spPr>
          <c:marker>
            <c:symbol val="none"/>
          </c:marker>
          <c:cat>
            <c:numRef>
              <c:f>'[Fiji Scenario Analysis 070420 new.xlsx]Population'!$B$4:$B$44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'[Fiji Scenario Analysis 070420 new.xlsx]Population'!$F$4:$F$45</c:f>
              <c:numCache>
                <c:formatCode>General</c:formatCode>
                <c:ptCount val="42"/>
                <c:pt idx="0">
                  <c:v>728575</c:v>
                </c:pt>
                <c:pt idx="1">
                  <c:v>732612.34713600005</c:v>
                </c:pt>
                <c:pt idx="2">
                  <c:v>737479.54160700005</c:v>
                </c:pt>
                <c:pt idx="3">
                  <c:v>743275.58649000002</c:v>
                </c:pt>
                <c:pt idx="4">
                  <c:v>750062.26538500004</c:v>
                </c:pt>
                <c:pt idx="5">
                  <c:v>757905.11706700001</c:v>
                </c:pt>
                <c:pt idx="6">
                  <c:v>766323.86869200005</c:v>
                </c:pt>
                <c:pt idx="7">
                  <c:v>774403.95652500005</c:v>
                </c:pt>
                <c:pt idx="8">
                  <c:v>782187.52574399998</c:v>
                </c:pt>
                <c:pt idx="9">
                  <c:v>789726.57882199995</c:v>
                </c:pt>
                <c:pt idx="10">
                  <c:v>797023.21014700003</c:v>
                </c:pt>
                <c:pt idx="11">
                  <c:v>803842.41543199995</c:v>
                </c:pt>
                <c:pt idx="12">
                  <c:v>809804.63414600003</c:v>
                </c:pt>
                <c:pt idx="13">
                  <c:v>814908.83109500003</c:v>
                </c:pt>
                <c:pt idx="14">
                  <c:v>819131.33188399998</c:v>
                </c:pt>
                <c:pt idx="15">
                  <c:v>822435.52156699996</c:v>
                </c:pt>
                <c:pt idx="16">
                  <c:v>825612.49889399996</c:v>
                </c:pt>
                <c:pt idx="17">
                  <c:v>830023.62716499995</c:v>
                </c:pt>
                <c:pt idx="18">
                  <c:v>835730.00470000005</c:v>
                </c:pt>
                <c:pt idx="19">
                  <c:v>842780.48084800004</c:v>
                </c:pt>
                <c:pt idx="20">
                  <c:v>851233.696842</c:v>
                </c:pt>
                <c:pt idx="21">
                  <c:v>860200.625841</c:v>
                </c:pt>
                <c:pt idx="22">
                  <c:v>868074.85692199995</c:v>
                </c:pt>
                <c:pt idx="23">
                  <c:v>874799.72626799997</c:v>
                </c:pt>
                <c:pt idx="24">
                  <c:v>880269.42574900005</c:v>
                </c:pt>
                <c:pt idx="25">
                  <c:v>884392.57648799999</c:v>
                </c:pt>
                <c:pt idx="26">
                  <c:v>887552.32920799998</c:v>
                </c:pt>
                <c:pt idx="27">
                  <c:v>890429.96088899998</c:v>
                </c:pt>
                <c:pt idx="28">
                  <c:v>893014.38408600003</c:v>
                </c:pt>
                <c:pt idx="29">
                  <c:v>895299.45220699999</c:v>
                </c:pt>
                <c:pt idx="30">
                  <c:v>897281.62345700001</c:v>
                </c:pt>
                <c:pt idx="31">
                  <c:v>899102.52747299999</c:v>
                </c:pt>
                <c:pt idx="32">
                  <c:v>901024.99927499995</c:v>
                </c:pt>
                <c:pt idx="33">
                  <c:v>903042.16343199997</c:v>
                </c:pt>
                <c:pt idx="34">
                  <c:v>905163.37930100004</c:v>
                </c:pt>
                <c:pt idx="35">
                  <c:v>907398.947973</c:v>
                </c:pt>
                <c:pt idx="36">
                  <c:v>909757.98744900001</c:v>
                </c:pt>
                <c:pt idx="37">
                  <c:v>912253.14942699997</c:v>
                </c:pt>
                <c:pt idx="38">
                  <c:v>914914.56467700005</c:v>
                </c:pt>
                <c:pt idx="39">
                  <c:v>917785.36948899995</c:v>
                </c:pt>
                <c:pt idx="40">
                  <c:v>920901.13822299999</c:v>
                </c:pt>
                <c:pt idx="41">
                  <c:v>924150.55262700003</c:v>
                </c:pt>
              </c:numCache>
            </c:numRef>
          </c:val>
          <c:smooth val="0"/>
          <c:extLst>
            <c:ext xmlns:c16="http://schemas.microsoft.com/office/drawing/2014/chart" uri="{C3380CC4-5D6E-409C-BE32-E72D297353CC}">
              <c16:uniqueId val="{00000002-195D-40C1-900B-EB4EFE52A0EE}"/>
            </c:ext>
          </c:extLst>
        </c:ser>
        <c:ser>
          <c:idx val="3"/>
          <c:order val="3"/>
          <c:tx>
            <c:strRef>
              <c:f>'[Fiji Scenario Analysis 070420 new.xlsx]Population'!$G$3</c:f>
              <c:strCache>
                <c:ptCount val="1"/>
                <c:pt idx="0">
                  <c:v>3. IG</c:v>
                </c:pt>
              </c:strCache>
            </c:strRef>
          </c:tx>
          <c:spPr>
            <a:ln w="12700" cap="rnd">
              <a:solidFill>
                <a:srgbClr val="00B0F0"/>
              </a:solidFill>
              <a:round/>
            </a:ln>
            <a:effectLst/>
          </c:spPr>
          <c:marker>
            <c:symbol val="none"/>
          </c:marker>
          <c:cat>
            <c:numRef>
              <c:f>'[Fiji Scenario Analysis 070420 new.xlsx]Population'!$B$4:$B$44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'[Fiji Scenario Analysis 070420 new.xlsx]Population'!$G$4:$G$45</c:f>
              <c:numCache>
                <c:formatCode>General</c:formatCode>
                <c:ptCount val="42"/>
                <c:pt idx="0">
                  <c:v>728575</c:v>
                </c:pt>
                <c:pt idx="1">
                  <c:v>732612.34713600005</c:v>
                </c:pt>
                <c:pt idx="2">
                  <c:v>737479.54160700005</c:v>
                </c:pt>
                <c:pt idx="3">
                  <c:v>743275.58649000002</c:v>
                </c:pt>
                <c:pt idx="4">
                  <c:v>750062.26538500004</c:v>
                </c:pt>
                <c:pt idx="5">
                  <c:v>757905.11706700001</c:v>
                </c:pt>
                <c:pt idx="6">
                  <c:v>766323.86869200005</c:v>
                </c:pt>
                <c:pt idx="7">
                  <c:v>774403.95652500005</c:v>
                </c:pt>
                <c:pt idx="8">
                  <c:v>782187.52574399998</c:v>
                </c:pt>
                <c:pt idx="9">
                  <c:v>789726.57882199995</c:v>
                </c:pt>
                <c:pt idx="10">
                  <c:v>797023.21014700003</c:v>
                </c:pt>
                <c:pt idx="11">
                  <c:v>803842.41543199995</c:v>
                </c:pt>
                <c:pt idx="12">
                  <c:v>809804.63414600003</c:v>
                </c:pt>
                <c:pt idx="13">
                  <c:v>814908.83109500003</c:v>
                </c:pt>
                <c:pt idx="14">
                  <c:v>819131.33188399998</c:v>
                </c:pt>
                <c:pt idx="15">
                  <c:v>822435.52156699996</c:v>
                </c:pt>
                <c:pt idx="16">
                  <c:v>825612.49889399996</c:v>
                </c:pt>
                <c:pt idx="17">
                  <c:v>830023.62716499995</c:v>
                </c:pt>
                <c:pt idx="18">
                  <c:v>835730.00470000005</c:v>
                </c:pt>
                <c:pt idx="19">
                  <c:v>842780.48084800004</c:v>
                </c:pt>
                <c:pt idx="20">
                  <c:v>851233.696842</c:v>
                </c:pt>
                <c:pt idx="21">
                  <c:v>860200.625841</c:v>
                </c:pt>
                <c:pt idx="22">
                  <c:v>868074.85692199995</c:v>
                </c:pt>
                <c:pt idx="23">
                  <c:v>874799.72626799997</c:v>
                </c:pt>
                <c:pt idx="24">
                  <c:v>880269.42574900005</c:v>
                </c:pt>
                <c:pt idx="25">
                  <c:v>884392.57648799999</c:v>
                </c:pt>
                <c:pt idx="26">
                  <c:v>887552.32920799998</c:v>
                </c:pt>
                <c:pt idx="27">
                  <c:v>890429.96088899998</c:v>
                </c:pt>
                <c:pt idx="28">
                  <c:v>893014.38408600003</c:v>
                </c:pt>
                <c:pt idx="29">
                  <c:v>895299.45220699999</c:v>
                </c:pt>
                <c:pt idx="30">
                  <c:v>897281.62345700001</c:v>
                </c:pt>
                <c:pt idx="31">
                  <c:v>899141.46446799999</c:v>
                </c:pt>
                <c:pt idx="32">
                  <c:v>901211.95296200004</c:v>
                </c:pt>
                <c:pt idx="33">
                  <c:v>903489.02997699997</c:v>
                </c:pt>
                <c:pt idx="34">
                  <c:v>905994.80971299997</c:v>
                </c:pt>
                <c:pt idx="35">
                  <c:v>908751.05313799996</c:v>
                </c:pt>
                <c:pt idx="36">
                  <c:v>911774.48732900003</c:v>
                </c:pt>
                <c:pt idx="37">
                  <c:v>915106.91673699999</c:v>
                </c:pt>
                <c:pt idx="38">
                  <c:v>918801.48863399995</c:v>
                </c:pt>
                <c:pt idx="39">
                  <c:v>922901.98589799996</c:v>
                </c:pt>
                <c:pt idx="40">
                  <c:v>927455.71480700001</c:v>
                </c:pt>
                <c:pt idx="41">
                  <c:v>932277.84164300002</c:v>
                </c:pt>
              </c:numCache>
            </c:numRef>
          </c:val>
          <c:smooth val="0"/>
          <c:extLst>
            <c:ext xmlns:c16="http://schemas.microsoft.com/office/drawing/2014/chart" uri="{C3380CC4-5D6E-409C-BE32-E72D297353CC}">
              <c16:uniqueId val="{00000003-195D-40C1-900B-EB4EFE52A0EE}"/>
            </c:ext>
          </c:extLst>
        </c:ser>
        <c:ser>
          <c:idx val="2"/>
          <c:order val="4"/>
          <c:tx>
            <c:strRef>
              <c:f>'[Fiji Scenario Analysis 070420 new.xlsx]Population'!$H$3</c:f>
              <c:strCache>
                <c:ptCount val="1"/>
                <c:pt idx="0">
                  <c:v>4. ST</c:v>
                </c:pt>
              </c:strCache>
            </c:strRef>
          </c:tx>
          <c:spPr>
            <a:ln w="12700" cap="rnd">
              <a:solidFill>
                <a:srgbClr val="008080"/>
              </a:solidFill>
              <a:prstDash val="solid"/>
              <a:round/>
            </a:ln>
            <a:effectLst/>
          </c:spPr>
          <c:marker>
            <c:symbol val="none"/>
          </c:marker>
          <c:cat>
            <c:numRef>
              <c:f>'[Fiji Scenario Analysis 070420 new.xlsx]Population'!$B$4:$B$44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'[Fiji Scenario Analysis 070420 new.xlsx]Population'!$H$4:$H$45</c:f>
              <c:numCache>
                <c:formatCode>General</c:formatCode>
                <c:ptCount val="42"/>
                <c:pt idx="0">
                  <c:v>728575</c:v>
                </c:pt>
                <c:pt idx="1">
                  <c:v>732612.34713600005</c:v>
                </c:pt>
                <c:pt idx="2">
                  <c:v>737479.54160700005</c:v>
                </c:pt>
                <c:pt idx="3">
                  <c:v>743275.58649000002</c:v>
                </c:pt>
                <c:pt idx="4">
                  <c:v>750062.26538500004</c:v>
                </c:pt>
                <c:pt idx="5">
                  <c:v>757905.11706700001</c:v>
                </c:pt>
                <c:pt idx="6">
                  <c:v>766323.86869200005</c:v>
                </c:pt>
                <c:pt idx="7">
                  <c:v>774403.95652500005</c:v>
                </c:pt>
                <c:pt idx="8">
                  <c:v>782187.52574399998</c:v>
                </c:pt>
                <c:pt idx="9">
                  <c:v>789726.57882199995</c:v>
                </c:pt>
                <c:pt idx="10">
                  <c:v>797023.21014700003</c:v>
                </c:pt>
                <c:pt idx="11">
                  <c:v>803842.41543199995</c:v>
                </c:pt>
                <c:pt idx="12">
                  <c:v>809804.63414600003</c:v>
                </c:pt>
                <c:pt idx="13">
                  <c:v>814908.83109500003</c:v>
                </c:pt>
                <c:pt idx="14">
                  <c:v>819131.33188399998</c:v>
                </c:pt>
                <c:pt idx="15">
                  <c:v>822435.52156699996</c:v>
                </c:pt>
                <c:pt idx="16">
                  <c:v>825612.49889399996</c:v>
                </c:pt>
                <c:pt idx="17">
                  <c:v>830023.62716499995</c:v>
                </c:pt>
                <c:pt idx="18">
                  <c:v>835730.00470000005</c:v>
                </c:pt>
                <c:pt idx="19">
                  <c:v>842780.48084800004</c:v>
                </c:pt>
                <c:pt idx="20">
                  <c:v>851233.696842</c:v>
                </c:pt>
                <c:pt idx="21">
                  <c:v>860200.625841</c:v>
                </c:pt>
                <c:pt idx="22">
                  <c:v>868074.85692199995</c:v>
                </c:pt>
                <c:pt idx="23">
                  <c:v>874799.72626799997</c:v>
                </c:pt>
                <c:pt idx="24">
                  <c:v>880269.42574900005</c:v>
                </c:pt>
                <c:pt idx="25">
                  <c:v>884392.57648799999</c:v>
                </c:pt>
                <c:pt idx="26">
                  <c:v>887552.32920799998</c:v>
                </c:pt>
                <c:pt idx="27">
                  <c:v>890429.96088899998</c:v>
                </c:pt>
                <c:pt idx="28">
                  <c:v>893014.38408600003</c:v>
                </c:pt>
                <c:pt idx="29">
                  <c:v>895299.45220699999</c:v>
                </c:pt>
                <c:pt idx="30">
                  <c:v>897281.62345700001</c:v>
                </c:pt>
                <c:pt idx="31">
                  <c:v>899087.65853300004</c:v>
                </c:pt>
                <c:pt idx="32">
                  <c:v>900956.40759900003</c:v>
                </c:pt>
                <c:pt idx="33">
                  <c:v>902879.36155300005</c:v>
                </c:pt>
                <c:pt idx="34">
                  <c:v>904862.31848300004</c:v>
                </c:pt>
                <c:pt idx="35">
                  <c:v>906913.90294900001</c:v>
                </c:pt>
                <c:pt idx="36">
                  <c:v>909044.33392</c:v>
                </c:pt>
                <c:pt idx="37">
                  <c:v>911276.38945599995</c:v>
                </c:pt>
                <c:pt idx="38">
                  <c:v>913658.689304</c:v>
                </c:pt>
                <c:pt idx="39">
                  <c:v>916233.13963800005</c:v>
                </c:pt>
                <c:pt idx="40">
                  <c:v>919034.40817099996</c:v>
                </c:pt>
                <c:pt idx="41">
                  <c:v>921951.01929199998</c:v>
                </c:pt>
              </c:numCache>
            </c:numRef>
          </c:val>
          <c:smooth val="0"/>
          <c:extLst>
            <c:ext xmlns:c16="http://schemas.microsoft.com/office/drawing/2014/chart" uri="{C3380CC4-5D6E-409C-BE32-E72D297353CC}">
              <c16:uniqueId val="{00000004-195D-40C1-900B-EB4EFE52A0EE}"/>
            </c:ext>
          </c:extLst>
        </c:ser>
        <c:ser>
          <c:idx val="1"/>
          <c:order val="5"/>
          <c:tx>
            <c:strRef>
              <c:f>'[Fiji Scenario Analysis 070420 new.xlsx]Population'!$I$3</c:f>
              <c:strCache>
                <c:ptCount val="1"/>
                <c:pt idx="0">
                  <c:v>5. ST_CLIMATE</c:v>
                </c:pt>
              </c:strCache>
            </c:strRef>
          </c:tx>
          <c:spPr>
            <a:ln w="12700" cap="rnd">
              <a:solidFill>
                <a:srgbClr val="ED7D31"/>
              </a:solidFill>
              <a:prstDash val="dash"/>
              <a:round/>
            </a:ln>
            <a:effectLst/>
          </c:spPr>
          <c:marker>
            <c:symbol val="none"/>
          </c:marker>
          <c:cat>
            <c:numRef>
              <c:f>'[Fiji Scenario Analysis 070420 new.xlsx]Population'!$B$4:$B$44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'[Fiji Scenario Analysis 070420 new.xlsx]Population'!$I$4:$I$45</c:f>
              <c:numCache>
                <c:formatCode>General</c:formatCode>
                <c:ptCount val="42"/>
                <c:pt idx="0">
                  <c:v>728575</c:v>
                </c:pt>
                <c:pt idx="1">
                  <c:v>732612.34713600005</c:v>
                </c:pt>
                <c:pt idx="2">
                  <c:v>737479.54160700005</c:v>
                </c:pt>
                <c:pt idx="3">
                  <c:v>743275.58649000002</c:v>
                </c:pt>
                <c:pt idx="4">
                  <c:v>750062.26538500004</c:v>
                </c:pt>
                <c:pt idx="5">
                  <c:v>757905.11706700001</c:v>
                </c:pt>
                <c:pt idx="6">
                  <c:v>766323.86869200005</c:v>
                </c:pt>
                <c:pt idx="7">
                  <c:v>774403.95652500005</c:v>
                </c:pt>
                <c:pt idx="8">
                  <c:v>782187.52574399998</c:v>
                </c:pt>
                <c:pt idx="9">
                  <c:v>789726.57882199995</c:v>
                </c:pt>
                <c:pt idx="10">
                  <c:v>797023.21014700003</c:v>
                </c:pt>
                <c:pt idx="11">
                  <c:v>803842.41543199995</c:v>
                </c:pt>
                <c:pt idx="12">
                  <c:v>809804.63414600003</c:v>
                </c:pt>
                <c:pt idx="13">
                  <c:v>814908.83109500003</c:v>
                </c:pt>
                <c:pt idx="14">
                  <c:v>819131.33188399998</c:v>
                </c:pt>
                <c:pt idx="15">
                  <c:v>822435.52156699996</c:v>
                </c:pt>
                <c:pt idx="16">
                  <c:v>825612.49889399996</c:v>
                </c:pt>
                <c:pt idx="17">
                  <c:v>830023.62716499995</c:v>
                </c:pt>
                <c:pt idx="18">
                  <c:v>835730.00470000005</c:v>
                </c:pt>
                <c:pt idx="19">
                  <c:v>842780.48084800004</c:v>
                </c:pt>
                <c:pt idx="20">
                  <c:v>851233.696842</c:v>
                </c:pt>
                <c:pt idx="21">
                  <c:v>860200.625841</c:v>
                </c:pt>
                <c:pt idx="22">
                  <c:v>868074.85692199995</c:v>
                </c:pt>
                <c:pt idx="23">
                  <c:v>874799.72626799997</c:v>
                </c:pt>
                <c:pt idx="24">
                  <c:v>880269.42574900005</c:v>
                </c:pt>
                <c:pt idx="25">
                  <c:v>884392.57648799999</c:v>
                </c:pt>
                <c:pt idx="26">
                  <c:v>887552.32920799998</c:v>
                </c:pt>
                <c:pt idx="27">
                  <c:v>890429.96088899998</c:v>
                </c:pt>
                <c:pt idx="28">
                  <c:v>893014.38408600003</c:v>
                </c:pt>
                <c:pt idx="29">
                  <c:v>895299.45220699999</c:v>
                </c:pt>
                <c:pt idx="30">
                  <c:v>897281.62345700001</c:v>
                </c:pt>
                <c:pt idx="31">
                  <c:v>899088.45007400005</c:v>
                </c:pt>
                <c:pt idx="32">
                  <c:v>900960.70525</c:v>
                </c:pt>
                <c:pt idx="33">
                  <c:v>902891.41308299999</c:v>
                </c:pt>
                <c:pt idx="34">
                  <c:v>904887.13169900002</c:v>
                </c:pt>
                <c:pt idx="35">
                  <c:v>906956.67939599999</c:v>
                </c:pt>
                <c:pt idx="36">
                  <c:v>909110.00403399998</c:v>
                </c:pt>
                <c:pt idx="37">
                  <c:v>911362.99698299996</c:v>
                </c:pt>
                <c:pt idx="38">
                  <c:v>913760.04084599996</c:v>
                </c:pt>
                <c:pt idx="39">
                  <c:v>916346.27089599997</c:v>
                </c:pt>
                <c:pt idx="40">
                  <c:v>919158.13270900003</c:v>
                </c:pt>
                <c:pt idx="41">
                  <c:v>922085.24041500001</c:v>
                </c:pt>
              </c:numCache>
            </c:numRef>
          </c:val>
          <c:smooth val="0"/>
          <c:extLst>
            <c:ext xmlns:c16="http://schemas.microsoft.com/office/drawing/2014/chart" uri="{C3380CC4-5D6E-409C-BE32-E72D297353CC}">
              <c16:uniqueId val="{00000005-195D-40C1-900B-EB4EFE52A0EE}"/>
            </c:ext>
          </c:extLst>
        </c:ser>
        <c:ser>
          <c:idx val="0"/>
          <c:order val="6"/>
          <c:tx>
            <c:strRef>
              <c:f>'[Fiji Scenario Analysis 070420 new.xlsx]Population'!$J$3</c:f>
              <c:strCache>
                <c:ptCount val="1"/>
                <c:pt idx="0">
                  <c:v>6. ST_SDG</c:v>
                </c:pt>
              </c:strCache>
            </c:strRef>
          </c:tx>
          <c:spPr>
            <a:ln w="12700" cap="rnd">
              <a:solidFill>
                <a:srgbClr val="0070C0"/>
              </a:solidFill>
              <a:prstDash val="dash"/>
              <a:round/>
            </a:ln>
            <a:effectLst/>
          </c:spPr>
          <c:marker>
            <c:symbol val="none"/>
          </c:marker>
          <c:cat>
            <c:numRef>
              <c:f>'[Fiji Scenario Analysis 070420 new.xlsx]Population'!$B$4:$B$44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'[Fiji Scenario Analysis 070420 new.xlsx]Population'!$J$4:$J$45</c:f>
              <c:numCache>
                <c:formatCode>General</c:formatCode>
                <c:ptCount val="42"/>
                <c:pt idx="0">
                  <c:v>728575</c:v>
                </c:pt>
                <c:pt idx="1">
                  <c:v>732612.34713600005</c:v>
                </c:pt>
                <c:pt idx="2">
                  <c:v>737479.54160700005</c:v>
                </c:pt>
                <c:pt idx="3">
                  <c:v>743275.58649000002</c:v>
                </c:pt>
                <c:pt idx="4">
                  <c:v>750062.26538500004</c:v>
                </c:pt>
                <c:pt idx="5">
                  <c:v>757905.11706700001</c:v>
                </c:pt>
                <c:pt idx="6">
                  <c:v>766323.86869200005</c:v>
                </c:pt>
                <c:pt idx="7">
                  <c:v>774403.95652500005</c:v>
                </c:pt>
                <c:pt idx="8">
                  <c:v>782187.52574399998</c:v>
                </c:pt>
                <c:pt idx="9">
                  <c:v>789726.57882199995</c:v>
                </c:pt>
                <c:pt idx="10">
                  <c:v>797023.21014700003</c:v>
                </c:pt>
                <c:pt idx="11">
                  <c:v>803842.41543199995</c:v>
                </c:pt>
                <c:pt idx="12">
                  <c:v>809804.63414600003</c:v>
                </c:pt>
                <c:pt idx="13">
                  <c:v>814908.83109500003</c:v>
                </c:pt>
                <c:pt idx="14">
                  <c:v>819131.33188399998</c:v>
                </c:pt>
                <c:pt idx="15">
                  <c:v>822435.52156699996</c:v>
                </c:pt>
                <c:pt idx="16">
                  <c:v>825612.49889399996</c:v>
                </c:pt>
                <c:pt idx="17">
                  <c:v>830023.62716499995</c:v>
                </c:pt>
                <c:pt idx="18">
                  <c:v>835730.00470000005</c:v>
                </c:pt>
                <c:pt idx="19">
                  <c:v>842780.48084800004</c:v>
                </c:pt>
                <c:pt idx="20">
                  <c:v>851233.696842</c:v>
                </c:pt>
                <c:pt idx="21">
                  <c:v>860200.625841</c:v>
                </c:pt>
                <c:pt idx="22">
                  <c:v>868074.85692199995</c:v>
                </c:pt>
                <c:pt idx="23">
                  <c:v>874799.72626799997</c:v>
                </c:pt>
                <c:pt idx="24">
                  <c:v>880269.42574900005</c:v>
                </c:pt>
                <c:pt idx="25">
                  <c:v>884392.57648799999</c:v>
                </c:pt>
                <c:pt idx="26">
                  <c:v>887552.32920799998</c:v>
                </c:pt>
                <c:pt idx="27">
                  <c:v>890429.96088899998</c:v>
                </c:pt>
                <c:pt idx="28">
                  <c:v>893014.38408600003</c:v>
                </c:pt>
                <c:pt idx="29">
                  <c:v>895299.45220699999</c:v>
                </c:pt>
                <c:pt idx="30">
                  <c:v>897281.62345700001</c:v>
                </c:pt>
                <c:pt idx="31">
                  <c:v>899068.71933200001</c:v>
                </c:pt>
                <c:pt idx="32">
                  <c:v>900863.95162499999</c:v>
                </c:pt>
                <c:pt idx="33">
                  <c:v>902646.53146299999</c:v>
                </c:pt>
                <c:pt idx="34">
                  <c:v>904415.15491399996</c:v>
                </c:pt>
                <c:pt idx="35">
                  <c:v>906173.343032</c:v>
                </c:pt>
                <c:pt idx="36">
                  <c:v>907926.03391300002</c:v>
                </c:pt>
                <c:pt idx="37">
                  <c:v>909715.44615099998</c:v>
                </c:pt>
                <c:pt idx="38">
                  <c:v>911596.30511900003</c:v>
                </c:pt>
                <c:pt idx="39">
                  <c:v>913621.12490199995</c:v>
                </c:pt>
                <c:pt idx="40">
                  <c:v>915831.97729399998</c:v>
                </c:pt>
                <c:pt idx="41">
                  <c:v>918123.65550999995</c:v>
                </c:pt>
              </c:numCache>
            </c:numRef>
          </c:val>
          <c:smooth val="0"/>
          <c:extLst>
            <c:ext xmlns:c16="http://schemas.microsoft.com/office/drawing/2014/chart" uri="{C3380CC4-5D6E-409C-BE32-E72D297353CC}">
              <c16:uniqueId val="{00000006-195D-40C1-900B-EB4EFE52A0EE}"/>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7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Total Population</a:t>
                </a:r>
              </a:p>
            </c:rich>
          </c:tx>
          <c:layout>
            <c:manualLayout>
              <c:xMode val="edge"/>
              <c:yMode val="edge"/>
              <c:x val="4.2561890818924022E-3"/>
              <c:y val="0.3883630335681724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36546121394772E-2"/>
          <c:y val="1.7970371747376437E-2"/>
          <c:w val="0.89734171274236629"/>
          <c:h val="0.80038337752735822"/>
        </c:manualLayout>
      </c:layout>
      <c:lineChart>
        <c:grouping val="standard"/>
        <c:varyColors val="0"/>
        <c:ser>
          <c:idx val="0"/>
          <c:order val="0"/>
          <c:tx>
            <c:strRef>
              <c:f>'[Fiji Scenario Analysis 070420 new.xlsx]GDP_All'!$C$2</c:f>
              <c:strCache>
                <c:ptCount val="1"/>
                <c:pt idx="0">
                  <c:v>BAU</c:v>
                </c:pt>
              </c:strCache>
            </c:strRef>
          </c:tx>
          <c:spPr>
            <a:ln w="12700" cap="rnd">
              <a:solidFill>
                <a:schemeClr val="accent4"/>
              </a:solidFill>
              <a:round/>
            </a:ln>
            <a:effectLst/>
          </c:spPr>
          <c:marker>
            <c:symbol val="none"/>
          </c:marker>
          <c:cat>
            <c:numRef>
              <c:f>'[Fiji Scenario Analysis 070420 new.xlsx]GDP_All'!$A$32:$A$44</c:f>
              <c:numCache>
                <c:formatCode>General</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numCache>
            </c:numRef>
          </c:cat>
          <c:val>
            <c:numRef>
              <c:f>'[Fiji Scenario Analysis 070420 new.xlsx]GDP_All'!$C$32:$C$44</c:f>
              <c:numCache>
                <c:formatCode>General</c:formatCode>
                <c:ptCount val="13"/>
                <c:pt idx="0">
                  <c:v>8.8080734371599991</c:v>
                </c:pt>
                <c:pt idx="1">
                  <c:v>8.9884868411800003</c:v>
                </c:pt>
                <c:pt idx="2">
                  <c:v>9.1997978621000005</c:v>
                </c:pt>
                <c:pt idx="3">
                  <c:v>9.3898170921100004</c:v>
                </c:pt>
                <c:pt idx="4">
                  <c:v>9.5697465537799999</c:v>
                </c:pt>
                <c:pt idx="5">
                  <c:v>9.7434070406200011</c:v>
                </c:pt>
                <c:pt idx="6">
                  <c:v>9.9165428317700002</c:v>
                </c:pt>
                <c:pt idx="7">
                  <c:v>10.0914439404</c:v>
                </c:pt>
                <c:pt idx="8">
                  <c:v>10.2690589307</c:v>
                </c:pt>
                <c:pt idx="9">
                  <c:v>10.441562654799998</c:v>
                </c:pt>
                <c:pt idx="10">
                  <c:v>10.612411831799999</c:v>
                </c:pt>
                <c:pt idx="11">
                  <c:v>10.785721649700001</c:v>
                </c:pt>
                <c:pt idx="12">
                  <c:v>10.957355679399999</c:v>
                </c:pt>
              </c:numCache>
            </c:numRef>
          </c:val>
          <c:smooth val="0"/>
          <c:extLst>
            <c:ext xmlns:c16="http://schemas.microsoft.com/office/drawing/2014/chart" uri="{C3380CC4-5D6E-409C-BE32-E72D297353CC}">
              <c16:uniqueId val="{00000001-87C7-4A3D-98B2-9365AD0CAD20}"/>
            </c:ext>
          </c:extLst>
        </c:ser>
        <c:ser>
          <c:idx val="1"/>
          <c:order val="1"/>
          <c:tx>
            <c:strRef>
              <c:f>'[Fiji Scenario Analysis 070420 new.xlsx]GDP_All'!$D$2</c:f>
              <c:strCache>
                <c:ptCount val="1"/>
                <c:pt idx="0">
                  <c:v>1. GAC</c:v>
                </c:pt>
              </c:strCache>
            </c:strRef>
          </c:tx>
          <c:spPr>
            <a:ln w="12700" cap="rnd">
              <a:solidFill>
                <a:srgbClr val="FF0000"/>
              </a:solidFill>
              <a:round/>
            </a:ln>
            <a:effectLst/>
          </c:spPr>
          <c:marker>
            <c:symbol val="none"/>
          </c:marker>
          <c:cat>
            <c:numRef>
              <c:f>'[Fiji Scenario Analysis 070420 new.xlsx]GDP_All'!$A$32:$A$44</c:f>
              <c:numCache>
                <c:formatCode>General</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numCache>
            </c:numRef>
          </c:cat>
          <c:val>
            <c:numRef>
              <c:f>'[Fiji Scenario Analysis 070420 new.xlsx]GDP_All'!$D$32:$D$44</c:f>
              <c:numCache>
                <c:formatCode>General</c:formatCode>
                <c:ptCount val="13"/>
                <c:pt idx="0">
                  <c:v>8.8080734371599991</c:v>
                </c:pt>
                <c:pt idx="1">
                  <c:v>8.9884868411800003</c:v>
                </c:pt>
                <c:pt idx="2">
                  <c:v>9.0762689775900007</c:v>
                </c:pt>
                <c:pt idx="3">
                  <c:v>9.2267482212000012</c:v>
                </c:pt>
                <c:pt idx="4">
                  <c:v>9.3718868504500001</c:v>
                </c:pt>
                <c:pt idx="5">
                  <c:v>9.51716501786</c:v>
                </c:pt>
                <c:pt idx="6">
                  <c:v>9.6662922161000004</c:v>
                </c:pt>
                <c:pt idx="7">
                  <c:v>9.8213197138999995</c:v>
                </c:pt>
                <c:pt idx="8">
                  <c:v>9.9996468134000001</c:v>
                </c:pt>
                <c:pt idx="9">
                  <c:v>10.1762642019</c:v>
                </c:pt>
                <c:pt idx="10">
                  <c:v>10.3539582701</c:v>
                </c:pt>
                <c:pt idx="11">
                  <c:v>10.5408262076</c:v>
                </c:pt>
                <c:pt idx="12">
                  <c:v>10.7190865865</c:v>
                </c:pt>
              </c:numCache>
            </c:numRef>
          </c:val>
          <c:smooth val="0"/>
          <c:extLst>
            <c:ext xmlns:c16="http://schemas.microsoft.com/office/drawing/2014/chart" uri="{C3380CC4-5D6E-409C-BE32-E72D297353CC}">
              <c16:uniqueId val="{00000003-87C7-4A3D-98B2-9365AD0CAD20}"/>
            </c:ext>
          </c:extLst>
        </c:ser>
        <c:ser>
          <c:idx val="2"/>
          <c:order val="2"/>
          <c:tx>
            <c:strRef>
              <c:f>'[Fiji Scenario Analysis 070420 new.xlsx]GDP_All'!$E$2</c:f>
              <c:strCache>
                <c:ptCount val="1"/>
                <c:pt idx="0">
                  <c:v>2. GE</c:v>
                </c:pt>
              </c:strCache>
            </c:strRef>
          </c:tx>
          <c:spPr>
            <a:ln w="12700" cap="rnd">
              <a:solidFill>
                <a:srgbClr val="92D050"/>
              </a:solidFill>
              <a:round/>
            </a:ln>
            <a:effectLst/>
          </c:spPr>
          <c:marker>
            <c:symbol val="none"/>
          </c:marker>
          <c:cat>
            <c:numRef>
              <c:f>'[Fiji Scenario Analysis 070420 new.xlsx]GDP_All'!$A$32:$A$44</c:f>
              <c:numCache>
                <c:formatCode>General</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numCache>
            </c:numRef>
          </c:cat>
          <c:val>
            <c:numRef>
              <c:f>'[Fiji Scenario Analysis 070420 new.xlsx]GDP_All'!$E$32:$E$44</c:f>
              <c:numCache>
                <c:formatCode>General</c:formatCode>
                <c:ptCount val="13"/>
                <c:pt idx="0">
                  <c:v>8.8080734371599991</c:v>
                </c:pt>
                <c:pt idx="1">
                  <c:v>8.9884868411800003</c:v>
                </c:pt>
                <c:pt idx="2">
                  <c:v>9.1803150573500005</c:v>
                </c:pt>
                <c:pt idx="3">
                  <c:v>9.3824859483500003</c:v>
                </c:pt>
                <c:pt idx="4">
                  <c:v>9.5784334562800009</c:v>
                </c:pt>
                <c:pt idx="5">
                  <c:v>9.7721532314899999</c:v>
                </c:pt>
                <c:pt idx="6">
                  <c:v>9.9669819136399997</c:v>
                </c:pt>
                <c:pt idx="7">
                  <c:v>10.165601114399999</c:v>
                </c:pt>
                <c:pt idx="8">
                  <c:v>10.365753868600001</c:v>
                </c:pt>
                <c:pt idx="9">
                  <c:v>10.5661643114</c:v>
                </c:pt>
                <c:pt idx="10">
                  <c:v>10.7682206041</c:v>
                </c:pt>
                <c:pt idx="11">
                  <c:v>10.971933781100001</c:v>
                </c:pt>
                <c:pt idx="12">
                  <c:v>11.163176526299999</c:v>
                </c:pt>
              </c:numCache>
            </c:numRef>
          </c:val>
          <c:smooth val="0"/>
          <c:extLst>
            <c:ext xmlns:c16="http://schemas.microsoft.com/office/drawing/2014/chart" uri="{C3380CC4-5D6E-409C-BE32-E72D297353CC}">
              <c16:uniqueId val="{00000005-87C7-4A3D-98B2-9365AD0CAD20}"/>
            </c:ext>
          </c:extLst>
        </c:ser>
        <c:ser>
          <c:idx val="3"/>
          <c:order val="3"/>
          <c:tx>
            <c:strRef>
              <c:f>'[Fiji Scenario Analysis 070420 new.xlsx]GDP_All'!$F$2</c:f>
              <c:strCache>
                <c:ptCount val="1"/>
                <c:pt idx="0">
                  <c:v>3. IG</c:v>
                </c:pt>
              </c:strCache>
            </c:strRef>
          </c:tx>
          <c:spPr>
            <a:ln w="12700" cap="rnd">
              <a:solidFill>
                <a:srgbClr val="00B0F0"/>
              </a:solidFill>
              <a:round/>
            </a:ln>
            <a:effectLst/>
          </c:spPr>
          <c:marker>
            <c:symbol val="none"/>
          </c:marker>
          <c:cat>
            <c:numRef>
              <c:f>'[Fiji Scenario Analysis 070420 new.xlsx]GDP_All'!$A$32:$A$44</c:f>
              <c:numCache>
                <c:formatCode>General</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numCache>
            </c:numRef>
          </c:cat>
          <c:val>
            <c:numRef>
              <c:f>'[Fiji Scenario Analysis 070420 new.xlsx]GDP_All'!$F$32:$F$44</c:f>
              <c:numCache>
                <c:formatCode>General</c:formatCode>
                <c:ptCount val="13"/>
                <c:pt idx="0">
                  <c:v>8.8080734371599991</c:v>
                </c:pt>
                <c:pt idx="1">
                  <c:v>8.9884868411800003</c:v>
                </c:pt>
                <c:pt idx="2">
                  <c:v>9.277882742440001</c:v>
                </c:pt>
                <c:pt idx="3">
                  <c:v>9.5847660323100001</c:v>
                </c:pt>
                <c:pt idx="4">
                  <c:v>9.8438316868999998</c:v>
                </c:pt>
                <c:pt idx="5">
                  <c:v>10.100495088899999</c:v>
                </c:pt>
                <c:pt idx="6">
                  <c:v>10.361035268299998</c:v>
                </c:pt>
                <c:pt idx="7">
                  <c:v>10.629041610200002</c:v>
                </c:pt>
                <c:pt idx="8">
                  <c:v>10.904560261799999</c:v>
                </c:pt>
                <c:pt idx="9">
                  <c:v>11.178598429100001</c:v>
                </c:pt>
                <c:pt idx="10">
                  <c:v>11.4549346674</c:v>
                </c:pt>
                <c:pt idx="11">
                  <c:v>11.744792933399999</c:v>
                </c:pt>
                <c:pt idx="12">
                  <c:v>11.992172978100001</c:v>
                </c:pt>
              </c:numCache>
            </c:numRef>
          </c:val>
          <c:smooth val="0"/>
          <c:extLst>
            <c:ext xmlns:c16="http://schemas.microsoft.com/office/drawing/2014/chart" uri="{C3380CC4-5D6E-409C-BE32-E72D297353CC}">
              <c16:uniqueId val="{00000007-87C7-4A3D-98B2-9365AD0CAD20}"/>
            </c:ext>
          </c:extLst>
        </c:ser>
        <c:ser>
          <c:idx val="4"/>
          <c:order val="4"/>
          <c:tx>
            <c:strRef>
              <c:f>'[Fiji Scenario Analysis 070420 new.xlsx]GDP_All'!$G$2</c:f>
              <c:strCache>
                <c:ptCount val="1"/>
                <c:pt idx="0">
                  <c:v>4. ST</c:v>
                </c:pt>
              </c:strCache>
            </c:strRef>
          </c:tx>
          <c:spPr>
            <a:ln w="12700" cap="rnd">
              <a:solidFill>
                <a:srgbClr val="008080"/>
              </a:solidFill>
              <a:round/>
            </a:ln>
            <a:effectLst/>
          </c:spPr>
          <c:marker>
            <c:symbol val="none"/>
          </c:marker>
          <c:cat>
            <c:numRef>
              <c:f>'[Fiji Scenario Analysis 070420 new.xlsx]GDP_All'!$A$32:$A$44</c:f>
              <c:numCache>
                <c:formatCode>General</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numCache>
            </c:numRef>
          </c:cat>
          <c:val>
            <c:numRef>
              <c:f>'[Fiji Scenario Analysis 070420 new.xlsx]GDP_All'!$G$32:$G$44</c:f>
              <c:numCache>
                <c:formatCode>General</c:formatCode>
                <c:ptCount val="13"/>
                <c:pt idx="0">
                  <c:v>8.8080734371599991</c:v>
                </c:pt>
                <c:pt idx="1">
                  <c:v>8.9884868411800003</c:v>
                </c:pt>
                <c:pt idx="2">
                  <c:v>9.36186204897</c:v>
                </c:pt>
                <c:pt idx="3">
                  <c:v>9.6978720401499992</c:v>
                </c:pt>
                <c:pt idx="4">
                  <c:v>10.009402018899999</c:v>
                </c:pt>
                <c:pt idx="5">
                  <c:v>10.3087055173</c:v>
                </c:pt>
                <c:pt idx="6">
                  <c:v>10.5993750608</c:v>
                </c:pt>
                <c:pt idx="7">
                  <c:v>10.887731823399999</c:v>
                </c:pt>
                <c:pt idx="8">
                  <c:v>11.179069240799999</c:v>
                </c:pt>
                <c:pt idx="9">
                  <c:v>11.471072940399999</c:v>
                </c:pt>
                <c:pt idx="10">
                  <c:v>11.7657286911</c:v>
                </c:pt>
                <c:pt idx="11">
                  <c:v>12.063824868200001</c:v>
                </c:pt>
                <c:pt idx="12">
                  <c:v>12.321820718</c:v>
                </c:pt>
              </c:numCache>
            </c:numRef>
          </c:val>
          <c:smooth val="0"/>
          <c:extLst>
            <c:ext xmlns:c16="http://schemas.microsoft.com/office/drawing/2014/chart" uri="{C3380CC4-5D6E-409C-BE32-E72D297353CC}">
              <c16:uniqueId val="{00000009-87C7-4A3D-98B2-9365AD0CAD20}"/>
            </c:ext>
          </c:extLst>
        </c:ser>
        <c:ser>
          <c:idx val="5"/>
          <c:order val="5"/>
          <c:tx>
            <c:strRef>
              <c:f>'[Fiji Scenario Analysis 070420 new.xlsx]GDP_All'!$H$2</c:f>
              <c:strCache>
                <c:ptCount val="1"/>
                <c:pt idx="0">
                  <c:v>5. ST_CLIMATE</c:v>
                </c:pt>
              </c:strCache>
            </c:strRef>
          </c:tx>
          <c:spPr>
            <a:ln w="12700" cap="rnd">
              <a:solidFill>
                <a:schemeClr val="accent2"/>
              </a:solidFill>
              <a:prstDash val="dash"/>
              <a:round/>
            </a:ln>
            <a:effectLst/>
          </c:spPr>
          <c:marker>
            <c:symbol val="none"/>
          </c:marker>
          <c:cat>
            <c:numRef>
              <c:f>'[Fiji Scenario Analysis 070420 new.xlsx]GDP_All'!$A$32:$A$44</c:f>
              <c:numCache>
                <c:formatCode>General</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numCache>
            </c:numRef>
          </c:cat>
          <c:val>
            <c:numRef>
              <c:f>'[Fiji Scenario Analysis 070420 new.xlsx]GDP_All'!$H$32:$H$44</c:f>
              <c:numCache>
                <c:formatCode>General</c:formatCode>
                <c:ptCount val="13"/>
                <c:pt idx="0">
                  <c:v>8.8080734371599991</c:v>
                </c:pt>
                <c:pt idx="1">
                  <c:v>8.9884868411800003</c:v>
                </c:pt>
                <c:pt idx="2">
                  <c:v>9.3566036315800005</c:v>
                </c:pt>
                <c:pt idx="3">
                  <c:v>9.6849763104699989</c:v>
                </c:pt>
                <c:pt idx="4">
                  <c:v>9.9935898004899997</c:v>
                </c:pt>
                <c:pt idx="5">
                  <c:v>10.290308443899999</c:v>
                </c:pt>
                <c:pt idx="6">
                  <c:v>10.574163131899999</c:v>
                </c:pt>
                <c:pt idx="7">
                  <c:v>10.847308679700001</c:v>
                </c:pt>
                <c:pt idx="8">
                  <c:v>11.121843843100001</c:v>
                </c:pt>
                <c:pt idx="9">
                  <c:v>11.3973302773</c:v>
                </c:pt>
                <c:pt idx="10">
                  <c:v>11.6760395166</c:v>
                </c:pt>
                <c:pt idx="11">
                  <c:v>11.958711579399999</c:v>
                </c:pt>
                <c:pt idx="12">
                  <c:v>12.2023884388</c:v>
                </c:pt>
              </c:numCache>
            </c:numRef>
          </c:val>
          <c:smooth val="0"/>
          <c:extLst>
            <c:ext xmlns:c16="http://schemas.microsoft.com/office/drawing/2014/chart" uri="{C3380CC4-5D6E-409C-BE32-E72D297353CC}">
              <c16:uniqueId val="{0000000B-87C7-4A3D-98B2-9365AD0CAD20}"/>
            </c:ext>
          </c:extLst>
        </c:ser>
        <c:ser>
          <c:idx val="6"/>
          <c:order val="6"/>
          <c:tx>
            <c:strRef>
              <c:f>'[Fiji Scenario Analysis 070420 new.xlsx]GDP_All'!$I$2</c:f>
              <c:strCache>
                <c:ptCount val="1"/>
                <c:pt idx="0">
                  <c:v>6. ST_SDG</c:v>
                </c:pt>
              </c:strCache>
            </c:strRef>
          </c:tx>
          <c:spPr>
            <a:ln w="12700" cap="rnd">
              <a:solidFill>
                <a:schemeClr val="accent5"/>
              </a:solidFill>
              <a:prstDash val="dash"/>
              <a:round/>
            </a:ln>
            <a:effectLst/>
          </c:spPr>
          <c:marker>
            <c:symbol val="none"/>
          </c:marker>
          <c:cat>
            <c:numRef>
              <c:f>'[Fiji Scenario Analysis 070420 new.xlsx]GDP_All'!$A$32:$A$44</c:f>
              <c:numCache>
                <c:formatCode>General</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numCache>
            </c:numRef>
          </c:cat>
          <c:val>
            <c:numRef>
              <c:f>'[Fiji Scenario Analysis 070420 new.xlsx]GDP_All'!$I$32:$I$44</c:f>
              <c:numCache>
                <c:formatCode>General</c:formatCode>
                <c:ptCount val="13"/>
                <c:pt idx="0">
                  <c:v>8.8080734371599991</c:v>
                </c:pt>
                <c:pt idx="1">
                  <c:v>8.9884868411800003</c:v>
                </c:pt>
                <c:pt idx="2">
                  <c:v>9.5443164139299999</c:v>
                </c:pt>
                <c:pt idx="3">
                  <c:v>9.9915489710300012</c:v>
                </c:pt>
                <c:pt idx="4">
                  <c:v>10.4164696766</c:v>
                </c:pt>
                <c:pt idx="5">
                  <c:v>10.794671949200001</c:v>
                </c:pt>
                <c:pt idx="6">
                  <c:v>11.146123814700001</c:v>
                </c:pt>
                <c:pt idx="7">
                  <c:v>11.5128554083</c:v>
                </c:pt>
                <c:pt idx="8">
                  <c:v>11.830912919499999</c:v>
                </c:pt>
                <c:pt idx="9">
                  <c:v>12.1208628231</c:v>
                </c:pt>
                <c:pt idx="10">
                  <c:v>12.4049338994</c:v>
                </c:pt>
                <c:pt idx="11">
                  <c:v>12.680847874700001</c:v>
                </c:pt>
                <c:pt idx="12">
                  <c:v>12.8876194578</c:v>
                </c:pt>
              </c:numCache>
            </c:numRef>
          </c:val>
          <c:smooth val="0"/>
          <c:extLst>
            <c:ext xmlns:c16="http://schemas.microsoft.com/office/drawing/2014/chart" uri="{C3380CC4-5D6E-409C-BE32-E72D297353CC}">
              <c16:uniqueId val="{0000000D-87C7-4A3D-98B2-9365AD0CAD20}"/>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ax val="13"/>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GDP (Real</a:t>
                </a:r>
                <a:r>
                  <a:rPr lang="en-AU" baseline="0"/>
                  <a:t> FJD)</a:t>
                </a:r>
                <a:endParaRPr lang="en-AU"/>
              </a:p>
            </c:rich>
          </c:tx>
          <c:layout>
            <c:manualLayout>
              <c:xMode val="edge"/>
              <c:yMode val="edge"/>
              <c:x val="1.2825052959750591E-2"/>
              <c:y val="0.342749177853611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majorUnit val="0.5"/>
      </c:valAx>
      <c:spPr>
        <a:noFill/>
        <a:ln>
          <a:noFill/>
        </a:ln>
        <a:effectLst/>
      </c:spPr>
    </c:plotArea>
    <c:legend>
      <c:legendPos val="b"/>
      <c:layout>
        <c:manualLayout>
          <c:xMode val="edge"/>
          <c:yMode val="edge"/>
          <c:x val="8.7370664961296085E-2"/>
          <c:y val="0.91116350887024899"/>
          <c:w val="0.89999999999999991"/>
          <c:h val="7.7536300528921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14401828803657"/>
          <c:y val="1.7970371747376437E-2"/>
          <c:w val="0.86373787147574299"/>
          <c:h val="0.82115297645229435"/>
        </c:manualLayout>
      </c:layout>
      <c:lineChart>
        <c:grouping val="standard"/>
        <c:varyColors val="0"/>
        <c:ser>
          <c:idx val="6"/>
          <c:order val="0"/>
          <c:tx>
            <c:strRef>
              <c:f>'[Fiji Scenario Analysis 070420 new.xlsx]GDP_PC'!$B$2</c:f>
              <c:strCache>
                <c:ptCount val="1"/>
                <c:pt idx="0">
                  <c:v>BAU</c:v>
                </c:pt>
              </c:strCache>
            </c:strRef>
          </c:tx>
          <c:spPr>
            <a:ln w="12700" cap="rnd">
              <a:solidFill>
                <a:schemeClr val="accent4"/>
              </a:solidFill>
              <a:round/>
            </a:ln>
            <a:effectLst/>
          </c:spPr>
          <c:marker>
            <c:symbol val="none"/>
          </c:marker>
          <c:cat>
            <c:strRef>
              <c:f>'[Fiji Scenario Analysis 070420 new.xlsx]GDP_PC'!$A$28:$A$44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new.xlsx]GDP_PC'!$B$28:$B$44</c:f>
              <c:numCache>
                <c:formatCode>General</c:formatCode>
                <c:ptCount val="17"/>
                <c:pt idx="0">
                  <c:v>8902.4310825800003</c:v>
                </c:pt>
                <c:pt idx="1">
                  <c:v>9095.3519020500007</c:v>
                </c:pt>
                <c:pt idx="2">
                  <c:v>9350.0180657399997</c:v>
                </c:pt>
                <c:pt idx="3">
                  <c:v>9615.5164948399997</c:v>
                </c:pt>
                <c:pt idx="4">
                  <c:v>9838.1311587300006</c:v>
                </c:pt>
                <c:pt idx="5">
                  <c:v>10017.4645353</c:v>
                </c:pt>
                <c:pt idx="6">
                  <c:v>10232.371345400001</c:v>
                </c:pt>
                <c:pt idx="7">
                  <c:v>10421.9961458</c:v>
                </c:pt>
                <c:pt idx="8">
                  <c:v>10598.883798000001</c:v>
                </c:pt>
                <c:pt idx="9">
                  <c:v>10767.1403046</c:v>
                </c:pt>
                <c:pt idx="10">
                  <c:v>10932.9263152</c:v>
                </c:pt>
                <c:pt idx="11">
                  <c:v>11098.6004866</c:v>
                </c:pt>
                <c:pt idx="12">
                  <c:v>11264.904775499999</c:v>
                </c:pt>
                <c:pt idx="13">
                  <c:v>11422.714107899999</c:v>
                </c:pt>
                <c:pt idx="14">
                  <c:v>11575.276898599999</c:v>
                </c:pt>
                <c:pt idx="15">
                  <c:v>11726.525420600001</c:v>
                </c:pt>
                <c:pt idx="16">
                  <c:v>11873.2922598</c:v>
                </c:pt>
              </c:numCache>
            </c:numRef>
          </c:val>
          <c:smooth val="0"/>
          <c:extLst>
            <c:ext xmlns:c16="http://schemas.microsoft.com/office/drawing/2014/chart" uri="{C3380CC4-5D6E-409C-BE32-E72D297353CC}">
              <c16:uniqueId val="{00000000-67FB-48FF-A76A-8EE18B3C5D56}"/>
            </c:ext>
          </c:extLst>
        </c:ser>
        <c:ser>
          <c:idx val="5"/>
          <c:order val="1"/>
          <c:tx>
            <c:strRef>
              <c:f>'[Fiji Scenario Analysis 070420 new.xlsx]GDP_PC'!$C$2</c:f>
              <c:strCache>
                <c:ptCount val="1"/>
                <c:pt idx="0">
                  <c:v>1. GAC</c:v>
                </c:pt>
              </c:strCache>
            </c:strRef>
          </c:tx>
          <c:spPr>
            <a:ln w="12700" cap="rnd">
              <a:solidFill>
                <a:srgbClr val="FF0000"/>
              </a:solidFill>
              <a:round/>
            </a:ln>
            <a:effectLst/>
          </c:spPr>
          <c:marker>
            <c:symbol val="none"/>
          </c:marker>
          <c:cat>
            <c:strRef>
              <c:f>'[Fiji Scenario Analysis 070420 new.xlsx]GDP_PC'!$A$28:$A$44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new.xlsx]GDP_PC'!$C$28:$C$44</c:f>
              <c:numCache>
                <c:formatCode>General</c:formatCode>
                <c:ptCount val="17"/>
                <c:pt idx="0">
                  <c:v>8902.4310825800003</c:v>
                </c:pt>
                <c:pt idx="1">
                  <c:v>9095.3519020500007</c:v>
                </c:pt>
                <c:pt idx="2">
                  <c:v>9350.0180657399997</c:v>
                </c:pt>
                <c:pt idx="3">
                  <c:v>9615.5164948399997</c:v>
                </c:pt>
                <c:pt idx="4">
                  <c:v>9838.1311587300006</c:v>
                </c:pt>
                <c:pt idx="5">
                  <c:v>10017.4645353</c:v>
                </c:pt>
                <c:pt idx="6">
                  <c:v>10094.1410713</c:v>
                </c:pt>
                <c:pt idx="7">
                  <c:v>10236.974945100001</c:v>
                </c:pt>
                <c:pt idx="8">
                  <c:v>10369.950857399999</c:v>
                </c:pt>
                <c:pt idx="9">
                  <c:v>10498.759818299999</c:v>
                </c:pt>
                <c:pt idx="10">
                  <c:v>10627.0967647</c:v>
                </c:pt>
                <c:pt idx="11">
                  <c:v>10756.900379299999</c:v>
                </c:pt>
                <c:pt idx="12">
                  <c:v>10906.7401694</c:v>
                </c:pt>
                <c:pt idx="13">
                  <c:v>11048.629333299999</c:v>
                </c:pt>
                <c:pt idx="14">
                  <c:v>11184.984273800001</c:v>
                </c:pt>
                <c:pt idx="15">
                  <c:v>11323.8301581</c:v>
                </c:pt>
                <c:pt idx="16">
                  <c:v>11448.2026969</c:v>
                </c:pt>
              </c:numCache>
            </c:numRef>
          </c:val>
          <c:smooth val="0"/>
          <c:extLst>
            <c:ext xmlns:c16="http://schemas.microsoft.com/office/drawing/2014/chart" uri="{C3380CC4-5D6E-409C-BE32-E72D297353CC}">
              <c16:uniqueId val="{00000001-67FB-48FF-A76A-8EE18B3C5D56}"/>
            </c:ext>
          </c:extLst>
        </c:ser>
        <c:ser>
          <c:idx val="4"/>
          <c:order val="2"/>
          <c:tx>
            <c:strRef>
              <c:f>'[Fiji Scenario Analysis 070420 new.xlsx]GDP_PC'!$D$2</c:f>
              <c:strCache>
                <c:ptCount val="1"/>
                <c:pt idx="0">
                  <c:v>2. GE</c:v>
                </c:pt>
              </c:strCache>
            </c:strRef>
          </c:tx>
          <c:spPr>
            <a:ln w="12700" cap="rnd">
              <a:solidFill>
                <a:srgbClr val="92D050"/>
              </a:solidFill>
              <a:round/>
            </a:ln>
            <a:effectLst/>
          </c:spPr>
          <c:marker>
            <c:symbol val="none"/>
          </c:marker>
          <c:cat>
            <c:strRef>
              <c:f>'[Fiji Scenario Analysis 070420 new.xlsx]GDP_PC'!$A$28:$A$44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new.xlsx]GDP_PC'!$D$28:$D$44</c:f>
              <c:numCache>
                <c:formatCode>General</c:formatCode>
                <c:ptCount val="17"/>
                <c:pt idx="0">
                  <c:v>8902.4310825800003</c:v>
                </c:pt>
                <c:pt idx="1">
                  <c:v>9095.3519020500007</c:v>
                </c:pt>
                <c:pt idx="2">
                  <c:v>9350.0180657399997</c:v>
                </c:pt>
                <c:pt idx="3">
                  <c:v>9615.5164948399997</c:v>
                </c:pt>
                <c:pt idx="4">
                  <c:v>9838.1311587300006</c:v>
                </c:pt>
                <c:pt idx="5">
                  <c:v>10017.4645353</c:v>
                </c:pt>
                <c:pt idx="6">
                  <c:v>10210.531921399999</c:v>
                </c:pt>
                <c:pt idx="7">
                  <c:v>10413.1250031</c:v>
                </c:pt>
                <c:pt idx="8">
                  <c:v>10606.8507586</c:v>
                </c:pt>
                <c:pt idx="9">
                  <c:v>10796.0103722</c:v>
                </c:pt>
                <c:pt idx="10">
                  <c:v>10984.1232855</c:v>
                </c:pt>
                <c:pt idx="11">
                  <c:v>11173.9619269</c:v>
                </c:pt>
                <c:pt idx="12">
                  <c:v>11362.804146099999</c:v>
                </c:pt>
                <c:pt idx="13">
                  <c:v>11548.798892700001</c:v>
                </c:pt>
                <c:pt idx="14">
                  <c:v>11732.830966899999</c:v>
                </c:pt>
                <c:pt idx="15">
                  <c:v>11914.3449017</c:v>
                </c:pt>
                <c:pt idx="16">
                  <c:v>12079.391712299999</c:v>
                </c:pt>
              </c:numCache>
            </c:numRef>
          </c:val>
          <c:smooth val="0"/>
          <c:extLst>
            <c:ext xmlns:c16="http://schemas.microsoft.com/office/drawing/2014/chart" uri="{C3380CC4-5D6E-409C-BE32-E72D297353CC}">
              <c16:uniqueId val="{00000002-67FB-48FF-A76A-8EE18B3C5D56}"/>
            </c:ext>
          </c:extLst>
        </c:ser>
        <c:ser>
          <c:idx val="3"/>
          <c:order val="3"/>
          <c:tx>
            <c:strRef>
              <c:f>'[Fiji Scenario Analysis 070420 new.xlsx]GDP_PC'!$E$2</c:f>
              <c:strCache>
                <c:ptCount val="1"/>
                <c:pt idx="0">
                  <c:v>3. IG</c:v>
                </c:pt>
              </c:strCache>
            </c:strRef>
          </c:tx>
          <c:spPr>
            <a:ln w="12700" cap="rnd">
              <a:solidFill>
                <a:srgbClr val="00B0F0"/>
              </a:solidFill>
              <a:round/>
            </a:ln>
            <a:effectLst/>
          </c:spPr>
          <c:marker>
            <c:symbol val="none"/>
          </c:marker>
          <c:cat>
            <c:strRef>
              <c:f>'[Fiji Scenario Analysis 070420 new.xlsx]GDP_PC'!$A$28:$A$44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new.xlsx]GDP_PC'!$E$28:$E$44</c:f>
              <c:numCache>
                <c:formatCode>General</c:formatCode>
                <c:ptCount val="17"/>
                <c:pt idx="0">
                  <c:v>8902.4310825800003</c:v>
                </c:pt>
                <c:pt idx="1">
                  <c:v>9095.3519020500007</c:v>
                </c:pt>
                <c:pt idx="2">
                  <c:v>9350.0180657399997</c:v>
                </c:pt>
                <c:pt idx="3">
                  <c:v>9615.5164948399997</c:v>
                </c:pt>
                <c:pt idx="4">
                  <c:v>9838.1311587300006</c:v>
                </c:pt>
                <c:pt idx="5">
                  <c:v>10017.4645353</c:v>
                </c:pt>
                <c:pt idx="6">
                  <c:v>10318.6018097</c:v>
                </c:pt>
                <c:pt idx="7">
                  <c:v>10635.418228500001</c:v>
                </c:pt>
                <c:pt idx="8">
                  <c:v>10895.3527495</c:v>
                </c:pt>
                <c:pt idx="9">
                  <c:v>11148.513193000001</c:v>
                </c:pt>
                <c:pt idx="10">
                  <c:v>11401.4011126</c:v>
                </c:pt>
                <c:pt idx="11">
                  <c:v>11657.533477700001</c:v>
                </c:pt>
                <c:pt idx="12">
                  <c:v>11916.159808599999</c:v>
                </c:pt>
                <c:pt idx="13">
                  <c:v>12166.5001281</c:v>
                </c:pt>
                <c:pt idx="14">
                  <c:v>12411.8647944</c:v>
                </c:pt>
                <c:pt idx="15">
                  <c:v>12663.454163799999</c:v>
                </c:pt>
                <c:pt idx="16">
                  <c:v>12863.303666</c:v>
                </c:pt>
              </c:numCache>
            </c:numRef>
          </c:val>
          <c:smooth val="0"/>
          <c:extLst>
            <c:ext xmlns:c16="http://schemas.microsoft.com/office/drawing/2014/chart" uri="{C3380CC4-5D6E-409C-BE32-E72D297353CC}">
              <c16:uniqueId val="{00000003-67FB-48FF-A76A-8EE18B3C5D56}"/>
            </c:ext>
          </c:extLst>
        </c:ser>
        <c:ser>
          <c:idx val="2"/>
          <c:order val="4"/>
          <c:tx>
            <c:strRef>
              <c:f>'[Fiji Scenario Analysis 070420 new.xlsx]GDP_PC'!$F$2</c:f>
              <c:strCache>
                <c:ptCount val="1"/>
                <c:pt idx="0">
                  <c:v>4. ST</c:v>
                </c:pt>
              </c:strCache>
            </c:strRef>
          </c:tx>
          <c:spPr>
            <a:ln w="12700" cap="rnd">
              <a:solidFill>
                <a:srgbClr val="008080"/>
              </a:solidFill>
              <a:round/>
            </a:ln>
            <a:effectLst/>
          </c:spPr>
          <c:marker>
            <c:symbol val="none"/>
          </c:marker>
          <c:cat>
            <c:strRef>
              <c:f>'[Fiji Scenario Analysis 070420 new.xlsx]GDP_PC'!$A$28:$A$44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new.xlsx]GDP_PC'!$F$28:$F$44</c:f>
              <c:numCache>
                <c:formatCode>General</c:formatCode>
                <c:ptCount val="17"/>
                <c:pt idx="0">
                  <c:v>8902.4310825800003</c:v>
                </c:pt>
                <c:pt idx="1">
                  <c:v>9095.3519020500007</c:v>
                </c:pt>
                <c:pt idx="2">
                  <c:v>9350.0180657399997</c:v>
                </c:pt>
                <c:pt idx="3">
                  <c:v>9615.5164948399997</c:v>
                </c:pt>
                <c:pt idx="4">
                  <c:v>9838.1311587300006</c:v>
                </c:pt>
                <c:pt idx="5">
                  <c:v>10017.4645353</c:v>
                </c:pt>
                <c:pt idx="6">
                  <c:v>10412.6243533</c:v>
                </c:pt>
                <c:pt idx="7">
                  <c:v>10763.9747699</c:v>
                </c:pt>
                <c:pt idx="8">
                  <c:v>11086.0901746</c:v>
                </c:pt>
                <c:pt idx="9">
                  <c:v>11392.568025799999</c:v>
                </c:pt>
                <c:pt idx="10">
                  <c:v>11687.3002237</c:v>
                </c:pt>
                <c:pt idx="11">
                  <c:v>11977.118625700001</c:v>
                </c:pt>
                <c:pt idx="12">
                  <c:v>12267.484783</c:v>
                </c:pt>
                <c:pt idx="13">
                  <c:v>12555.0964214</c:v>
                </c:pt>
                <c:pt idx="14">
                  <c:v>12841.4135902</c:v>
                </c:pt>
                <c:pt idx="15">
                  <c:v>13126.630255599999</c:v>
                </c:pt>
                <c:pt idx="16">
                  <c:v>13364.9407182</c:v>
                </c:pt>
              </c:numCache>
            </c:numRef>
          </c:val>
          <c:smooth val="0"/>
          <c:extLst>
            <c:ext xmlns:c16="http://schemas.microsoft.com/office/drawing/2014/chart" uri="{C3380CC4-5D6E-409C-BE32-E72D297353CC}">
              <c16:uniqueId val="{00000004-67FB-48FF-A76A-8EE18B3C5D56}"/>
            </c:ext>
          </c:extLst>
        </c:ser>
        <c:ser>
          <c:idx val="1"/>
          <c:order val="5"/>
          <c:tx>
            <c:strRef>
              <c:f>'[Fiji Scenario Analysis 070420 new.xlsx]GDP_PC'!$G$2</c:f>
              <c:strCache>
                <c:ptCount val="1"/>
                <c:pt idx="0">
                  <c:v>5. ST_CLIMATE</c:v>
                </c:pt>
              </c:strCache>
            </c:strRef>
          </c:tx>
          <c:spPr>
            <a:ln w="12700" cap="rnd">
              <a:solidFill>
                <a:schemeClr val="accent2"/>
              </a:solidFill>
              <a:prstDash val="dash"/>
              <a:round/>
            </a:ln>
            <a:effectLst/>
          </c:spPr>
          <c:marker>
            <c:symbol val="none"/>
          </c:marker>
          <c:cat>
            <c:strRef>
              <c:f>'[Fiji Scenario Analysis 070420 new.xlsx]GDP_PC'!$A$28:$A$44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new.xlsx]GDP_PC'!$G$28:$G$44</c:f>
              <c:numCache>
                <c:formatCode>General</c:formatCode>
                <c:ptCount val="17"/>
                <c:pt idx="0">
                  <c:v>8902.4310825800003</c:v>
                </c:pt>
                <c:pt idx="1">
                  <c:v>9095.3519020500007</c:v>
                </c:pt>
                <c:pt idx="2">
                  <c:v>9350.0180657399997</c:v>
                </c:pt>
                <c:pt idx="3">
                  <c:v>9615.5164948399997</c:v>
                </c:pt>
                <c:pt idx="4">
                  <c:v>9838.1311587300006</c:v>
                </c:pt>
                <c:pt idx="5">
                  <c:v>10017.4645353</c:v>
                </c:pt>
                <c:pt idx="6">
                  <c:v>10406.7665765</c:v>
                </c:pt>
                <c:pt idx="7">
                  <c:v>10749.6101151</c:v>
                </c:pt>
                <c:pt idx="8">
                  <c:v>11068.4293323</c:v>
                </c:pt>
                <c:pt idx="9">
                  <c:v>11371.924832799999</c:v>
                </c:pt>
                <c:pt idx="10">
                  <c:v>11658.950611599999</c:v>
                </c:pt>
                <c:pt idx="11">
                  <c:v>11931.788927199999</c:v>
                </c:pt>
                <c:pt idx="12">
                  <c:v>12203.5279904</c:v>
                </c:pt>
                <c:pt idx="13">
                  <c:v>12473.0014094</c:v>
                </c:pt>
                <c:pt idx="14">
                  <c:v>12741.951255100001</c:v>
                </c:pt>
                <c:pt idx="15">
                  <c:v>13010.5051066</c:v>
                </c:pt>
                <c:pt idx="16">
                  <c:v>13233.471162899999</c:v>
                </c:pt>
              </c:numCache>
            </c:numRef>
          </c:val>
          <c:smooth val="0"/>
          <c:extLst>
            <c:ext xmlns:c16="http://schemas.microsoft.com/office/drawing/2014/chart" uri="{C3380CC4-5D6E-409C-BE32-E72D297353CC}">
              <c16:uniqueId val="{00000005-67FB-48FF-A76A-8EE18B3C5D56}"/>
            </c:ext>
          </c:extLst>
        </c:ser>
        <c:ser>
          <c:idx val="0"/>
          <c:order val="6"/>
          <c:tx>
            <c:strRef>
              <c:f>'[Fiji Scenario Analysis 070420 new.xlsx]GDP_PC'!$H$2</c:f>
              <c:strCache>
                <c:ptCount val="1"/>
                <c:pt idx="0">
                  <c:v>6. ST_SDG</c:v>
                </c:pt>
              </c:strCache>
            </c:strRef>
          </c:tx>
          <c:spPr>
            <a:ln w="12700" cap="rnd">
              <a:solidFill>
                <a:schemeClr val="accent5"/>
              </a:solidFill>
              <a:prstDash val="dash"/>
              <a:round/>
            </a:ln>
            <a:effectLst/>
          </c:spPr>
          <c:marker>
            <c:symbol val="none"/>
          </c:marker>
          <c:cat>
            <c:strRef>
              <c:f>'[Fiji Scenario Analysis 070420 new.xlsx]GDP_PC'!$A$28:$A$44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new.xlsx]GDP_PC'!$H$28:$H$44</c:f>
              <c:numCache>
                <c:formatCode>General</c:formatCode>
                <c:ptCount val="17"/>
                <c:pt idx="0">
                  <c:v>8902.4310825800003</c:v>
                </c:pt>
                <c:pt idx="1">
                  <c:v>9095.3519020500007</c:v>
                </c:pt>
                <c:pt idx="2">
                  <c:v>9350.0180657399997</c:v>
                </c:pt>
                <c:pt idx="3">
                  <c:v>9615.5164948399997</c:v>
                </c:pt>
                <c:pt idx="4">
                  <c:v>9838.1311587300006</c:v>
                </c:pt>
                <c:pt idx="5">
                  <c:v>10017.4645353</c:v>
                </c:pt>
                <c:pt idx="6">
                  <c:v>10615.7807615</c:v>
                </c:pt>
                <c:pt idx="7">
                  <c:v>11091.0742438</c:v>
                </c:pt>
                <c:pt idx="8">
                  <c:v>11539.921014</c:v>
                </c:pt>
                <c:pt idx="9">
                  <c:v>11935.5274959</c:v>
                </c:pt>
                <c:pt idx="10">
                  <c:v>12300.211543900001</c:v>
                </c:pt>
                <c:pt idx="11">
                  <c:v>12680.389126800001</c:v>
                </c:pt>
                <c:pt idx="12">
                  <c:v>13005.0698486</c:v>
                </c:pt>
                <c:pt idx="13">
                  <c:v>13296.3053437</c:v>
                </c:pt>
                <c:pt idx="14">
                  <c:v>13577.7660579</c:v>
                </c:pt>
                <c:pt idx="15">
                  <c:v>13846.260219199999</c:v>
                </c:pt>
                <c:pt idx="16">
                  <c:v>14036.9103665</c:v>
                </c:pt>
              </c:numCache>
            </c:numRef>
          </c:val>
          <c:smooth val="0"/>
          <c:extLst>
            <c:ext xmlns:c16="http://schemas.microsoft.com/office/drawing/2014/chart" uri="{C3380CC4-5D6E-409C-BE32-E72D297353CC}">
              <c16:uniqueId val="{00000006-67FB-48FF-A76A-8EE18B3C5D56}"/>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Real</a:t>
                </a:r>
                <a:r>
                  <a:rPr lang="en-AU" baseline="0"/>
                  <a:t> GDP per capita (FJD)</a:t>
                </a:r>
                <a:endParaRPr lang="en-AU"/>
              </a:p>
            </c:rich>
          </c:tx>
          <c:layout>
            <c:manualLayout>
              <c:xMode val="edge"/>
              <c:yMode val="edge"/>
              <c:x val="1.2825052959750591E-2"/>
              <c:y val="0.342749177853611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8.737058674117347E-2"/>
          <c:y val="0.94813292760715651"/>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3497872165457"/>
          <c:y val="1.7970371747376437E-2"/>
          <c:w val="0.8828400937480726"/>
          <c:h val="0.80546161033046859"/>
        </c:manualLayout>
      </c:layout>
      <c:lineChart>
        <c:grouping val="standard"/>
        <c:varyColors val="0"/>
        <c:ser>
          <c:idx val="0"/>
          <c:order val="0"/>
          <c:tx>
            <c:strRef>
              <c:f>'[Fiji Scenario Analysis 070420 new.xlsx]DI_PC'!$B$2</c:f>
              <c:strCache>
                <c:ptCount val="1"/>
                <c:pt idx="0">
                  <c:v>BAU</c:v>
                </c:pt>
              </c:strCache>
            </c:strRef>
          </c:tx>
          <c:spPr>
            <a:ln w="12700" cap="rnd">
              <a:solidFill>
                <a:schemeClr val="accent4"/>
              </a:solidFill>
              <a:round/>
            </a:ln>
            <a:effectLst/>
          </c:spPr>
          <c:marker>
            <c:symbol val="none"/>
          </c:marker>
          <c:cat>
            <c:strRef>
              <c:f>'[Fiji Scenario Analysis 070420 new.xlsx]DI_PC'!$A$28:$A$44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new.xlsx]DI_PC'!$B$28:$B$44</c:f>
              <c:numCache>
                <c:formatCode>General</c:formatCode>
                <c:ptCount val="17"/>
                <c:pt idx="0">
                  <c:v>6798.2319959300003</c:v>
                </c:pt>
                <c:pt idx="1">
                  <c:v>6953.2236620200001</c:v>
                </c:pt>
                <c:pt idx="2">
                  <c:v>7154.5012778500004</c:v>
                </c:pt>
                <c:pt idx="3">
                  <c:v>7361.8937944400004</c:v>
                </c:pt>
                <c:pt idx="4">
                  <c:v>7542.2489705999997</c:v>
                </c:pt>
                <c:pt idx="5">
                  <c:v>7681.1782536000001</c:v>
                </c:pt>
                <c:pt idx="6">
                  <c:v>7844.4743429600003</c:v>
                </c:pt>
                <c:pt idx="7">
                  <c:v>7990.7123078200002</c:v>
                </c:pt>
                <c:pt idx="8">
                  <c:v>8129.2387811799999</c:v>
                </c:pt>
                <c:pt idx="9">
                  <c:v>8262.8324194899997</c:v>
                </c:pt>
                <c:pt idx="10">
                  <c:v>8395.7890779999998</c:v>
                </c:pt>
                <c:pt idx="11">
                  <c:v>8531.3629401500002</c:v>
                </c:pt>
                <c:pt idx="12">
                  <c:v>8666.6884121799994</c:v>
                </c:pt>
                <c:pt idx="13">
                  <c:v>8795.64037818</c:v>
                </c:pt>
                <c:pt idx="14">
                  <c:v>8920.7719811999996</c:v>
                </c:pt>
                <c:pt idx="15">
                  <c:v>9045.1662942900002</c:v>
                </c:pt>
                <c:pt idx="16">
                  <c:v>9166.7619815500002</c:v>
                </c:pt>
              </c:numCache>
            </c:numRef>
          </c:val>
          <c:smooth val="0"/>
          <c:extLst>
            <c:ext xmlns:c16="http://schemas.microsoft.com/office/drawing/2014/chart" uri="{C3380CC4-5D6E-409C-BE32-E72D297353CC}">
              <c16:uniqueId val="{00000000-F3C8-4C5E-954B-F0DAA710EF97}"/>
            </c:ext>
          </c:extLst>
        </c:ser>
        <c:ser>
          <c:idx val="6"/>
          <c:order val="1"/>
          <c:tx>
            <c:strRef>
              <c:f>'[Fiji Scenario Analysis 070420 new.xlsx]DI_PC'!$C$2</c:f>
              <c:strCache>
                <c:ptCount val="1"/>
                <c:pt idx="0">
                  <c:v>1. GAC</c:v>
                </c:pt>
              </c:strCache>
            </c:strRef>
          </c:tx>
          <c:spPr>
            <a:ln w="12700" cap="rnd">
              <a:solidFill>
                <a:srgbClr val="FF0000"/>
              </a:solidFill>
              <a:prstDash val="solid"/>
              <a:round/>
            </a:ln>
            <a:effectLst/>
          </c:spPr>
          <c:marker>
            <c:symbol val="none"/>
          </c:marker>
          <c:cat>
            <c:strRef>
              <c:f>'[Fiji Scenario Analysis 070420 new.xlsx]DI_PC'!$A$28:$A$44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new.xlsx]DI_PC'!$C$28:$C$44</c:f>
              <c:numCache>
                <c:formatCode>General</c:formatCode>
                <c:ptCount val="17"/>
                <c:pt idx="0">
                  <c:v>6798.2319959300003</c:v>
                </c:pt>
                <c:pt idx="1">
                  <c:v>6953.2236620200001</c:v>
                </c:pt>
                <c:pt idx="2">
                  <c:v>7154.5012778500004</c:v>
                </c:pt>
                <c:pt idx="3">
                  <c:v>7361.8937944400004</c:v>
                </c:pt>
                <c:pt idx="4">
                  <c:v>7542.2489705999997</c:v>
                </c:pt>
                <c:pt idx="5">
                  <c:v>7803.5379560199999</c:v>
                </c:pt>
                <c:pt idx="6">
                  <c:v>7920.0926909500004</c:v>
                </c:pt>
                <c:pt idx="7">
                  <c:v>8091.2657552800001</c:v>
                </c:pt>
                <c:pt idx="8">
                  <c:v>8274.2346946199996</c:v>
                </c:pt>
                <c:pt idx="9">
                  <c:v>8348.3639132000008</c:v>
                </c:pt>
                <c:pt idx="10">
                  <c:v>8421.0981920699996</c:v>
                </c:pt>
                <c:pt idx="11">
                  <c:v>8538.8501394699997</c:v>
                </c:pt>
                <c:pt idx="12">
                  <c:v>8671.7575930000003</c:v>
                </c:pt>
                <c:pt idx="13">
                  <c:v>8798.5621867499995</c:v>
                </c:pt>
                <c:pt idx="14">
                  <c:v>8921.1922171099995</c:v>
                </c:pt>
                <c:pt idx="15">
                  <c:v>9046.0617937400002</c:v>
                </c:pt>
                <c:pt idx="16">
                  <c:v>9160.3122559399999</c:v>
                </c:pt>
              </c:numCache>
            </c:numRef>
          </c:val>
          <c:smooth val="0"/>
          <c:extLst>
            <c:ext xmlns:c16="http://schemas.microsoft.com/office/drawing/2014/chart" uri="{C3380CC4-5D6E-409C-BE32-E72D297353CC}">
              <c16:uniqueId val="{00000001-F3C8-4C5E-954B-F0DAA710EF97}"/>
            </c:ext>
          </c:extLst>
        </c:ser>
        <c:ser>
          <c:idx val="5"/>
          <c:order val="2"/>
          <c:tx>
            <c:strRef>
              <c:f>'[Fiji Scenario Analysis 070420 new.xlsx]DI_PC'!$D$2</c:f>
              <c:strCache>
                <c:ptCount val="1"/>
                <c:pt idx="0">
                  <c:v>2. GE</c:v>
                </c:pt>
              </c:strCache>
            </c:strRef>
          </c:tx>
          <c:spPr>
            <a:ln w="12700" cap="rnd">
              <a:solidFill>
                <a:srgbClr val="92D050"/>
              </a:solidFill>
              <a:prstDash val="solid"/>
              <a:round/>
            </a:ln>
            <a:effectLst/>
          </c:spPr>
          <c:marker>
            <c:symbol val="none"/>
          </c:marker>
          <c:cat>
            <c:strRef>
              <c:f>'[Fiji Scenario Analysis 070420 new.xlsx]DI_PC'!$A$28:$A$44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new.xlsx]DI_PC'!$D$28:$D$44</c:f>
              <c:numCache>
                <c:formatCode>General</c:formatCode>
                <c:ptCount val="17"/>
                <c:pt idx="0">
                  <c:v>6798.2319959300003</c:v>
                </c:pt>
                <c:pt idx="1">
                  <c:v>6953.2236620200001</c:v>
                </c:pt>
                <c:pt idx="2">
                  <c:v>7154.5012778500004</c:v>
                </c:pt>
                <c:pt idx="3">
                  <c:v>7361.8937944400004</c:v>
                </c:pt>
                <c:pt idx="4">
                  <c:v>7542.2489705999997</c:v>
                </c:pt>
                <c:pt idx="5">
                  <c:v>7514.2069255300003</c:v>
                </c:pt>
                <c:pt idx="6">
                  <c:v>7659.5201278100003</c:v>
                </c:pt>
                <c:pt idx="7">
                  <c:v>7812.5894805999997</c:v>
                </c:pt>
                <c:pt idx="8">
                  <c:v>7961.0734445999997</c:v>
                </c:pt>
                <c:pt idx="9">
                  <c:v>8107.8530250599997</c:v>
                </c:pt>
                <c:pt idx="10">
                  <c:v>8255.1530614900003</c:v>
                </c:pt>
                <c:pt idx="11">
                  <c:v>8406.4859770399999</c:v>
                </c:pt>
                <c:pt idx="12">
                  <c:v>8556.3694766499993</c:v>
                </c:pt>
                <c:pt idx="13">
                  <c:v>8704.2267588300001</c:v>
                </c:pt>
                <c:pt idx="14">
                  <c:v>8850.8275364500005</c:v>
                </c:pt>
                <c:pt idx="15">
                  <c:v>8995.8649288199995</c:v>
                </c:pt>
                <c:pt idx="16">
                  <c:v>9129.3362175799994</c:v>
                </c:pt>
              </c:numCache>
            </c:numRef>
          </c:val>
          <c:smooth val="0"/>
          <c:extLst>
            <c:ext xmlns:c16="http://schemas.microsoft.com/office/drawing/2014/chart" uri="{C3380CC4-5D6E-409C-BE32-E72D297353CC}">
              <c16:uniqueId val="{00000002-F3C8-4C5E-954B-F0DAA710EF97}"/>
            </c:ext>
          </c:extLst>
        </c:ser>
        <c:ser>
          <c:idx val="4"/>
          <c:order val="3"/>
          <c:tx>
            <c:strRef>
              <c:f>'[Fiji Scenario Analysis 070420 new.xlsx]DI_PC'!$E$2</c:f>
              <c:strCache>
                <c:ptCount val="1"/>
                <c:pt idx="0">
                  <c:v>3. IG</c:v>
                </c:pt>
              </c:strCache>
            </c:strRef>
          </c:tx>
          <c:spPr>
            <a:ln w="12700" cap="rnd">
              <a:solidFill>
                <a:srgbClr val="00B0F0"/>
              </a:solidFill>
              <a:round/>
            </a:ln>
            <a:effectLst/>
          </c:spPr>
          <c:marker>
            <c:symbol val="none"/>
          </c:marker>
          <c:cat>
            <c:strRef>
              <c:f>'[Fiji Scenario Analysis 070420 new.xlsx]DI_PC'!$A$28:$A$44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new.xlsx]DI_PC'!$E$28:$E$44</c:f>
              <c:numCache>
                <c:formatCode>General</c:formatCode>
                <c:ptCount val="17"/>
                <c:pt idx="0">
                  <c:v>6798.2319959300003</c:v>
                </c:pt>
                <c:pt idx="1">
                  <c:v>6953.2236620200001</c:v>
                </c:pt>
                <c:pt idx="2">
                  <c:v>7154.5012778500004</c:v>
                </c:pt>
                <c:pt idx="3">
                  <c:v>7361.8937944400004</c:v>
                </c:pt>
                <c:pt idx="4">
                  <c:v>7542.2489705999997</c:v>
                </c:pt>
                <c:pt idx="5">
                  <c:v>7627.8986966299999</c:v>
                </c:pt>
                <c:pt idx="6">
                  <c:v>7822.97488866</c:v>
                </c:pt>
                <c:pt idx="7">
                  <c:v>8063.2520534400001</c:v>
                </c:pt>
                <c:pt idx="8">
                  <c:v>8262.0866683900003</c:v>
                </c:pt>
                <c:pt idx="9">
                  <c:v>8457.5945585099998</c:v>
                </c:pt>
                <c:pt idx="10">
                  <c:v>8654.3445192800009</c:v>
                </c:pt>
                <c:pt idx="11">
                  <c:v>8856.4824191499993</c:v>
                </c:pt>
                <c:pt idx="12">
                  <c:v>9059.8263177400004</c:v>
                </c:pt>
                <c:pt idx="13">
                  <c:v>9257.0766187200006</c:v>
                </c:pt>
                <c:pt idx="14">
                  <c:v>9450.7950926199992</c:v>
                </c:pt>
                <c:pt idx="15">
                  <c:v>9649.4717643000004</c:v>
                </c:pt>
                <c:pt idx="16">
                  <c:v>9810.2059640299994</c:v>
                </c:pt>
              </c:numCache>
            </c:numRef>
          </c:val>
          <c:smooth val="0"/>
          <c:extLst>
            <c:ext xmlns:c16="http://schemas.microsoft.com/office/drawing/2014/chart" uri="{C3380CC4-5D6E-409C-BE32-E72D297353CC}">
              <c16:uniqueId val="{00000003-F3C8-4C5E-954B-F0DAA710EF97}"/>
            </c:ext>
          </c:extLst>
        </c:ser>
        <c:ser>
          <c:idx val="3"/>
          <c:order val="4"/>
          <c:tx>
            <c:strRef>
              <c:f>'[Fiji Scenario Analysis 070420 new.xlsx]DI_PC'!$F$2</c:f>
              <c:strCache>
                <c:ptCount val="1"/>
                <c:pt idx="0">
                  <c:v>4. ST</c:v>
                </c:pt>
              </c:strCache>
            </c:strRef>
          </c:tx>
          <c:spPr>
            <a:ln w="12700" cap="rnd">
              <a:solidFill>
                <a:srgbClr val="008080"/>
              </a:solidFill>
              <a:round/>
            </a:ln>
            <a:effectLst/>
          </c:spPr>
          <c:marker>
            <c:symbol val="none"/>
          </c:marker>
          <c:cat>
            <c:strRef>
              <c:f>'[Fiji Scenario Analysis 070420 new.xlsx]DI_PC'!$A$28:$A$44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new.xlsx]DI_PC'!$F$28:$F$44</c:f>
              <c:numCache>
                <c:formatCode>General</c:formatCode>
                <c:ptCount val="17"/>
                <c:pt idx="0">
                  <c:v>6798.2319959300003</c:v>
                </c:pt>
                <c:pt idx="1">
                  <c:v>6953.2236620200001</c:v>
                </c:pt>
                <c:pt idx="2">
                  <c:v>7154.5012778500004</c:v>
                </c:pt>
                <c:pt idx="3">
                  <c:v>7361.8937944400004</c:v>
                </c:pt>
                <c:pt idx="4">
                  <c:v>7542.2489705999997</c:v>
                </c:pt>
                <c:pt idx="5">
                  <c:v>7451.7824488400001</c:v>
                </c:pt>
                <c:pt idx="6">
                  <c:v>7665.8926653400003</c:v>
                </c:pt>
                <c:pt idx="7">
                  <c:v>7849.12983188</c:v>
                </c:pt>
                <c:pt idx="8">
                  <c:v>8051.2315585300003</c:v>
                </c:pt>
                <c:pt idx="9">
                  <c:v>8242.9562043000005</c:v>
                </c:pt>
                <c:pt idx="10">
                  <c:v>8453.6016142400003</c:v>
                </c:pt>
                <c:pt idx="11">
                  <c:v>8663.5818734299992</c:v>
                </c:pt>
                <c:pt idx="12">
                  <c:v>8873.1160943100003</c:v>
                </c:pt>
                <c:pt idx="13">
                  <c:v>9080.5628188999999</c:v>
                </c:pt>
                <c:pt idx="14">
                  <c:v>9287.0255401300001</c:v>
                </c:pt>
                <c:pt idx="15">
                  <c:v>9492.7134318299995</c:v>
                </c:pt>
                <c:pt idx="16">
                  <c:v>9665.3151158100009</c:v>
                </c:pt>
              </c:numCache>
            </c:numRef>
          </c:val>
          <c:smooth val="0"/>
          <c:extLst>
            <c:ext xmlns:c16="http://schemas.microsoft.com/office/drawing/2014/chart" uri="{C3380CC4-5D6E-409C-BE32-E72D297353CC}">
              <c16:uniqueId val="{00000004-F3C8-4C5E-954B-F0DAA710EF97}"/>
            </c:ext>
          </c:extLst>
        </c:ser>
        <c:ser>
          <c:idx val="2"/>
          <c:order val="5"/>
          <c:tx>
            <c:strRef>
              <c:f>'[Fiji Scenario Analysis 070420 new.xlsx]DI_PC'!$G$2</c:f>
              <c:strCache>
                <c:ptCount val="1"/>
                <c:pt idx="0">
                  <c:v>5. ST_CLIMATE</c:v>
                </c:pt>
              </c:strCache>
            </c:strRef>
          </c:tx>
          <c:spPr>
            <a:ln w="12700" cap="rnd">
              <a:solidFill>
                <a:srgbClr val="ED7D31"/>
              </a:solidFill>
              <a:prstDash val="sysDash"/>
              <a:round/>
            </a:ln>
            <a:effectLst/>
          </c:spPr>
          <c:marker>
            <c:symbol val="none"/>
          </c:marker>
          <c:cat>
            <c:strRef>
              <c:f>'[Fiji Scenario Analysis 070420 new.xlsx]DI_PC'!$A$28:$A$44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new.xlsx]DI_PC'!$G$28:$G$44</c:f>
              <c:numCache>
                <c:formatCode>General</c:formatCode>
                <c:ptCount val="17"/>
                <c:pt idx="0">
                  <c:v>6798.2319959300003</c:v>
                </c:pt>
                <c:pt idx="1">
                  <c:v>6953.2236620200001</c:v>
                </c:pt>
                <c:pt idx="2">
                  <c:v>7154.5012778500004</c:v>
                </c:pt>
                <c:pt idx="3">
                  <c:v>7361.8937944400004</c:v>
                </c:pt>
                <c:pt idx="4">
                  <c:v>7542.2489705999997</c:v>
                </c:pt>
                <c:pt idx="5">
                  <c:v>7409.6600741399998</c:v>
                </c:pt>
                <c:pt idx="6">
                  <c:v>7557.0846600799996</c:v>
                </c:pt>
                <c:pt idx="7">
                  <c:v>7663.6216431599996</c:v>
                </c:pt>
                <c:pt idx="8">
                  <c:v>7810.0999293200002</c:v>
                </c:pt>
                <c:pt idx="9">
                  <c:v>7945.2073768800001</c:v>
                </c:pt>
                <c:pt idx="10">
                  <c:v>8138.5429629500004</c:v>
                </c:pt>
                <c:pt idx="11">
                  <c:v>8326.4684953600008</c:v>
                </c:pt>
                <c:pt idx="12">
                  <c:v>8512.6651653299996</c:v>
                </c:pt>
                <c:pt idx="13">
                  <c:v>8696.9340124600003</c:v>
                </c:pt>
                <c:pt idx="14">
                  <c:v>8880.5591447000006</c:v>
                </c:pt>
                <c:pt idx="15">
                  <c:v>9063.69972452</c:v>
                </c:pt>
                <c:pt idx="16">
                  <c:v>9215.6296039099998</c:v>
                </c:pt>
              </c:numCache>
            </c:numRef>
          </c:val>
          <c:smooth val="0"/>
          <c:extLst>
            <c:ext xmlns:c16="http://schemas.microsoft.com/office/drawing/2014/chart" uri="{C3380CC4-5D6E-409C-BE32-E72D297353CC}">
              <c16:uniqueId val="{00000005-F3C8-4C5E-954B-F0DAA710EF97}"/>
            </c:ext>
          </c:extLst>
        </c:ser>
        <c:ser>
          <c:idx val="1"/>
          <c:order val="6"/>
          <c:tx>
            <c:strRef>
              <c:f>'[Fiji Scenario Analysis 070420 new.xlsx]DI_PC'!$H$2</c:f>
              <c:strCache>
                <c:ptCount val="1"/>
                <c:pt idx="0">
                  <c:v>6. ST_SDG</c:v>
                </c:pt>
              </c:strCache>
            </c:strRef>
          </c:tx>
          <c:spPr>
            <a:ln w="12700" cap="rnd">
              <a:solidFill>
                <a:srgbClr val="0070C0"/>
              </a:solidFill>
              <a:prstDash val="sysDash"/>
              <a:round/>
            </a:ln>
            <a:effectLst/>
          </c:spPr>
          <c:marker>
            <c:symbol val="none"/>
          </c:marker>
          <c:cat>
            <c:strRef>
              <c:f>'[Fiji Scenario Analysis 070420 new.xlsx]DI_PC'!$A$28:$A$44</c:f>
              <c:strCache>
                <c:ptCount val="17"/>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FINAL</c:v>
                </c:pt>
              </c:strCache>
            </c:strRef>
          </c:cat>
          <c:val>
            <c:numRef>
              <c:f>'[Fiji Scenario Analysis 070420 new.xlsx]DI_PC'!$H$28:$H$44</c:f>
              <c:numCache>
                <c:formatCode>General</c:formatCode>
                <c:ptCount val="17"/>
                <c:pt idx="0">
                  <c:v>6798.2319959300003</c:v>
                </c:pt>
                <c:pt idx="1">
                  <c:v>6953.2236620200001</c:v>
                </c:pt>
                <c:pt idx="2">
                  <c:v>7154.5012778500004</c:v>
                </c:pt>
                <c:pt idx="3">
                  <c:v>7361.8937944400004</c:v>
                </c:pt>
                <c:pt idx="4">
                  <c:v>7542.2489705999997</c:v>
                </c:pt>
                <c:pt idx="5">
                  <c:v>7488.39802298</c:v>
                </c:pt>
                <c:pt idx="6">
                  <c:v>7839.8426567500001</c:v>
                </c:pt>
                <c:pt idx="7">
                  <c:v>8086.8339098799997</c:v>
                </c:pt>
                <c:pt idx="8">
                  <c:v>8212.5098739099994</c:v>
                </c:pt>
                <c:pt idx="9">
                  <c:v>8380.8888504299994</c:v>
                </c:pt>
                <c:pt idx="10">
                  <c:v>8508.1877184999994</c:v>
                </c:pt>
                <c:pt idx="11">
                  <c:v>8665.8225157300003</c:v>
                </c:pt>
                <c:pt idx="12">
                  <c:v>8826.3235507900008</c:v>
                </c:pt>
                <c:pt idx="13">
                  <c:v>8962.8783208500008</c:v>
                </c:pt>
                <c:pt idx="14">
                  <c:v>9145.2595436400006</c:v>
                </c:pt>
                <c:pt idx="15">
                  <c:v>9319.5071638400004</c:v>
                </c:pt>
                <c:pt idx="16">
                  <c:v>9442.4190495599996</c:v>
                </c:pt>
              </c:numCache>
            </c:numRef>
          </c:val>
          <c:smooth val="0"/>
          <c:extLst>
            <c:ext xmlns:c16="http://schemas.microsoft.com/office/drawing/2014/chart" uri="{C3380CC4-5D6E-409C-BE32-E72D297353CC}">
              <c16:uniqueId val="{00000006-F3C8-4C5E-954B-F0DAA710EF97}"/>
            </c:ext>
          </c:extLst>
        </c:ser>
        <c:dLbls>
          <c:showLegendKey val="0"/>
          <c:showVal val="0"/>
          <c:showCatName val="0"/>
          <c:showSerName val="0"/>
          <c:showPercent val="0"/>
          <c:showBubbleSize val="0"/>
        </c:dLbls>
        <c:smooth val="0"/>
        <c:axId val="1298961104"/>
        <c:axId val="1155701456"/>
      </c:lineChart>
      <c:catAx>
        <c:axId val="129896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155701456"/>
        <c:crosses val="autoZero"/>
        <c:auto val="1"/>
        <c:lblAlgn val="ctr"/>
        <c:lblOffset val="100"/>
        <c:noMultiLvlLbl val="0"/>
      </c:catAx>
      <c:valAx>
        <c:axId val="1155701456"/>
        <c:scaling>
          <c:orientation val="minMax"/>
          <c:min val="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AU"/>
                  <a:t>Per Capita Real</a:t>
                </a:r>
                <a:r>
                  <a:rPr lang="en-AU" baseline="0"/>
                  <a:t> Disposable Income (FJD)</a:t>
                </a:r>
                <a:endParaRPr lang="en-AU"/>
              </a:p>
            </c:rich>
          </c:tx>
          <c:layout>
            <c:manualLayout>
              <c:xMode val="edge"/>
              <c:yMode val="edge"/>
              <c:x val="8.4333796852836349E-3"/>
              <c:y val="0.1715741782277215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98961104"/>
        <c:crosses val="autoZero"/>
        <c:crossBetween val="between"/>
      </c:valAx>
      <c:spPr>
        <a:noFill/>
        <a:ln>
          <a:noFill/>
        </a:ln>
        <a:effectLst/>
      </c:spPr>
    </c:plotArea>
    <c:legend>
      <c:legendPos val="b"/>
      <c:layout>
        <c:manualLayout>
          <c:xMode val="edge"/>
          <c:yMode val="edge"/>
          <c:x val="8.7370664961296085E-2"/>
          <c:y val="0.94149292077926883"/>
          <c:w val="0.89999999999999991"/>
          <c:h val="4.72068962330412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63</TotalTime>
  <Pages>56</Pages>
  <Words>42506</Words>
  <Characters>242285</Characters>
  <Application>Microsoft Office Word</Application>
  <DocSecurity>0</DocSecurity>
  <Lines>2019</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allen</dc:creator>
  <cp:keywords/>
  <dc:description/>
  <cp:lastModifiedBy>cameron allen</cp:lastModifiedBy>
  <cp:revision>14</cp:revision>
  <cp:lastPrinted>2018-09-01T06:15:00Z</cp:lastPrinted>
  <dcterms:created xsi:type="dcterms:W3CDTF">2020-05-07T19:22:00Z</dcterms:created>
  <dcterms:modified xsi:type="dcterms:W3CDTF">2021-03-29T05:26:00Z</dcterms:modified>
</cp:coreProperties>
</file>