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8C7" w:rsidRPr="00114CE8" w:rsidRDefault="008128C7" w:rsidP="00D53E7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14CE8">
        <w:rPr>
          <w:rFonts w:ascii="Times New Roman" w:hAnsi="Times New Roman" w:cs="Times New Roman"/>
          <w:sz w:val="24"/>
          <w:szCs w:val="24"/>
        </w:rPr>
        <w:t>Supplementary information for</w:t>
      </w:r>
    </w:p>
    <w:p w:rsidR="007E6F5E" w:rsidRDefault="007E6F5E" w:rsidP="007E6F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7E6F5E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Quasi-Continuously Tuning the Size of Graphene Quantum Dots via an Edge-Etching Mechanism </w:t>
      </w:r>
    </w:p>
    <w:p w:rsidR="007E6F5E" w:rsidRPr="007E6F5E" w:rsidRDefault="007E6F5E" w:rsidP="007E6F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8128C7" w:rsidRPr="007E6F5E" w:rsidRDefault="008128C7" w:rsidP="00714D29">
      <w:pPr>
        <w:spacing w:line="48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E6F5E">
        <w:rPr>
          <w:rFonts w:ascii="Times New Roman" w:hAnsi="Times New Roman" w:cs="Times New Roman"/>
          <w:color w:val="000000" w:themeColor="text1"/>
          <w:sz w:val="24"/>
          <w:szCs w:val="24"/>
        </w:rPr>
        <w:t>Shujun</w:t>
      </w:r>
      <w:proofErr w:type="spellEnd"/>
      <w:r w:rsidRPr="007E6F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Wang</w:t>
      </w:r>
      <w:r w:rsidRPr="007E6F5E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</w:t>
      </w:r>
      <w:proofErr w:type="gramStart"/>
      <w:r w:rsidRPr="007E6F5E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,2</w:t>
      </w:r>
      <w:proofErr w:type="gramEnd"/>
      <w:r w:rsidRPr="007E6F5E">
        <w:rPr>
          <w:rFonts w:ascii="Times New Roman" w:hAnsi="Times New Roman" w:cs="Times New Roman"/>
          <w:color w:val="000000" w:themeColor="text1"/>
          <w:sz w:val="24"/>
          <w:szCs w:val="24"/>
        </w:rPr>
        <w:t>, Ivan S. Cole</w:t>
      </w:r>
      <w:r w:rsidRPr="007E6F5E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3</w:t>
      </w:r>
      <w:r w:rsidRPr="007E6F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 </w:t>
      </w:r>
      <w:proofErr w:type="spellStart"/>
      <w:r w:rsidRPr="007E6F5E">
        <w:rPr>
          <w:rFonts w:ascii="Times New Roman" w:hAnsi="Times New Roman" w:cs="Times New Roman"/>
          <w:color w:val="000000" w:themeColor="text1"/>
          <w:sz w:val="24"/>
          <w:szCs w:val="24"/>
        </w:rPr>
        <w:t>Dongyuan</w:t>
      </w:r>
      <w:proofErr w:type="spellEnd"/>
      <w:r w:rsidRPr="007E6F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Zhao</w:t>
      </w:r>
      <w:r w:rsidRPr="007E6F5E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4</w:t>
      </w:r>
      <w:r w:rsidRPr="007E6F5E">
        <w:rPr>
          <w:rFonts w:ascii="Times New Roman" w:hAnsi="Times New Roman" w:cs="Times New Roman"/>
          <w:color w:val="000000" w:themeColor="text1"/>
          <w:sz w:val="24"/>
          <w:szCs w:val="24"/>
        </w:rPr>
        <w:t>, and Qin Li</w:t>
      </w:r>
      <w:r w:rsidRPr="007E6F5E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1,2*</w:t>
      </w:r>
    </w:p>
    <w:p w:rsidR="008128C7" w:rsidRPr="00AC6B3A" w:rsidRDefault="007E6F5E" w:rsidP="00714D29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6F5E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</w:t>
      </w:r>
      <w:r w:rsidR="008128C7" w:rsidRPr="00AC6B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Queensland Miro- and Nanotechnology Centre, Griffith University, Nathan Campus, Brisbane, QLD 4111, Australia </w:t>
      </w:r>
    </w:p>
    <w:p w:rsidR="008128C7" w:rsidRPr="00AC6B3A" w:rsidRDefault="008128C7" w:rsidP="00714D29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6F5E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Pr="00AC6B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AC6B3A">
        <w:rPr>
          <w:rFonts w:ascii="Times New Roman" w:hAnsi="Times New Roman" w:cs="Times New Roman"/>
          <w:color w:val="000000" w:themeColor="text1"/>
          <w:sz w:val="24"/>
          <w:szCs w:val="24"/>
        </w:rPr>
        <w:t>School</w:t>
      </w:r>
      <w:proofErr w:type="gramEnd"/>
      <w:r w:rsidRPr="00AC6B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Engineering (Environmental), Griffith University, Nathan Campus, Brisbane, QLD 4111, Australia</w:t>
      </w:r>
    </w:p>
    <w:p w:rsidR="008128C7" w:rsidRPr="00AC6B3A" w:rsidRDefault="007E6F5E" w:rsidP="00714D29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6F5E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3</w:t>
      </w:r>
      <w:r w:rsidR="008128C7" w:rsidRPr="00AC6B3A">
        <w:rPr>
          <w:rFonts w:ascii="Times New Roman" w:hAnsi="Times New Roman" w:cs="Times New Roman"/>
          <w:color w:val="000000" w:themeColor="text1"/>
          <w:sz w:val="24"/>
          <w:szCs w:val="24"/>
        </w:rPr>
        <w:t>CSIRO Materials Science and Engineering, –Gate 5, Normanby Road, Clayton, VIC 3168, Australia</w:t>
      </w:r>
    </w:p>
    <w:p w:rsidR="008128C7" w:rsidRPr="00AC6B3A" w:rsidRDefault="007E6F5E" w:rsidP="00714D29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44"/>
          <w:szCs w:val="44"/>
        </w:rPr>
      </w:pPr>
      <w:r w:rsidRPr="007E6F5E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4</w:t>
      </w:r>
      <w:r w:rsidR="008128C7" w:rsidRPr="00AC6B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Department of Chemistry &amp; Laboratory of Advanced Materials, </w:t>
      </w:r>
      <w:proofErr w:type="spellStart"/>
      <w:r w:rsidR="008128C7" w:rsidRPr="00AC6B3A">
        <w:rPr>
          <w:rFonts w:ascii="Times New Roman" w:hAnsi="Times New Roman" w:cs="Times New Roman"/>
          <w:color w:val="000000" w:themeColor="text1"/>
          <w:sz w:val="24"/>
          <w:szCs w:val="24"/>
        </w:rPr>
        <w:t>Fudan</w:t>
      </w:r>
      <w:proofErr w:type="spellEnd"/>
      <w:r w:rsidR="008128C7" w:rsidRPr="00AC6B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University, Shanghai, 200433, P.R. China, </w:t>
      </w:r>
    </w:p>
    <w:p w:rsidR="008128C7" w:rsidRDefault="008128C7" w:rsidP="00714D29">
      <w:pPr>
        <w:spacing w:after="120" w:line="240" w:lineRule="auto"/>
        <w:jc w:val="both"/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en-US" w:eastAsia="ja-JP"/>
        </w:rPr>
      </w:pPr>
      <w:r w:rsidRPr="00AC6B3A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en-US" w:eastAsia="ja-JP"/>
        </w:rPr>
        <w:t>*Corresponding author at: Nathan campus Griffith University</w:t>
      </w:r>
      <w:proofErr w:type="gramStart"/>
      <w:r w:rsidRPr="00AC6B3A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en-US" w:eastAsia="ja-JP"/>
        </w:rPr>
        <w:t>,170</w:t>
      </w:r>
      <w:proofErr w:type="gramEnd"/>
      <w:r w:rsidRPr="00AC6B3A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en-US" w:eastAsia="ja-JP"/>
        </w:rPr>
        <w:t xml:space="preserve"> </w:t>
      </w:r>
      <w:proofErr w:type="spellStart"/>
      <w:r w:rsidRPr="00AC6B3A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en-US" w:eastAsia="ja-JP"/>
        </w:rPr>
        <w:t>Kessels</w:t>
      </w:r>
      <w:proofErr w:type="spellEnd"/>
      <w:r w:rsidRPr="00AC6B3A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en-US" w:eastAsia="ja-JP"/>
        </w:rPr>
        <w:t xml:space="preserve"> Road, Nathan, QLD 4111, Au; E-mail address: </w:t>
      </w:r>
      <w:hyperlink r:id="rId6" w:history="1">
        <w:r w:rsidRPr="00AC6B3A">
          <w:rPr>
            <w:rFonts w:ascii="Times New Roman" w:eastAsia="MS Mincho" w:hAnsi="Times New Roman" w:cs="Times New Roman"/>
            <w:color w:val="0000FF" w:themeColor="hyperlink"/>
            <w:sz w:val="24"/>
            <w:szCs w:val="24"/>
            <w:u w:val="single"/>
            <w:lang w:val="en-US" w:eastAsia="ja-JP"/>
          </w:rPr>
          <w:t>qinli@griffith.edu.au</w:t>
        </w:r>
      </w:hyperlink>
      <w:r w:rsidRPr="00AC6B3A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en-US" w:eastAsia="ja-JP"/>
        </w:rPr>
        <w:t>; Tel.:</w:t>
      </w:r>
      <w:r w:rsidRPr="00AC6B3A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 xml:space="preserve"> </w:t>
      </w:r>
      <w:r w:rsidRPr="00AC6B3A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en-US" w:eastAsia="ja-JP"/>
        </w:rPr>
        <w:t>(07) 373 57514</w:t>
      </w:r>
    </w:p>
    <w:p w:rsidR="008128C7" w:rsidRPr="00AC6B3A" w:rsidRDefault="008128C7" w:rsidP="00714D29">
      <w:pPr>
        <w:spacing w:after="120" w:line="240" w:lineRule="auto"/>
        <w:jc w:val="both"/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en-US" w:eastAsia="ja-JP"/>
        </w:rPr>
      </w:pPr>
    </w:p>
    <w:p w:rsidR="008128C7" w:rsidRPr="00714D29" w:rsidRDefault="008128C7" w:rsidP="00234EE4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8128C7" w:rsidRPr="00D53E73" w:rsidRDefault="008128C7" w:rsidP="00383E9D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3E73">
        <w:rPr>
          <w:rFonts w:ascii="Times New Roman" w:hAnsi="Times New Roman" w:cs="Times New Roman"/>
          <w:b/>
          <w:sz w:val="24"/>
          <w:szCs w:val="24"/>
        </w:rPr>
        <w:t xml:space="preserve">Sizes of </w:t>
      </w:r>
      <w:r>
        <w:rPr>
          <w:rFonts w:ascii="Times New Roman" w:hAnsi="Times New Roman" w:cs="Times New Roman"/>
          <w:b/>
          <w:sz w:val="24"/>
          <w:szCs w:val="24"/>
        </w:rPr>
        <w:t>crystallites</w:t>
      </w:r>
      <w:r w:rsidRPr="00D53E73">
        <w:rPr>
          <w:rFonts w:ascii="Times New Roman" w:hAnsi="Times New Roman" w:cs="Times New Roman"/>
          <w:b/>
          <w:sz w:val="24"/>
          <w:szCs w:val="24"/>
        </w:rPr>
        <w:t xml:space="preserve"> i</w:t>
      </w:r>
      <w:r>
        <w:rPr>
          <w:rFonts w:ascii="Times New Roman" w:hAnsi="Times New Roman" w:cs="Times New Roman"/>
          <w:b/>
          <w:sz w:val="24"/>
          <w:szCs w:val="24"/>
        </w:rPr>
        <w:t>n carbon black</w:t>
      </w:r>
    </w:p>
    <w:p w:rsidR="008128C7" w:rsidRPr="00114CE8" w:rsidRDefault="008128C7" w:rsidP="00383E9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proofErr w:type="gramStart"/>
      <w:r>
        <w:rPr>
          <w:rFonts w:ascii="Times New Roman" w:hAnsi="Times New Roman" w:cs="Times New Roman"/>
          <w:sz w:val="24"/>
          <w:szCs w:val="24"/>
        </w:rPr>
        <w:t>sizes of crystallites</w:t>
      </w:r>
      <w:r w:rsidRPr="00114CE8">
        <w:rPr>
          <w:rFonts w:ascii="Times New Roman" w:hAnsi="Times New Roman" w:cs="Times New Roman"/>
          <w:sz w:val="24"/>
          <w:szCs w:val="24"/>
        </w:rPr>
        <w:t xml:space="preserve"> of carbon black was</w:t>
      </w:r>
      <w:proofErr w:type="gramEnd"/>
      <w:r w:rsidRPr="00114CE8">
        <w:rPr>
          <w:rFonts w:ascii="Times New Roman" w:hAnsi="Times New Roman" w:cs="Times New Roman"/>
          <w:sz w:val="24"/>
          <w:szCs w:val="24"/>
        </w:rPr>
        <w:t xml:space="preserve"> derived from two techniques, XRD and Raman.  From XRD by using the well-known </w:t>
      </w:r>
      <w:proofErr w:type="spellStart"/>
      <w:r w:rsidRPr="00114CE8">
        <w:rPr>
          <w:rFonts w:ascii="Times New Roman" w:hAnsi="Times New Roman" w:cs="Times New Roman"/>
          <w:sz w:val="24"/>
          <w:szCs w:val="24"/>
        </w:rPr>
        <w:t>Scherrer</w:t>
      </w:r>
      <w:proofErr w:type="spellEnd"/>
      <w:r w:rsidRPr="00114CE8">
        <w:rPr>
          <w:rFonts w:ascii="Times New Roman" w:hAnsi="Times New Roman" w:cs="Times New Roman"/>
          <w:sz w:val="24"/>
          <w:szCs w:val="24"/>
        </w:rPr>
        <w:t xml:space="preserve"> equation</w:t>
      </w:r>
      <w:r w:rsidRPr="00114CE8">
        <w:rPr>
          <w:rFonts w:ascii="Times New Roman" w:hAnsi="Times New Roman" w:cs="Times New Roman"/>
          <w:noProof/>
          <w:sz w:val="24"/>
          <w:szCs w:val="24"/>
          <w:vertAlign w:val="superscript"/>
        </w:rPr>
        <w:t>1-3</w:t>
      </w:r>
      <w:r w:rsidRPr="00114CE8">
        <w:rPr>
          <w:rFonts w:ascii="Times New Roman" w:hAnsi="Times New Roman" w:cs="Times New Roman"/>
          <w:sz w:val="24"/>
          <w:szCs w:val="24"/>
        </w:rPr>
        <w:t xml:space="preserve"> the crystallite dimension along the stacking direction (thickness of the </w:t>
      </w:r>
      <w:r>
        <w:rPr>
          <w:rFonts w:ascii="Times New Roman" w:hAnsi="Times New Roman" w:cs="Times New Roman"/>
          <w:sz w:val="24"/>
          <w:szCs w:val="24"/>
        </w:rPr>
        <w:t>crystallites</w:t>
      </w:r>
      <w:r w:rsidRPr="00114CE8">
        <w:rPr>
          <w:rFonts w:ascii="Times New Roman" w:hAnsi="Times New Roman" w:cs="Times New Roman"/>
          <w:sz w:val="24"/>
          <w:szCs w:val="24"/>
        </w:rPr>
        <w:t>) could be derived.</w:t>
      </w:r>
    </w:p>
    <w:p w:rsidR="008128C7" w:rsidRPr="009C53C0" w:rsidRDefault="008128C7" w:rsidP="00383E9D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4CE8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114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CE8">
        <w:rPr>
          <w:rFonts w:ascii="Times New Roman" w:hAnsi="Times New Roman" w:cs="Times New Roman"/>
          <w:sz w:val="24"/>
          <w:szCs w:val="24"/>
        </w:rPr>
        <w:t>L</w:t>
      </w:r>
      <w:r w:rsidRPr="00114CE8">
        <w:rPr>
          <w:rFonts w:ascii="Times New Roman" w:hAnsi="Times New Roman" w:cs="Times New Roman"/>
          <w:sz w:val="24"/>
          <w:szCs w:val="24"/>
          <w:vertAlign w:val="subscript"/>
        </w:rPr>
        <w:t>c</w:t>
      </w:r>
      <w:proofErr w:type="spellEnd"/>
      <w:r w:rsidRPr="00114CE8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00114CE8">
        <w:rPr>
          <w:rFonts w:ascii="Times New Roman" w:hAnsi="Times New Roman" w:cs="Times New Roman"/>
          <w:sz w:val="24"/>
          <w:szCs w:val="24"/>
        </w:rPr>
        <w:t>Kλ</w:t>
      </w:r>
      <w:proofErr w:type="spellEnd"/>
      <w:r w:rsidRPr="00114CE8">
        <w:rPr>
          <w:rFonts w:ascii="Times New Roman" w:hAnsi="Times New Roman" w:cs="Times New Roman"/>
          <w:sz w:val="24"/>
          <w:szCs w:val="24"/>
        </w:rPr>
        <w:t xml:space="preserve">/βcosϴ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14CE8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4CE8">
        <w:rPr>
          <w:rFonts w:ascii="Times New Roman" w:hAnsi="Times New Roman" w:cs="Times New Roman"/>
          <w:sz w:val="24"/>
          <w:szCs w:val="24"/>
        </w:rPr>
        <w:t>(S1)</w:t>
      </w:r>
    </w:p>
    <w:p w:rsidR="008128C7" w:rsidRPr="00114CE8" w:rsidRDefault="008128C7" w:rsidP="00383E9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CE8">
        <w:rPr>
          <w:rFonts w:ascii="Times New Roman" w:hAnsi="Times New Roman" w:cs="Times New Roman"/>
          <w:sz w:val="24"/>
          <w:szCs w:val="24"/>
        </w:rPr>
        <w:t>Where, K is a constant and for carbon black the value is 0.89;  λ is the wavelength of X-Ray since Cu Kα X-Ray is used, λ=1.54A; β is the full width at half maximum intensity (FWHM) of the diffraction peak. ϴ is half the Bragg angle. Both units of β and ϴ in the formula are Radians.</w:t>
      </w:r>
    </w:p>
    <w:p w:rsidR="008128C7" w:rsidRPr="00114CE8" w:rsidRDefault="008128C7" w:rsidP="00383E9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Figure.S1</w:t>
      </w:r>
      <w:r w:rsidRPr="00114CE8">
        <w:rPr>
          <w:rFonts w:ascii="Times New Roman" w:hAnsi="Times New Roman" w:cs="Times New Roman"/>
          <w:sz w:val="24"/>
          <w:szCs w:val="24"/>
        </w:rPr>
        <w:t xml:space="preserve">a presented one of the XRD spectrum collected for CB employed in this study. The parameters for Eq.S1 are </w:t>
      </w:r>
      <w:proofErr w:type="gramStart"/>
      <w:r w:rsidRPr="00114CE8">
        <w:rPr>
          <w:rFonts w:ascii="Times New Roman" w:hAnsi="Times New Roman" w:cs="Times New Roman"/>
          <w:sz w:val="24"/>
          <w:szCs w:val="24"/>
        </w:rPr>
        <w:t>obtain</w:t>
      </w:r>
      <w:proofErr w:type="gramEnd"/>
      <w:r w:rsidRPr="00114CE8">
        <w:rPr>
          <w:rFonts w:ascii="Times New Roman" w:hAnsi="Times New Roman" w:cs="Times New Roman"/>
          <w:sz w:val="24"/>
          <w:szCs w:val="24"/>
        </w:rPr>
        <w:t xml:space="preserve"> via spectrum fitting with the software </w:t>
      </w:r>
      <w:proofErr w:type="spellStart"/>
      <w:r>
        <w:rPr>
          <w:rFonts w:ascii="Times New Roman" w:hAnsi="Times New Roman" w:cs="Times New Roman"/>
          <w:sz w:val="24"/>
          <w:szCs w:val="24"/>
        </w:rPr>
        <w:t>Highscore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Plus. By applying Eq.S</w:t>
      </w:r>
      <w:r w:rsidRPr="00114CE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on diffraction peak of 002</w:t>
      </w:r>
      <w:r w:rsidRPr="00114CE8">
        <w:rPr>
          <w:rFonts w:ascii="Times New Roman" w:hAnsi="Times New Roman" w:cs="Times New Roman"/>
          <w:sz w:val="24"/>
          <w:szCs w:val="24"/>
        </w:rPr>
        <w:t xml:space="preserve">, the </w:t>
      </w:r>
      <w:proofErr w:type="spellStart"/>
      <w:r w:rsidRPr="00114CE8">
        <w:rPr>
          <w:rFonts w:ascii="Times New Roman" w:hAnsi="Times New Roman" w:cs="Times New Roman"/>
          <w:sz w:val="24"/>
          <w:szCs w:val="24"/>
        </w:rPr>
        <w:t>L</w:t>
      </w:r>
      <w:r w:rsidRPr="00114CE8">
        <w:rPr>
          <w:rFonts w:ascii="Times New Roman" w:hAnsi="Times New Roman" w:cs="Times New Roman"/>
          <w:sz w:val="24"/>
          <w:szCs w:val="24"/>
          <w:vertAlign w:val="subscript"/>
        </w:rPr>
        <w:t>c</w:t>
      </w:r>
      <w:proofErr w:type="spellEnd"/>
      <w:r w:rsidRPr="00114CE8">
        <w:rPr>
          <w:rFonts w:ascii="Times New Roman" w:hAnsi="Times New Roman" w:cs="Times New Roman"/>
          <w:sz w:val="24"/>
          <w:szCs w:val="24"/>
        </w:rPr>
        <w:t xml:space="preserve"> for the spectrum as shown could be calculated as </w:t>
      </w:r>
      <w:proofErr w:type="gramStart"/>
      <w:r w:rsidRPr="00114CE8">
        <w:rPr>
          <w:rFonts w:ascii="Times New Roman" w:hAnsi="Times New Roman" w:cs="Times New Roman"/>
          <w:sz w:val="24"/>
          <w:szCs w:val="24"/>
        </w:rPr>
        <w:t xml:space="preserve">follow  </w:t>
      </w:r>
      <w:proofErr w:type="spellStart"/>
      <w:r w:rsidRPr="00114CE8">
        <w:rPr>
          <w:rFonts w:ascii="Times New Roman" w:hAnsi="Times New Roman" w:cs="Times New Roman"/>
          <w:sz w:val="24"/>
          <w:szCs w:val="24"/>
        </w:rPr>
        <w:t>Lc</w:t>
      </w:r>
      <w:proofErr w:type="spellEnd"/>
      <w:proofErr w:type="gramEnd"/>
      <w:r w:rsidRPr="00114CE8">
        <w:rPr>
          <w:rFonts w:ascii="Times New Roman" w:hAnsi="Times New Roman" w:cs="Times New Roman"/>
          <w:sz w:val="24"/>
          <w:szCs w:val="24"/>
        </w:rPr>
        <w:t>=0.89X0.154/((0.073)*cos(0.217))=1.915 (nm)</w:t>
      </w:r>
    </w:p>
    <w:p w:rsidR="008128C7" w:rsidRPr="00114CE8" w:rsidRDefault="008128C7" w:rsidP="00383E9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CE8">
        <w:rPr>
          <w:rFonts w:ascii="Times New Roman" w:hAnsi="Times New Roman" w:cs="Times New Roman"/>
          <w:sz w:val="24"/>
          <w:szCs w:val="24"/>
        </w:rPr>
        <w:t xml:space="preserve">The in plane dimension (basal plane size) of the crystallite was calculation through applying the </w:t>
      </w:r>
      <w:proofErr w:type="spellStart"/>
      <w:r w:rsidRPr="00114CE8">
        <w:rPr>
          <w:rFonts w:ascii="Times New Roman" w:hAnsi="Times New Roman" w:cs="Times New Roman"/>
          <w:sz w:val="24"/>
          <w:szCs w:val="24"/>
        </w:rPr>
        <w:t>Tuinstra</w:t>
      </w:r>
      <w:proofErr w:type="spellEnd"/>
      <w:r w:rsidRPr="00114CE8">
        <w:rPr>
          <w:rFonts w:ascii="Times New Roman" w:hAnsi="Times New Roman" w:cs="Times New Roman"/>
          <w:sz w:val="24"/>
          <w:szCs w:val="24"/>
        </w:rPr>
        <w:t>-Koenig relationship (Eq.S2) in which Raman spectra are utilized</w:t>
      </w:r>
      <w:r w:rsidRPr="00114CE8">
        <w:rPr>
          <w:rFonts w:ascii="Times New Roman" w:hAnsi="Times New Roman" w:cs="Times New Roman"/>
          <w:noProof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  <w:sz w:val="24"/>
          <w:szCs w:val="24"/>
        </w:rPr>
        <w:t>. Figure.S1b</w:t>
      </w:r>
      <w:r w:rsidRPr="00114CE8">
        <w:rPr>
          <w:rFonts w:ascii="Times New Roman" w:hAnsi="Times New Roman" w:cs="Times New Roman"/>
          <w:sz w:val="24"/>
          <w:szCs w:val="24"/>
        </w:rPr>
        <w:t xml:space="preserve"> is one of the Raman spectrum acquired from the CB. </w:t>
      </w:r>
    </w:p>
    <w:p w:rsidR="008128C7" w:rsidRPr="00114CE8" w:rsidRDefault="008128C7" w:rsidP="00383E9D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114CE8">
        <w:rPr>
          <w:rFonts w:ascii="Times New Roman" w:hAnsi="Times New Roman" w:cs="Times New Roman"/>
          <w:sz w:val="24"/>
          <w:szCs w:val="24"/>
        </w:rPr>
        <w:t>L</w:t>
      </w:r>
      <w:r w:rsidRPr="00114CE8">
        <w:rPr>
          <w:rFonts w:ascii="Times New Roman" w:hAnsi="Times New Roman" w:cs="Times New Roman"/>
          <w:sz w:val="24"/>
          <w:szCs w:val="24"/>
          <w:vertAlign w:val="subscript"/>
        </w:rPr>
        <w:t>a</w:t>
      </w:r>
      <w:r w:rsidRPr="00114CE8">
        <w:rPr>
          <w:rFonts w:ascii="Times New Roman" w:hAnsi="Times New Roman" w:cs="Times New Roman"/>
          <w:sz w:val="24"/>
          <w:szCs w:val="24"/>
        </w:rPr>
        <w:t>=4.35</w:t>
      </w:r>
      <w:proofErr w:type="gramStart"/>
      <w:r w:rsidRPr="00114CE8">
        <w:rPr>
          <w:rFonts w:ascii="Times New Roman" w:hAnsi="Times New Roman" w:cs="Times New Roman"/>
          <w:sz w:val="24"/>
          <w:szCs w:val="24"/>
        </w:rPr>
        <w:t>/(</w:t>
      </w:r>
      <w:proofErr w:type="gramEnd"/>
      <w:r w:rsidRPr="00114CE8">
        <w:rPr>
          <w:rFonts w:ascii="Times New Roman" w:hAnsi="Times New Roman" w:cs="Times New Roman"/>
          <w:sz w:val="24"/>
          <w:szCs w:val="24"/>
        </w:rPr>
        <w:t>I</w:t>
      </w:r>
      <w:r w:rsidRPr="00114CE8">
        <w:rPr>
          <w:rFonts w:ascii="Times New Roman" w:hAnsi="Times New Roman" w:cs="Times New Roman"/>
          <w:sz w:val="24"/>
          <w:szCs w:val="24"/>
          <w:vertAlign w:val="subscript"/>
        </w:rPr>
        <w:t>D</w:t>
      </w:r>
      <w:r w:rsidRPr="00114CE8">
        <w:rPr>
          <w:rFonts w:ascii="Times New Roman" w:hAnsi="Times New Roman" w:cs="Times New Roman"/>
          <w:sz w:val="24"/>
          <w:szCs w:val="24"/>
        </w:rPr>
        <w:t>/I</w:t>
      </w:r>
      <w:r w:rsidRPr="00114CE8">
        <w:rPr>
          <w:rFonts w:ascii="Times New Roman" w:hAnsi="Times New Roman" w:cs="Times New Roman"/>
          <w:sz w:val="24"/>
          <w:szCs w:val="24"/>
          <w:vertAlign w:val="subscript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)           </w:t>
      </w:r>
      <w:r w:rsidRPr="00114CE8">
        <w:rPr>
          <w:rFonts w:ascii="Times New Roman" w:hAnsi="Times New Roman" w:cs="Times New Roman"/>
          <w:sz w:val="24"/>
          <w:szCs w:val="24"/>
        </w:rPr>
        <w:t xml:space="preserve">                                        (S2)</w:t>
      </w:r>
    </w:p>
    <w:p w:rsidR="008128C7" w:rsidRPr="00114CE8" w:rsidRDefault="008128C7" w:rsidP="00383E9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CE8">
        <w:rPr>
          <w:rFonts w:ascii="Times New Roman" w:hAnsi="Times New Roman" w:cs="Times New Roman"/>
          <w:sz w:val="24"/>
          <w:szCs w:val="24"/>
        </w:rPr>
        <w:t>Where, I</w:t>
      </w:r>
      <w:r w:rsidRPr="00114CE8">
        <w:rPr>
          <w:rFonts w:ascii="Times New Roman" w:hAnsi="Times New Roman" w:cs="Times New Roman"/>
          <w:sz w:val="24"/>
          <w:szCs w:val="24"/>
          <w:vertAlign w:val="subscript"/>
        </w:rPr>
        <w:t xml:space="preserve">D </w:t>
      </w:r>
      <w:r w:rsidRPr="00114CE8">
        <w:rPr>
          <w:rFonts w:ascii="Times New Roman" w:hAnsi="Times New Roman" w:cs="Times New Roman"/>
          <w:sz w:val="24"/>
          <w:szCs w:val="24"/>
        </w:rPr>
        <w:t>and I</w:t>
      </w:r>
      <w:r w:rsidRPr="00114CE8">
        <w:rPr>
          <w:rFonts w:ascii="Times New Roman" w:hAnsi="Times New Roman" w:cs="Times New Roman"/>
          <w:sz w:val="24"/>
          <w:szCs w:val="24"/>
          <w:vertAlign w:val="subscript"/>
        </w:rPr>
        <w:t>G</w:t>
      </w:r>
      <w:r w:rsidRPr="00114CE8">
        <w:rPr>
          <w:rFonts w:ascii="Times New Roman" w:hAnsi="Times New Roman" w:cs="Times New Roman"/>
          <w:sz w:val="24"/>
          <w:szCs w:val="24"/>
        </w:rPr>
        <w:t xml:space="preserve"> are the intensity of D and G bands of the Raman spectrum respectively.</w:t>
      </w:r>
    </w:p>
    <w:p w:rsidR="008128C7" w:rsidRPr="00114CE8" w:rsidRDefault="008128C7" w:rsidP="00383E9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CE8">
        <w:rPr>
          <w:rFonts w:ascii="Times New Roman" w:hAnsi="Times New Roman" w:cs="Times New Roman"/>
          <w:sz w:val="24"/>
          <w:szCs w:val="24"/>
        </w:rPr>
        <w:t>All</w:t>
      </w:r>
      <w:r>
        <w:rPr>
          <w:rFonts w:ascii="Times New Roman" w:hAnsi="Times New Roman" w:cs="Times New Roman"/>
          <w:sz w:val="24"/>
          <w:szCs w:val="24"/>
        </w:rPr>
        <w:t xml:space="preserve"> the parameters used in Eq.S2 are</w:t>
      </w:r>
      <w:r w:rsidRPr="00114CE8">
        <w:rPr>
          <w:rFonts w:ascii="Times New Roman" w:hAnsi="Times New Roman" w:cs="Times New Roman"/>
          <w:sz w:val="24"/>
          <w:szCs w:val="24"/>
        </w:rPr>
        <w:t xml:space="preserve"> obtained through spectrum fitting with software WiRE.3.  </w:t>
      </w:r>
    </w:p>
    <w:p w:rsidR="008128C7" w:rsidRPr="00114CE8" w:rsidRDefault="008128C7" w:rsidP="00383E9D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4CE8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drawing>
          <wp:inline distT="0" distB="0" distL="0" distR="0" wp14:anchorId="679E8A40" wp14:editId="482AAC57">
            <wp:extent cx="2920286" cy="2052000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RD C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0286" cy="20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14CE8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drawing>
          <wp:inline distT="0" distB="0" distL="0" distR="0" wp14:anchorId="28225F72" wp14:editId="49B46A16">
            <wp:extent cx="2920286" cy="2052000"/>
            <wp:effectExtent l="0" t="0" r="0" b="571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man C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0286" cy="20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28C7" w:rsidRPr="00114CE8" w:rsidRDefault="008128C7" w:rsidP="00383E9D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Figure S1.</w:t>
      </w:r>
      <w:r w:rsidRPr="00114CE8">
        <w:rPr>
          <w:rFonts w:ascii="Times New Roman" w:hAnsi="Times New Roman" w:cs="Times New Roman"/>
          <w:sz w:val="24"/>
          <w:szCs w:val="24"/>
        </w:rPr>
        <w:t xml:space="preserve"> XRD and Raman spectra for CB employed in this research</w:t>
      </w:r>
    </w:p>
    <w:p w:rsidR="008128C7" w:rsidRPr="0004268F" w:rsidRDefault="008128C7" w:rsidP="0004268F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268F">
        <w:rPr>
          <w:rFonts w:ascii="Times New Roman" w:hAnsi="Times New Roman" w:cs="Times New Roman"/>
          <w:b/>
          <w:sz w:val="24"/>
          <w:szCs w:val="24"/>
        </w:rPr>
        <w:t>Photoluminescence of graphene quantum dots from carbon black</w:t>
      </w:r>
    </w:p>
    <w:p w:rsidR="008128C7" w:rsidRPr="00114CE8" w:rsidRDefault="008128C7" w:rsidP="0004268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CE8">
        <w:rPr>
          <w:rFonts w:ascii="Times New Roman" w:hAnsi="Times New Roman" w:cs="Times New Roman"/>
          <w:sz w:val="24"/>
          <w:szCs w:val="24"/>
        </w:rPr>
        <w:t>Like most of GQDs synthesized so far, GQDs synthesized in this study possess excitation dependent photoluminesc</w:t>
      </w:r>
      <w:r>
        <w:rPr>
          <w:rFonts w:ascii="Times New Roman" w:hAnsi="Times New Roman" w:cs="Times New Roman"/>
          <w:sz w:val="24"/>
          <w:szCs w:val="24"/>
        </w:rPr>
        <w:t>ence (PL) as shown in Figure S1.</w:t>
      </w:r>
      <w:r w:rsidRPr="00114C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28C7" w:rsidRPr="00114CE8" w:rsidRDefault="008128C7" w:rsidP="0004268F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w:lastRenderedPageBreak/>
        <w:drawing>
          <wp:inline distT="0" distB="0" distL="0" distR="0" wp14:anchorId="2956A762" wp14:editId="7C6028D3">
            <wp:extent cx="4116916" cy="2888879"/>
            <wp:effectExtent l="0" t="0" r="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 muti excitation.t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7919" cy="2889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28C7" w:rsidRDefault="008128C7" w:rsidP="0004268F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Figure S2.</w:t>
      </w:r>
      <w:r w:rsidRPr="00114CE8">
        <w:rPr>
          <w:rFonts w:ascii="Times New Roman" w:hAnsi="Times New Roman" w:cs="Times New Roman"/>
          <w:sz w:val="24"/>
          <w:szCs w:val="24"/>
        </w:rPr>
        <w:t xml:space="preserve"> PL emission spectra of </w:t>
      </w:r>
      <w:r>
        <w:rPr>
          <w:rFonts w:ascii="Times New Roman" w:hAnsi="Times New Roman" w:cs="Times New Roman"/>
          <w:sz w:val="24"/>
          <w:szCs w:val="24"/>
        </w:rPr>
        <w:t>G20</w:t>
      </w:r>
    </w:p>
    <w:p w:rsidR="008128C7" w:rsidRPr="0004268F" w:rsidRDefault="008128C7" w:rsidP="0004268F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04268F">
        <w:rPr>
          <w:rFonts w:ascii="Times New Roman" w:hAnsi="Times New Roman" w:cs="Times New Roman"/>
          <w:b/>
          <w:sz w:val="24"/>
          <w:szCs w:val="24"/>
        </w:rPr>
        <w:t>Size of GQDs</w:t>
      </w:r>
    </w:p>
    <w:p w:rsidR="008128C7" w:rsidRPr="00114CE8" w:rsidRDefault="008128C7" w:rsidP="0004268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CE8">
        <w:rPr>
          <w:rFonts w:ascii="Times New Roman" w:hAnsi="Times New Roman" w:cs="Times New Roman"/>
          <w:sz w:val="24"/>
          <w:szCs w:val="24"/>
        </w:rPr>
        <w:t>For the size of GQDs, since they are free sp</w:t>
      </w:r>
      <w:r w:rsidRPr="00114CE8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114CE8">
        <w:rPr>
          <w:rFonts w:ascii="Times New Roman" w:hAnsi="Times New Roman" w:cs="Times New Roman"/>
          <w:sz w:val="24"/>
          <w:szCs w:val="24"/>
        </w:rPr>
        <w:t>crystallites exfoliated from CB, the La derived from Raman</w:t>
      </w:r>
      <w:r>
        <w:rPr>
          <w:rFonts w:ascii="Times New Roman" w:hAnsi="Times New Roman" w:cs="Times New Roman"/>
          <w:sz w:val="24"/>
          <w:szCs w:val="24"/>
        </w:rPr>
        <w:t xml:space="preserve"> (Fig. S 3)</w:t>
      </w:r>
      <w:r w:rsidRPr="00114CE8">
        <w:rPr>
          <w:rFonts w:ascii="Times New Roman" w:hAnsi="Times New Roman" w:cs="Times New Roman"/>
          <w:sz w:val="24"/>
          <w:szCs w:val="24"/>
        </w:rPr>
        <w:t xml:space="preserve"> could be regarded as their particle size</w:t>
      </w:r>
      <w:r>
        <w:rPr>
          <w:rFonts w:ascii="Times New Roman" w:hAnsi="Times New Roman" w:cs="Times New Roman"/>
          <w:sz w:val="24"/>
          <w:szCs w:val="24"/>
        </w:rPr>
        <w:t xml:space="preserve"> and the results agree well with the particle size from the dynamic light scattering measurement (Fig. S 4)</w:t>
      </w:r>
      <w:r w:rsidRPr="00114CE8">
        <w:rPr>
          <w:rFonts w:ascii="Times New Roman" w:hAnsi="Times New Roman" w:cs="Times New Roman"/>
          <w:sz w:val="24"/>
          <w:szCs w:val="24"/>
        </w:rPr>
        <w:t>.</w:t>
      </w:r>
    </w:p>
    <w:p w:rsidR="008128C7" w:rsidRPr="00114CE8" w:rsidRDefault="008128C7" w:rsidP="0004268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28C7" w:rsidRPr="00114CE8" w:rsidRDefault="008128C7" w:rsidP="0004268F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4CE8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drawing>
          <wp:inline distT="0" distB="0" distL="0" distR="0" wp14:anchorId="100B18C5" wp14:editId="14C2099F">
            <wp:extent cx="1946857" cy="1368000"/>
            <wp:effectExtent l="0" t="0" r="0" b="381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man G20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6857" cy="13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14CE8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drawing>
          <wp:inline distT="0" distB="0" distL="0" distR="0" wp14:anchorId="72F7DA3F" wp14:editId="297C99A6">
            <wp:extent cx="1946857" cy="1368000"/>
            <wp:effectExtent l="0" t="0" r="0" b="381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man G80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6857" cy="13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14CE8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drawing>
          <wp:inline distT="0" distB="0" distL="0" distR="0" wp14:anchorId="2C1F4B66" wp14:editId="479C5694">
            <wp:extent cx="1946857" cy="1368000"/>
            <wp:effectExtent l="0" t="0" r="0" b="381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man G210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6857" cy="13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28C7" w:rsidRDefault="008128C7" w:rsidP="0004268F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Figure S3.</w:t>
      </w:r>
      <w:r w:rsidRPr="00114CE8">
        <w:rPr>
          <w:rFonts w:ascii="Times New Roman" w:hAnsi="Times New Roman" w:cs="Times New Roman"/>
          <w:sz w:val="24"/>
          <w:szCs w:val="24"/>
        </w:rPr>
        <w:t xml:space="preserve"> Raman profile fitting: a), G20; b), G80; c) G210</w:t>
      </w:r>
    </w:p>
    <w:p w:rsidR="007E6F5E" w:rsidRDefault="007E6F5E" w:rsidP="0004268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8128C7" w:rsidRPr="00114CE8" w:rsidRDefault="008128C7" w:rsidP="0004268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Table S1. Summary of Raman features</w:t>
      </w:r>
    </w:p>
    <w:tbl>
      <w:tblPr>
        <w:tblStyle w:val="LightShading"/>
        <w:tblW w:w="0" w:type="auto"/>
        <w:jc w:val="center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</w:tblGrid>
      <w:tr w:rsidR="008128C7" w:rsidTr="00EB3C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vAlign w:val="center"/>
          </w:tcPr>
          <w:p w:rsidR="008128C7" w:rsidRPr="006A4473" w:rsidRDefault="008128C7" w:rsidP="00EB3CC2">
            <w:pPr>
              <w:jc w:val="center"/>
              <w:rPr>
                <w:rFonts w:ascii="Calibri" w:hAnsi="Calibri"/>
                <w:b w:val="0"/>
                <w:color w:val="000000"/>
              </w:rPr>
            </w:pPr>
          </w:p>
        </w:tc>
        <w:tc>
          <w:tcPr>
            <w:tcW w:w="1368" w:type="dxa"/>
            <w:vAlign w:val="center"/>
          </w:tcPr>
          <w:p w:rsidR="008128C7" w:rsidRPr="006A4473" w:rsidRDefault="008128C7" w:rsidP="00EB3C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color w:val="000000"/>
              </w:rPr>
            </w:pPr>
            <w:r w:rsidRPr="006A4473">
              <w:rPr>
                <w:rFonts w:ascii="Calibri" w:hAnsi="Calibri"/>
                <w:b w:val="0"/>
                <w:color w:val="000000"/>
              </w:rPr>
              <w:t>D (cm</w:t>
            </w:r>
            <w:r w:rsidRPr="006A4473">
              <w:rPr>
                <w:rFonts w:ascii="Calibri" w:hAnsi="Calibri"/>
                <w:b w:val="0"/>
                <w:color w:val="000000"/>
                <w:vertAlign w:val="superscript"/>
              </w:rPr>
              <w:t>-1</w:t>
            </w:r>
            <w:r w:rsidRPr="006A4473">
              <w:rPr>
                <w:rFonts w:ascii="Calibri" w:hAnsi="Calibri"/>
                <w:b w:val="0"/>
                <w:color w:val="000000"/>
              </w:rPr>
              <w:t>)</w:t>
            </w:r>
          </w:p>
        </w:tc>
        <w:tc>
          <w:tcPr>
            <w:tcW w:w="1368" w:type="dxa"/>
            <w:vAlign w:val="center"/>
          </w:tcPr>
          <w:p w:rsidR="008128C7" w:rsidRPr="006A4473" w:rsidRDefault="008128C7" w:rsidP="00EB3C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color w:val="000000"/>
              </w:rPr>
            </w:pPr>
            <w:r w:rsidRPr="006A4473">
              <w:rPr>
                <w:rFonts w:ascii="Calibri" w:hAnsi="Calibri"/>
                <w:b w:val="0"/>
                <w:color w:val="000000"/>
              </w:rPr>
              <w:t>G (cm-1)</w:t>
            </w:r>
          </w:p>
        </w:tc>
        <w:tc>
          <w:tcPr>
            <w:tcW w:w="1368" w:type="dxa"/>
            <w:vAlign w:val="center"/>
          </w:tcPr>
          <w:p w:rsidR="008128C7" w:rsidRPr="006A4473" w:rsidRDefault="008128C7" w:rsidP="00EB3C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color w:val="000000"/>
              </w:rPr>
            </w:pPr>
            <w:r w:rsidRPr="006A4473">
              <w:rPr>
                <w:rFonts w:ascii="Calibri" w:hAnsi="Calibri"/>
                <w:b w:val="0"/>
                <w:color w:val="000000"/>
              </w:rPr>
              <w:t>sp</w:t>
            </w:r>
            <w:r w:rsidRPr="006A4473">
              <w:rPr>
                <w:rFonts w:ascii="Calibri" w:hAnsi="Calibri"/>
                <w:b w:val="0"/>
                <w:color w:val="000000"/>
                <w:vertAlign w:val="superscript"/>
              </w:rPr>
              <w:t>2</w:t>
            </w:r>
            <w:r w:rsidRPr="006A4473">
              <w:rPr>
                <w:rFonts w:ascii="Calibri" w:hAnsi="Calibri"/>
                <w:b w:val="0"/>
                <w:color w:val="000000"/>
                <w:vertAlign w:val="subscript"/>
              </w:rPr>
              <w:t>non-crystal</w:t>
            </w:r>
            <w:r w:rsidRPr="006A4473">
              <w:rPr>
                <w:rFonts w:ascii="Calibri" w:hAnsi="Calibri"/>
                <w:b w:val="0"/>
                <w:color w:val="000000"/>
              </w:rPr>
              <w:t>(cm-1)</w:t>
            </w:r>
          </w:p>
        </w:tc>
        <w:tc>
          <w:tcPr>
            <w:tcW w:w="1368" w:type="dxa"/>
            <w:vAlign w:val="center"/>
          </w:tcPr>
          <w:p w:rsidR="008128C7" w:rsidRPr="006A4473" w:rsidRDefault="008128C7" w:rsidP="00EB3C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color w:val="000000"/>
              </w:rPr>
            </w:pPr>
            <w:r w:rsidRPr="006A4473">
              <w:rPr>
                <w:rFonts w:ascii="Calibri" w:hAnsi="Calibri"/>
                <w:b w:val="0"/>
                <w:color w:val="000000"/>
              </w:rPr>
              <w:t>ID/IG</w:t>
            </w:r>
          </w:p>
        </w:tc>
        <w:tc>
          <w:tcPr>
            <w:tcW w:w="1368" w:type="dxa"/>
            <w:vAlign w:val="center"/>
          </w:tcPr>
          <w:p w:rsidR="008128C7" w:rsidRPr="006A4473" w:rsidRDefault="008128C7" w:rsidP="00EB3C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C24626">
              <w:rPr>
                <w:rFonts w:ascii="Calibri" w:hAnsi="Calibri"/>
                <w:b w:val="0"/>
                <w:color w:val="000000"/>
              </w:rPr>
              <w:t>La</w:t>
            </w:r>
          </w:p>
        </w:tc>
      </w:tr>
      <w:tr w:rsidR="008128C7" w:rsidTr="00EB3C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shd w:val="clear" w:color="auto" w:fill="auto"/>
            <w:vAlign w:val="bottom"/>
          </w:tcPr>
          <w:p w:rsidR="008128C7" w:rsidRPr="006A4473" w:rsidRDefault="008128C7" w:rsidP="00EB3CC2">
            <w:pPr>
              <w:rPr>
                <w:rFonts w:ascii="Calibri" w:hAnsi="Calibri"/>
                <w:b w:val="0"/>
                <w:color w:val="000000"/>
              </w:rPr>
            </w:pPr>
            <w:r w:rsidRPr="006A4473">
              <w:rPr>
                <w:rFonts w:ascii="Calibri" w:hAnsi="Calibri"/>
                <w:b w:val="0"/>
                <w:color w:val="000000"/>
              </w:rPr>
              <w:t>CB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128C7" w:rsidRDefault="008128C7" w:rsidP="00EB3C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1320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128C7" w:rsidRDefault="008128C7" w:rsidP="00EB3C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1598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128C7" w:rsidRDefault="008128C7" w:rsidP="00EB3C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1510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128C7" w:rsidRDefault="008128C7" w:rsidP="00EB3C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1.34±0.06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128C7" w:rsidRDefault="008128C7" w:rsidP="00EB3C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3.25±0.13</w:t>
            </w:r>
          </w:p>
        </w:tc>
      </w:tr>
      <w:tr w:rsidR="008128C7" w:rsidTr="00EB3CC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shd w:val="clear" w:color="auto" w:fill="auto"/>
            <w:vAlign w:val="bottom"/>
          </w:tcPr>
          <w:p w:rsidR="008128C7" w:rsidRPr="006A4473" w:rsidRDefault="008128C7" w:rsidP="00EB3CC2">
            <w:pPr>
              <w:rPr>
                <w:rFonts w:ascii="Calibri" w:hAnsi="Calibri"/>
                <w:b w:val="0"/>
                <w:color w:val="000000"/>
              </w:rPr>
            </w:pPr>
            <w:r w:rsidRPr="006A4473">
              <w:rPr>
                <w:rFonts w:ascii="Calibri" w:hAnsi="Calibri"/>
                <w:b w:val="0"/>
                <w:color w:val="000000"/>
              </w:rPr>
              <w:t>G20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128C7" w:rsidRDefault="008128C7" w:rsidP="00EB3C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1356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128C7" w:rsidRDefault="008128C7" w:rsidP="00EB3C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1595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128C7" w:rsidRDefault="008128C7" w:rsidP="00EB3C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1511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128C7" w:rsidRDefault="008128C7" w:rsidP="00EB3C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2.15±0.22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128C7" w:rsidRDefault="008128C7" w:rsidP="00EB3C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2.02±0.20</w:t>
            </w:r>
          </w:p>
        </w:tc>
      </w:tr>
      <w:tr w:rsidR="008128C7" w:rsidTr="00EB3C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shd w:val="clear" w:color="auto" w:fill="auto"/>
            <w:vAlign w:val="bottom"/>
          </w:tcPr>
          <w:p w:rsidR="008128C7" w:rsidRPr="006A4473" w:rsidRDefault="008128C7" w:rsidP="00EB3CC2">
            <w:pPr>
              <w:rPr>
                <w:rFonts w:ascii="Calibri" w:hAnsi="Calibri"/>
                <w:b w:val="0"/>
                <w:color w:val="000000"/>
              </w:rPr>
            </w:pPr>
            <w:r w:rsidRPr="006A4473">
              <w:rPr>
                <w:rFonts w:ascii="Calibri" w:hAnsi="Calibri"/>
                <w:b w:val="0"/>
                <w:color w:val="000000"/>
              </w:rPr>
              <w:t>G80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128C7" w:rsidRDefault="008128C7" w:rsidP="00EB3C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1354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128C7" w:rsidRDefault="008128C7" w:rsidP="00EB3C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1603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128C7" w:rsidRDefault="008128C7" w:rsidP="00EB3C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1510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128C7" w:rsidRDefault="008128C7" w:rsidP="00EB3C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2.63±0.21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128C7" w:rsidRDefault="008128C7" w:rsidP="00EB3C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1.65±0.14</w:t>
            </w:r>
          </w:p>
        </w:tc>
      </w:tr>
      <w:tr w:rsidR="008128C7" w:rsidTr="00EB3CC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shd w:val="clear" w:color="auto" w:fill="auto"/>
            <w:vAlign w:val="bottom"/>
          </w:tcPr>
          <w:p w:rsidR="008128C7" w:rsidRPr="006A4473" w:rsidRDefault="008128C7" w:rsidP="00EB3CC2">
            <w:pPr>
              <w:rPr>
                <w:rFonts w:ascii="Calibri" w:hAnsi="Calibri"/>
                <w:b w:val="0"/>
                <w:color w:val="000000"/>
              </w:rPr>
            </w:pPr>
            <w:r w:rsidRPr="006A4473">
              <w:rPr>
                <w:rFonts w:ascii="Calibri" w:hAnsi="Calibri"/>
                <w:b w:val="0"/>
                <w:color w:val="000000"/>
              </w:rPr>
              <w:t>G210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128C7" w:rsidRDefault="008128C7" w:rsidP="00EB3C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1351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128C7" w:rsidRDefault="008128C7" w:rsidP="00EB3C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1607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128C7" w:rsidRDefault="008128C7" w:rsidP="00EB3C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1510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128C7" w:rsidRDefault="008128C7" w:rsidP="00EB3C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3.47±0.25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128C7" w:rsidRDefault="008128C7" w:rsidP="00EB3C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1.25±0.10</w:t>
            </w:r>
          </w:p>
        </w:tc>
      </w:tr>
    </w:tbl>
    <w:p w:rsidR="008128C7" w:rsidRPr="00F4590E" w:rsidRDefault="008128C7" w:rsidP="0004268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28C7" w:rsidRDefault="008128C7" w:rsidP="0004268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w:drawing>
          <wp:inline distT="0" distB="0" distL="0" distR="0" wp14:anchorId="53B25364" wp14:editId="7B36052E">
            <wp:extent cx="5943600" cy="13017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man and DLS GQD-1.tif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0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28C7" w:rsidRDefault="008128C7" w:rsidP="0004268F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Figure S4. Particle size distribution from dynamic light scattering</w:t>
      </w:r>
    </w:p>
    <w:p w:rsidR="008128C7" w:rsidRPr="008D3FF7" w:rsidRDefault="008128C7" w:rsidP="00D53E73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3FF7">
        <w:rPr>
          <w:rFonts w:ascii="Times New Roman" w:hAnsi="Times New Roman" w:cs="Times New Roman"/>
          <w:b/>
          <w:sz w:val="24"/>
          <w:szCs w:val="24"/>
        </w:rPr>
        <w:t>Reference</w:t>
      </w:r>
    </w:p>
    <w:p w:rsidR="008128C7" w:rsidRPr="007E6F5E" w:rsidRDefault="008128C7" w:rsidP="00550DA2">
      <w:pPr>
        <w:pStyle w:val="EndNoteBibliography"/>
        <w:spacing w:after="0"/>
        <w:rPr>
          <w:rFonts w:ascii="Times New Roman" w:hAnsi="Times New Roman" w:cs="Times New Roman"/>
        </w:rPr>
      </w:pPr>
      <w:bookmarkStart w:id="1" w:name="_ENREF_1"/>
      <w:r w:rsidRPr="007E6F5E">
        <w:rPr>
          <w:rFonts w:ascii="Times New Roman" w:hAnsi="Times New Roman" w:cs="Times New Roman"/>
        </w:rPr>
        <w:t>1.</w:t>
      </w:r>
      <w:r w:rsidRPr="007E6F5E">
        <w:rPr>
          <w:rFonts w:ascii="Times New Roman" w:hAnsi="Times New Roman" w:cs="Times New Roman"/>
        </w:rPr>
        <w:tab/>
        <w:t xml:space="preserve">B. E. Warren, Phys Rev </w:t>
      </w:r>
      <w:r w:rsidRPr="007E6F5E">
        <w:rPr>
          <w:rFonts w:ascii="Times New Roman" w:hAnsi="Times New Roman" w:cs="Times New Roman"/>
          <w:b/>
        </w:rPr>
        <w:t>59</w:t>
      </w:r>
      <w:r w:rsidRPr="007E6F5E">
        <w:rPr>
          <w:rFonts w:ascii="Times New Roman" w:hAnsi="Times New Roman" w:cs="Times New Roman"/>
        </w:rPr>
        <w:t xml:space="preserve"> (9), 693-698 (1941).</w:t>
      </w:r>
      <w:bookmarkEnd w:id="1"/>
    </w:p>
    <w:p w:rsidR="008128C7" w:rsidRPr="007E6F5E" w:rsidRDefault="008128C7" w:rsidP="00550DA2">
      <w:pPr>
        <w:pStyle w:val="EndNoteBibliography"/>
        <w:spacing w:after="0"/>
        <w:rPr>
          <w:rFonts w:ascii="Times New Roman" w:hAnsi="Times New Roman" w:cs="Times New Roman"/>
        </w:rPr>
      </w:pPr>
      <w:bookmarkStart w:id="2" w:name="_ENREF_2"/>
      <w:r w:rsidRPr="007E6F5E">
        <w:rPr>
          <w:rFonts w:ascii="Times New Roman" w:hAnsi="Times New Roman" w:cs="Times New Roman"/>
        </w:rPr>
        <w:t>2.</w:t>
      </w:r>
      <w:r w:rsidRPr="007E6F5E">
        <w:rPr>
          <w:rFonts w:ascii="Times New Roman" w:hAnsi="Times New Roman" w:cs="Times New Roman"/>
        </w:rPr>
        <w:tab/>
        <w:t xml:space="preserve">J. Biscoe, Journal of Applied Physics </w:t>
      </w:r>
      <w:r w:rsidRPr="007E6F5E">
        <w:rPr>
          <w:rFonts w:ascii="Times New Roman" w:hAnsi="Times New Roman" w:cs="Times New Roman"/>
          <w:b/>
        </w:rPr>
        <w:t>13</w:t>
      </w:r>
      <w:r w:rsidRPr="007E6F5E">
        <w:rPr>
          <w:rFonts w:ascii="Times New Roman" w:hAnsi="Times New Roman" w:cs="Times New Roman"/>
        </w:rPr>
        <w:t xml:space="preserve"> (6), 364 (1942).</w:t>
      </w:r>
      <w:bookmarkEnd w:id="2"/>
    </w:p>
    <w:p w:rsidR="008128C7" w:rsidRPr="007E6F5E" w:rsidRDefault="008128C7" w:rsidP="00550DA2">
      <w:pPr>
        <w:pStyle w:val="EndNoteBibliography"/>
        <w:spacing w:after="0"/>
        <w:rPr>
          <w:rFonts w:ascii="Times New Roman" w:hAnsi="Times New Roman" w:cs="Times New Roman"/>
        </w:rPr>
      </w:pPr>
      <w:bookmarkStart w:id="3" w:name="_ENREF_3"/>
      <w:r w:rsidRPr="007E6F5E">
        <w:rPr>
          <w:rFonts w:ascii="Times New Roman" w:hAnsi="Times New Roman" w:cs="Times New Roman"/>
        </w:rPr>
        <w:t>3.</w:t>
      </w:r>
      <w:r w:rsidRPr="007E6F5E">
        <w:rPr>
          <w:rFonts w:ascii="Times New Roman" w:hAnsi="Times New Roman" w:cs="Times New Roman"/>
        </w:rPr>
        <w:tab/>
        <w:t xml:space="preserve">A. Manivannan, M. Chirila, N. C. Giles and M. S. Seehra, Carbon </w:t>
      </w:r>
      <w:r w:rsidRPr="007E6F5E">
        <w:rPr>
          <w:rFonts w:ascii="Times New Roman" w:hAnsi="Times New Roman" w:cs="Times New Roman"/>
          <w:b/>
        </w:rPr>
        <w:t>37</w:t>
      </w:r>
      <w:r w:rsidRPr="007E6F5E">
        <w:rPr>
          <w:rFonts w:ascii="Times New Roman" w:hAnsi="Times New Roman" w:cs="Times New Roman"/>
        </w:rPr>
        <w:t xml:space="preserve"> (11), 1741-1747 (1999).</w:t>
      </w:r>
      <w:bookmarkEnd w:id="3"/>
    </w:p>
    <w:p w:rsidR="008128C7" w:rsidRPr="007E6F5E" w:rsidRDefault="008128C7" w:rsidP="00550DA2">
      <w:pPr>
        <w:pStyle w:val="EndNoteBibliography"/>
        <w:rPr>
          <w:rFonts w:ascii="Times New Roman" w:hAnsi="Times New Roman" w:cs="Times New Roman"/>
        </w:rPr>
      </w:pPr>
      <w:bookmarkStart w:id="4" w:name="_ENREF_4"/>
      <w:r w:rsidRPr="007E6F5E">
        <w:rPr>
          <w:rFonts w:ascii="Times New Roman" w:hAnsi="Times New Roman" w:cs="Times New Roman"/>
        </w:rPr>
        <w:t>4.</w:t>
      </w:r>
      <w:r w:rsidRPr="007E6F5E">
        <w:rPr>
          <w:rFonts w:ascii="Times New Roman" w:hAnsi="Times New Roman" w:cs="Times New Roman"/>
        </w:rPr>
        <w:tab/>
        <w:t xml:space="preserve">F. Tuinstra, The Journal of Chemical Physics </w:t>
      </w:r>
      <w:r w:rsidRPr="007E6F5E">
        <w:rPr>
          <w:rFonts w:ascii="Times New Roman" w:hAnsi="Times New Roman" w:cs="Times New Roman"/>
          <w:b/>
        </w:rPr>
        <w:t>53</w:t>
      </w:r>
      <w:r w:rsidRPr="007E6F5E">
        <w:rPr>
          <w:rFonts w:ascii="Times New Roman" w:hAnsi="Times New Roman" w:cs="Times New Roman"/>
        </w:rPr>
        <w:t xml:space="preserve"> (3), 1126 (1970).</w:t>
      </w:r>
      <w:bookmarkEnd w:id="4"/>
    </w:p>
    <w:p w:rsidR="008128C7" w:rsidRPr="00114CE8" w:rsidRDefault="008128C7" w:rsidP="002D19E0">
      <w:pPr>
        <w:rPr>
          <w:rFonts w:ascii="Times New Roman" w:hAnsi="Times New Roman" w:cs="Times New Roman"/>
          <w:sz w:val="24"/>
          <w:szCs w:val="24"/>
        </w:rPr>
      </w:pPr>
    </w:p>
    <w:p w:rsidR="00C34A0B" w:rsidRDefault="00C34A0B"/>
    <w:sectPr w:rsidR="00C34A0B" w:rsidSect="007E6F5E"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177D8"/>
    <w:multiLevelType w:val="hybridMultilevel"/>
    <w:tmpl w:val="1F8699F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A42F9E"/>
    <w:multiLevelType w:val="hybridMultilevel"/>
    <w:tmpl w:val="1F8699F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8128C7"/>
    <w:rsid w:val="002230E6"/>
    <w:rsid w:val="007E6F5E"/>
    <w:rsid w:val="008128C7"/>
    <w:rsid w:val="00BA3442"/>
    <w:rsid w:val="00C3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8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2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8C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128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8128C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PlaceholderText">
    <w:name w:val="Placeholder Text"/>
    <w:basedOn w:val="DefaultParagraphFont"/>
    <w:uiPriority w:val="99"/>
    <w:semiHidden/>
    <w:rsid w:val="008128C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8128C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128C7"/>
    <w:pPr>
      <w:ind w:left="720"/>
      <w:contextualSpacing/>
    </w:pPr>
  </w:style>
  <w:style w:type="paragraph" w:customStyle="1" w:styleId="EndNoteBibliographyTitle">
    <w:name w:val="EndNote Bibliography Title"/>
    <w:basedOn w:val="Normal"/>
    <w:link w:val="EndNoteBibliographyTitleChar"/>
    <w:rsid w:val="008128C7"/>
    <w:pPr>
      <w:spacing w:after="0"/>
      <w:jc w:val="center"/>
    </w:pPr>
    <w:rPr>
      <w:rFonts w:ascii="Calibri" w:hAnsi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8128C7"/>
    <w:rPr>
      <w:rFonts w:ascii="Calibri" w:hAnsi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8128C7"/>
    <w:pPr>
      <w:spacing w:line="240" w:lineRule="auto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8128C7"/>
    <w:rPr>
      <w:rFonts w:ascii="Calibri" w:hAnsi="Calibri"/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8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2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8C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128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8128C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PlaceholderText">
    <w:name w:val="Placeholder Text"/>
    <w:basedOn w:val="DefaultParagraphFont"/>
    <w:uiPriority w:val="99"/>
    <w:semiHidden/>
    <w:rsid w:val="008128C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8128C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128C7"/>
    <w:pPr>
      <w:ind w:left="720"/>
      <w:contextualSpacing/>
    </w:pPr>
  </w:style>
  <w:style w:type="paragraph" w:customStyle="1" w:styleId="EndNoteBibliographyTitle">
    <w:name w:val="EndNote Bibliography Title"/>
    <w:basedOn w:val="Normal"/>
    <w:link w:val="EndNoteBibliographyTitleChar"/>
    <w:rsid w:val="008128C7"/>
    <w:pPr>
      <w:spacing w:after="0"/>
      <w:jc w:val="center"/>
    </w:pPr>
    <w:rPr>
      <w:rFonts w:ascii="Calibri" w:hAnsi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8128C7"/>
    <w:rPr>
      <w:rFonts w:ascii="Calibri" w:hAnsi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8128C7"/>
    <w:pPr>
      <w:spacing w:line="240" w:lineRule="auto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8128C7"/>
    <w:rPr>
      <w:rFonts w:ascii="Calibri" w:hAnsi="Calibri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tiff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qinli@griffith.edu.au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tif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Griffith University</Company>
  <LinksUpToDate>false</LinksUpToDate>
  <CharactersWithSpaces>3658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soeadmin</dc:creator>
  <cp:lastModifiedBy>Kirby Morris</cp:lastModifiedBy>
  <cp:revision>2</cp:revision>
  <dcterms:created xsi:type="dcterms:W3CDTF">2016-03-10T15:02:00Z</dcterms:created>
  <dcterms:modified xsi:type="dcterms:W3CDTF">2016-03-10T15:02:00Z</dcterms:modified>
</cp:coreProperties>
</file>