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0F4" w:rsidRDefault="00793067" w:rsidP="00793067">
      <w:pPr>
        <w:jc w:val="center"/>
        <w:rPr>
          <w:rFonts w:ascii="Times New Roman" w:hAnsi="Times New Roman" w:cs="Times New Roman"/>
          <w:sz w:val="24"/>
          <w:szCs w:val="24"/>
        </w:rPr>
      </w:pPr>
      <w:r w:rsidRPr="00715D9A">
        <w:rPr>
          <w:rFonts w:ascii="Times New Roman" w:hAnsi="Times New Roman" w:cs="Times New Roman"/>
          <w:sz w:val="24"/>
          <w:szCs w:val="24"/>
        </w:rPr>
        <w:t>Fluid Lipid Mu</w:t>
      </w:r>
      <w:r>
        <w:rPr>
          <w:rFonts w:ascii="Times New Roman" w:hAnsi="Times New Roman" w:cs="Times New Roman"/>
          <w:sz w:val="24"/>
          <w:szCs w:val="24"/>
        </w:rPr>
        <w:t>ltilayer Stabilization by Tetra</w:t>
      </w:r>
      <w:r w:rsidRPr="00715D9A">
        <w:rPr>
          <w:rFonts w:ascii="Times New Roman" w:hAnsi="Times New Roman" w:cs="Times New Roman"/>
          <w:sz w:val="24"/>
          <w:szCs w:val="24"/>
        </w:rPr>
        <w:t>ethyl Orthosilicate for Underwater AFM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5D9A">
        <w:rPr>
          <w:rFonts w:ascii="Times New Roman" w:hAnsi="Times New Roman" w:cs="Times New Roman"/>
          <w:sz w:val="24"/>
          <w:szCs w:val="24"/>
        </w:rPr>
        <w:t>Characterization and Cell Culture Applications</w:t>
      </w:r>
    </w:p>
    <w:p w:rsidR="00793067" w:rsidRPr="00715D9A" w:rsidRDefault="00793067" w:rsidP="007930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5D9A">
        <w:rPr>
          <w:rFonts w:ascii="Times New Roman" w:hAnsi="Times New Roman" w:cs="Times New Roman"/>
          <w:sz w:val="24"/>
          <w:szCs w:val="24"/>
        </w:rPr>
        <w:t>Aubrey E. Kusi-Appiah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715D9A">
        <w:rPr>
          <w:rFonts w:ascii="Times New Roman" w:hAnsi="Times New Roman" w:cs="Times New Roman"/>
          <w:sz w:val="24"/>
          <w:szCs w:val="24"/>
        </w:rPr>
        <w:t>, Troy W. Lowry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715D9A">
        <w:rPr>
          <w:rFonts w:ascii="Times New Roman" w:hAnsi="Times New Roman" w:cs="Times New Roman"/>
          <w:sz w:val="24"/>
          <w:szCs w:val="24"/>
          <w:vertAlign w:val="superscript"/>
        </w:rPr>
        <w:t>,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715D9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Nicholas Vafai</w:t>
      </w:r>
      <w:r w:rsidRPr="008E56DC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15D9A">
        <w:rPr>
          <w:rFonts w:ascii="Times New Roman" w:hAnsi="Times New Roman" w:cs="Times New Roman"/>
          <w:sz w:val="24"/>
          <w:szCs w:val="24"/>
        </w:rPr>
        <w:t>David H. Van Winkle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715D9A">
        <w:rPr>
          <w:rFonts w:ascii="Times New Roman" w:hAnsi="Times New Roman" w:cs="Times New Roman"/>
          <w:sz w:val="24"/>
          <w:szCs w:val="24"/>
        </w:rPr>
        <w:t xml:space="preserve">, Steven </w:t>
      </w:r>
      <w:proofErr w:type="spellStart"/>
      <w:r w:rsidRPr="00715D9A">
        <w:rPr>
          <w:rFonts w:ascii="Times New Roman" w:hAnsi="Times New Roman" w:cs="Times New Roman"/>
          <w:sz w:val="24"/>
          <w:szCs w:val="24"/>
        </w:rPr>
        <w:t>Lenhert</w:t>
      </w:r>
      <w:proofErr w:type="spellEnd"/>
      <w:r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715D9A">
        <w:rPr>
          <w:rFonts w:ascii="Times New Roman" w:hAnsi="Times New Roman" w:cs="Times New Roman"/>
          <w:sz w:val="24"/>
          <w:szCs w:val="24"/>
          <w:vertAlign w:val="superscript"/>
        </w:rPr>
        <w:t>,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:rsidR="00793067" w:rsidRPr="00715D9A" w:rsidRDefault="00793067" w:rsidP="007930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A5D37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715D9A">
        <w:rPr>
          <w:rFonts w:ascii="Times New Roman" w:hAnsi="Times New Roman" w:cs="Times New Roman"/>
          <w:sz w:val="24"/>
          <w:szCs w:val="24"/>
        </w:rPr>
        <w:t>Department of Biological Science, Florida State University, Tallahassee, FL 32306-4370, USA.</w:t>
      </w:r>
      <w:proofErr w:type="gramEnd"/>
    </w:p>
    <w:p w:rsidR="00793067" w:rsidRPr="00715D9A" w:rsidRDefault="00793067" w:rsidP="007930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A5D3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715D9A">
        <w:rPr>
          <w:rFonts w:ascii="Times New Roman" w:hAnsi="Times New Roman" w:cs="Times New Roman"/>
          <w:sz w:val="24"/>
          <w:szCs w:val="24"/>
        </w:rPr>
        <w:t>Department of Physics, Florida State University, Tallahassee, FL 32306-4370, USA.</w:t>
      </w:r>
      <w:proofErr w:type="gramEnd"/>
    </w:p>
    <w:p w:rsidR="00793067" w:rsidRDefault="00793067" w:rsidP="007930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D37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715D9A">
        <w:rPr>
          <w:rFonts w:ascii="Times New Roman" w:hAnsi="Times New Roman" w:cs="Times New Roman"/>
          <w:sz w:val="24"/>
          <w:szCs w:val="24"/>
        </w:rPr>
        <w:t xml:space="preserve">Integrative </w:t>
      </w:r>
      <w:proofErr w:type="spellStart"/>
      <w:r w:rsidRPr="00715D9A">
        <w:rPr>
          <w:rFonts w:ascii="Times New Roman" w:hAnsi="Times New Roman" w:cs="Times New Roman"/>
          <w:sz w:val="24"/>
          <w:szCs w:val="24"/>
        </w:rPr>
        <w:t>NanoScience</w:t>
      </w:r>
      <w:proofErr w:type="spellEnd"/>
      <w:r w:rsidRPr="00715D9A">
        <w:rPr>
          <w:rFonts w:ascii="Times New Roman" w:hAnsi="Times New Roman" w:cs="Times New Roman"/>
          <w:sz w:val="24"/>
          <w:szCs w:val="24"/>
        </w:rPr>
        <w:t xml:space="preserve"> Institute, Florida State University, Tallahassee, FL 32306, USA</w:t>
      </w:r>
    </w:p>
    <w:p w:rsidR="00793067" w:rsidRPr="00715D9A" w:rsidRDefault="00793067" w:rsidP="007930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Corresponding author</w:t>
      </w:r>
    </w:p>
    <w:p w:rsidR="00793067" w:rsidRDefault="00793067" w:rsidP="0079306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SUPPLEMENTARY INFORMATION</w:t>
      </w:r>
    </w:p>
    <w:p w:rsidR="00793067" w:rsidRDefault="00793067" w:rsidP="00793067">
      <w:pPr>
        <w:jc w:val="both"/>
      </w:pPr>
      <w:r>
        <w:rPr>
          <w:noProof/>
          <w:lang w:bidi="th-TH"/>
        </w:rPr>
        <w:drawing>
          <wp:inline distT="0" distB="0" distL="0" distR="0">
            <wp:extent cx="5943600" cy="35248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pplementary information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24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3067" w:rsidRPr="00EA2E86" w:rsidRDefault="00F839B6" w:rsidP="00793067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proofErr w:type="gramStart"/>
      <w:r w:rsidRPr="00EA2E86">
        <w:rPr>
          <w:rFonts w:ascii="Times New Roman" w:hAnsi="Times New Roman" w:cs="Times New Roman"/>
          <w:b/>
          <w:bCs/>
          <w:sz w:val="24"/>
          <w:szCs w:val="24"/>
        </w:rPr>
        <w:t>Supplementary figure 1</w:t>
      </w:r>
      <w:r w:rsidRPr="00EA2E8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A2E8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A2E86">
        <w:rPr>
          <w:rFonts w:ascii="Times New Roman" w:hAnsi="Times New Roman" w:cs="Times New Roman"/>
          <w:sz w:val="24"/>
          <w:szCs w:val="24"/>
        </w:rPr>
        <w:t>Stability and characterization of immersed, TEOS untreated fluid lipid multilayers.</w:t>
      </w:r>
      <w:proofErr w:type="gramEnd"/>
      <w:r w:rsidRPr="00EA2E86">
        <w:rPr>
          <w:rFonts w:ascii="Times New Roman" w:hAnsi="Times New Roman" w:cs="Times New Roman"/>
          <w:sz w:val="24"/>
          <w:szCs w:val="24"/>
        </w:rPr>
        <w:t xml:space="preserve"> </w:t>
      </w:r>
      <w:r w:rsidR="00793067" w:rsidRPr="00EA2E86">
        <w:rPr>
          <w:rFonts w:ascii="Times New Roman" w:hAnsi="Times New Roman" w:cs="Times New Roman"/>
          <w:sz w:val="24"/>
          <w:szCs w:val="24"/>
        </w:rPr>
        <w:t xml:space="preserve">(a) Sample fluorescence image of rhodamine-PE doped DOPC multilayers in air. (b) Sample fluorescence image of rhodamine-PE doped DOPC multilayers immersed in HBSS buffer. (c) </w:t>
      </w:r>
      <w:proofErr w:type="spellStart"/>
      <w:r w:rsidR="00793067" w:rsidRPr="00EA2E86">
        <w:rPr>
          <w:rFonts w:ascii="Times New Roman" w:hAnsi="Times New Roman" w:cs="Times New Roman"/>
          <w:sz w:val="24"/>
          <w:szCs w:val="24"/>
        </w:rPr>
        <w:t>Brightfield</w:t>
      </w:r>
      <w:proofErr w:type="spellEnd"/>
      <w:r w:rsidR="00793067" w:rsidRPr="00EA2E86">
        <w:rPr>
          <w:rFonts w:ascii="Times New Roman" w:hAnsi="Times New Roman" w:cs="Times New Roman"/>
          <w:sz w:val="24"/>
          <w:szCs w:val="24"/>
        </w:rPr>
        <w:t xml:space="preserve"> image of untreated fluid DOPC multilayers showing area of destroyed lipid dots during AFM scanning. (d) AFM image showing failed scan of destroyed DOPC multilayers from attempted scan.</w:t>
      </w:r>
      <w:bookmarkEnd w:id="0"/>
    </w:p>
    <w:sectPr w:rsidR="00793067" w:rsidRPr="00EA2E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396"/>
    <w:rsid w:val="00793067"/>
    <w:rsid w:val="00853396"/>
    <w:rsid w:val="008C31E4"/>
    <w:rsid w:val="00B81A64"/>
    <w:rsid w:val="00C508C7"/>
    <w:rsid w:val="00E979B8"/>
    <w:rsid w:val="00EA2E86"/>
    <w:rsid w:val="00F83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30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30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30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30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nvafai</dc:creator>
  <cp:lastModifiedBy>nvafai</cp:lastModifiedBy>
  <cp:revision>6</cp:revision>
  <dcterms:created xsi:type="dcterms:W3CDTF">2017-06-23T02:25:00Z</dcterms:created>
  <dcterms:modified xsi:type="dcterms:W3CDTF">2017-06-23T19:02:00Z</dcterms:modified>
</cp:coreProperties>
</file>