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855" w:rsidRPr="003438AE" w:rsidRDefault="00EA5855" w:rsidP="00EA5855">
      <w:pPr>
        <w:spacing w:line="240" w:lineRule="auto"/>
        <w:rPr>
          <w:rFonts w:ascii="Cambria" w:hAnsi="Cambria"/>
          <w:sz w:val="24"/>
          <w:szCs w:val="24"/>
        </w:rPr>
      </w:pPr>
      <w:r w:rsidRPr="003438AE">
        <w:rPr>
          <w:rFonts w:ascii="Cambria" w:hAnsi="Cambria"/>
          <w:b/>
          <w:sz w:val="24"/>
          <w:szCs w:val="24"/>
        </w:rPr>
        <w:t xml:space="preserve">Supplementary </w:t>
      </w:r>
      <w:r w:rsidR="003438AE" w:rsidRPr="003438AE">
        <w:rPr>
          <w:rFonts w:ascii="Cambria" w:hAnsi="Cambria"/>
          <w:b/>
          <w:sz w:val="24"/>
          <w:szCs w:val="24"/>
        </w:rPr>
        <w:t>Material</w:t>
      </w:r>
      <w:r w:rsidR="00422E2A">
        <w:rPr>
          <w:rFonts w:ascii="Cambria" w:hAnsi="Cambria"/>
          <w:b/>
          <w:sz w:val="24"/>
          <w:szCs w:val="24"/>
        </w:rPr>
        <w:t xml:space="preserve"> (Felichism W. Kabo, George A. Mashour)</w:t>
      </w:r>
      <w:bookmarkStart w:id="0" w:name="_GoBack"/>
      <w:bookmarkEnd w:id="0"/>
    </w:p>
    <w:p w:rsidR="00EA5855" w:rsidRPr="003438AE" w:rsidRDefault="003438AE" w:rsidP="003438AE">
      <w:pPr>
        <w:spacing w:before="240" w:line="480" w:lineRule="auto"/>
        <w:rPr>
          <w:rFonts w:ascii="Cambria" w:hAnsi="Cambria"/>
          <w:sz w:val="24"/>
          <w:szCs w:val="24"/>
        </w:rPr>
      </w:pPr>
      <w:r w:rsidRPr="003438AE">
        <w:rPr>
          <w:rFonts w:ascii="Cambria" w:hAnsi="Cambria"/>
          <w:b/>
          <w:sz w:val="24"/>
          <w:szCs w:val="24"/>
        </w:rPr>
        <w:t>Supplementary Table S1</w:t>
      </w:r>
      <w:r>
        <w:rPr>
          <w:rFonts w:ascii="Cambria" w:eastAsia="Times New Roman" w:hAnsi="Cambria" w:cs="Times New Roman"/>
          <w:bCs/>
          <w:color w:val="000000"/>
          <w:sz w:val="24"/>
          <w:szCs w:val="24"/>
        </w:rPr>
        <w:t>.</w:t>
      </w:r>
      <w:r w:rsidRPr="003438AE">
        <w:rPr>
          <w:rFonts w:ascii="Cambria" w:eastAsia="Times New Roman" w:hAnsi="Cambria" w:cs="Times New Roman"/>
          <w:bCs/>
          <w:color w:val="000000"/>
          <w:sz w:val="24"/>
          <w:szCs w:val="24"/>
        </w:rPr>
        <w:t xml:space="preserve"> Services provided by MICHR. </w:t>
      </w:r>
      <w:r w:rsidR="00EA5855" w:rsidRPr="003438AE">
        <w:rPr>
          <w:rFonts w:ascii="Cambria" w:hAnsi="Cambria"/>
          <w:sz w:val="24"/>
          <w:szCs w:val="24"/>
        </w:rPr>
        <w:t>The TRMS records indicated that there were 23 different services that MICHR provided to investigators as shown in Supplementary Table S1 below. We were interested in whether an investigator made use of any of these services over the lifecycle of a grant proposal.</w:t>
      </w:r>
    </w:p>
    <w:tbl>
      <w:tblPr>
        <w:tblW w:w="4600" w:type="dxa"/>
        <w:tblInd w:w="93" w:type="dxa"/>
        <w:tblBorders>
          <w:top w:val="single" w:sz="12" w:space="0" w:color="auto"/>
          <w:bottom w:val="single" w:sz="12" w:space="0" w:color="auto"/>
        </w:tblBorders>
        <w:tblLook w:val="04A0" w:firstRow="1" w:lastRow="0" w:firstColumn="1" w:lastColumn="0" w:noHBand="0" w:noVBand="1"/>
      </w:tblPr>
      <w:tblGrid>
        <w:gridCol w:w="4600"/>
      </w:tblGrid>
      <w:tr w:rsidR="00EA5855" w:rsidRPr="003438AE" w:rsidTr="006C5354">
        <w:trPr>
          <w:trHeight w:val="300"/>
        </w:trPr>
        <w:tc>
          <w:tcPr>
            <w:tcW w:w="4600" w:type="dxa"/>
            <w:tcBorders>
              <w:bottom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b/>
                <w:bCs/>
                <w:color w:val="000000"/>
              </w:rPr>
            </w:pPr>
            <w:r w:rsidRPr="003438AE">
              <w:rPr>
                <w:rFonts w:ascii="Cambria" w:eastAsia="Times New Roman" w:hAnsi="Cambria" w:cs="Times New Roman"/>
                <w:b/>
                <w:bCs/>
                <w:color w:val="000000"/>
              </w:rPr>
              <w:t>SERVICE NAME</w:t>
            </w:r>
          </w:p>
        </w:tc>
      </w:tr>
      <w:tr w:rsidR="00EA5855" w:rsidRPr="003438AE" w:rsidTr="006C5354">
        <w:trPr>
          <w:trHeight w:val="300"/>
        </w:trPr>
        <w:tc>
          <w:tcPr>
            <w:tcW w:w="4600" w:type="dxa"/>
            <w:tcBorders>
              <w:top w:val="single" w:sz="2" w:space="0" w:color="auto"/>
              <w:bottom w:val="nil"/>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Admin shell</w:t>
            </w:r>
          </w:p>
        </w:tc>
      </w:tr>
      <w:tr w:rsidR="00EA5855" w:rsidRPr="003438AE" w:rsidTr="006C5354">
        <w:trPr>
          <w:trHeight w:val="300"/>
        </w:trPr>
        <w:tc>
          <w:tcPr>
            <w:tcW w:w="4600" w:type="dxa"/>
            <w:tcBorders>
              <w:top w:val="nil"/>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Budget</w:t>
            </w:r>
          </w:p>
        </w:tc>
      </w:tr>
      <w:tr w:rsidR="00EA5855" w:rsidRPr="003438AE" w:rsidTr="006C5354">
        <w:trPr>
          <w:trHeight w:val="300"/>
        </w:trPr>
        <w:tc>
          <w:tcPr>
            <w:tcW w:w="4600" w:type="dxa"/>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Clinical Research Billing Calendar</w:t>
            </w:r>
          </w:p>
        </w:tc>
      </w:tr>
      <w:tr w:rsidR="00EA5855" w:rsidRPr="003438AE" w:rsidTr="006C5354">
        <w:trPr>
          <w:trHeight w:val="300"/>
        </w:trPr>
        <w:tc>
          <w:tcPr>
            <w:tcW w:w="4600" w:type="dxa"/>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Consult</w:t>
            </w:r>
          </w:p>
        </w:tc>
      </w:tr>
      <w:tr w:rsidR="00EA5855" w:rsidRPr="003438AE" w:rsidTr="006C5354">
        <w:trPr>
          <w:trHeight w:val="300"/>
        </w:trPr>
        <w:tc>
          <w:tcPr>
            <w:tcW w:w="4600" w:type="dxa"/>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Content development</w:t>
            </w:r>
          </w:p>
        </w:tc>
      </w:tr>
      <w:tr w:rsidR="00EA5855" w:rsidRPr="003438AE" w:rsidTr="006C5354">
        <w:trPr>
          <w:trHeight w:val="300"/>
        </w:trPr>
        <w:tc>
          <w:tcPr>
            <w:tcW w:w="4600" w:type="dxa"/>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Contract</w:t>
            </w:r>
          </w:p>
        </w:tc>
      </w:tr>
      <w:tr w:rsidR="00EA5855" w:rsidRPr="003438AE" w:rsidTr="006C5354">
        <w:trPr>
          <w:trHeight w:val="300"/>
        </w:trPr>
        <w:tc>
          <w:tcPr>
            <w:tcW w:w="4600" w:type="dxa"/>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Data Management</w:t>
            </w:r>
          </w:p>
        </w:tc>
      </w:tr>
      <w:tr w:rsidR="00EA5855" w:rsidRPr="003438AE" w:rsidTr="006C5354">
        <w:trPr>
          <w:trHeight w:val="300"/>
        </w:trPr>
        <w:tc>
          <w:tcPr>
            <w:tcW w:w="4600" w:type="dxa"/>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Feasibility Assessment</w:t>
            </w:r>
          </w:p>
        </w:tc>
      </w:tr>
      <w:tr w:rsidR="00EA5855" w:rsidRPr="003438AE" w:rsidTr="006C5354">
        <w:trPr>
          <w:trHeight w:val="300"/>
        </w:trPr>
        <w:tc>
          <w:tcPr>
            <w:tcW w:w="4600" w:type="dxa"/>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Find collaborator</w:t>
            </w:r>
          </w:p>
        </w:tc>
      </w:tr>
      <w:tr w:rsidR="00EA5855" w:rsidRPr="003438AE" w:rsidTr="006C5354">
        <w:trPr>
          <w:trHeight w:val="300"/>
        </w:trPr>
        <w:tc>
          <w:tcPr>
            <w:tcW w:w="4600" w:type="dxa"/>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Funding</w:t>
            </w:r>
          </w:p>
        </w:tc>
      </w:tr>
      <w:tr w:rsidR="00EA5855" w:rsidRPr="003438AE" w:rsidTr="006C5354">
        <w:trPr>
          <w:trHeight w:val="300"/>
        </w:trPr>
        <w:tc>
          <w:tcPr>
            <w:tcW w:w="4600" w:type="dxa"/>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Grant resubmit RDC 1st attempt</w:t>
            </w:r>
          </w:p>
        </w:tc>
      </w:tr>
      <w:tr w:rsidR="00EA5855" w:rsidRPr="003438AE" w:rsidTr="006C5354">
        <w:trPr>
          <w:trHeight w:val="300"/>
        </w:trPr>
        <w:tc>
          <w:tcPr>
            <w:tcW w:w="4600" w:type="dxa"/>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Grant resubmit RDC 2nd or subsequent attempt</w:t>
            </w:r>
          </w:p>
        </w:tc>
      </w:tr>
      <w:tr w:rsidR="00EA5855" w:rsidRPr="003438AE" w:rsidTr="006C5354">
        <w:trPr>
          <w:trHeight w:val="300"/>
        </w:trPr>
        <w:tc>
          <w:tcPr>
            <w:tcW w:w="4600" w:type="dxa"/>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Grant submission 1st attempt</w:t>
            </w:r>
          </w:p>
        </w:tc>
      </w:tr>
      <w:tr w:rsidR="00EA5855" w:rsidRPr="003438AE" w:rsidTr="006C5354">
        <w:trPr>
          <w:trHeight w:val="300"/>
        </w:trPr>
        <w:tc>
          <w:tcPr>
            <w:tcW w:w="4600" w:type="dxa"/>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 xml:space="preserve">IND/IDE submission </w:t>
            </w:r>
          </w:p>
        </w:tc>
      </w:tr>
      <w:tr w:rsidR="00EA5855" w:rsidRPr="003438AE" w:rsidTr="006C5354">
        <w:trPr>
          <w:trHeight w:val="300"/>
        </w:trPr>
        <w:tc>
          <w:tcPr>
            <w:tcW w:w="4600" w:type="dxa"/>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Informed Consent</w:t>
            </w:r>
          </w:p>
        </w:tc>
      </w:tr>
      <w:tr w:rsidR="00EA5855" w:rsidRPr="003438AE" w:rsidTr="006C5354">
        <w:trPr>
          <w:trHeight w:val="300"/>
        </w:trPr>
        <w:tc>
          <w:tcPr>
            <w:tcW w:w="4600" w:type="dxa"/>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IRB submission</w:t>
            </w:r>
          </w:p>
        </w:tc>
      </w:tr>
      <w:tr w:rsidR="00EA5855" w:rsidRPr="003438AE" w:rsidTr="006C5354">
        <w:trPr>
          <w:trHeight w:val="300"/>
        </w:trPr>
        <w:tc>
          <w:tcPr>
            <w:tcW w:w="4600" w:type="dxa"/>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Letter of Support</w:t>
            </w:r>
          </w:p>
        </w:tc>
      </w:tr>
      <w:tr w:rsidR="00EA5855" w:rsidRPr="003438AE" w:rsidTr="006C5354">
        <w:trPr>
          <w:trHeight w:val="300"/>
        </w:trPr>
        <w:tc>
          <w:tcPr>
            <w:tcW w:w="4600" w:type="dxa"/>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MCRU</w:t>
            </w:r>
          </w:p>
        </w:tc>
      </w:tr>
      <w:tr w:rsidR="00EA5855" w:rsidRPr="003438AE" w:rsidTr="006C5354">
        <w:trPr>
          <w:trHeight w:val="300"/>
        </w:trPr>
        <w:tc>
          <w:tcPr>
            <w:tcW w:w="4600" w:type="dxa"/>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Navigation</w:t>
            </w:r>
          </w:p>
        </w:tc>
      </w:tr>
      <w:tr w:rsidR="00EA5855" w:rsidRPr="003438AE" w:rsidTr="006C5354">
        <w:trPr>
          <w:trHeight w:val="300"/>
        </w:trPr>
        <w:tc>
          <w:tcPr>
            <w:tcW w:w="4600" w:type="dxa"/>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Other</w:t>
            </w:r>
          </w:p>
        </w:tc>
      </w:tr>
      <w:tr w:rsidR="00EA5855" w:rsidRPr="003438AE" w:rsidTr="006C5354">
        <w:trPr>
          <w:trHeight w:val="300"/>
        </w:trPr>
        <w:tc>
          <w:tcPr>
            <w:tcW w:w="4600" w:type="dxa"/>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Project Mgmt &amp; Monitoring</w:t>
            </w:r>
          </w:p>
        </w:tc>
      </w:tr>
      <w:tr w:rsidR="00EA5855" w:rsidRPr="003438AE" w:rsidTr="006C5354">
        <w:trPr>
          <w:trHeight w:val="300"/>
        </w:trPr>
        <w:tc>
          <w:tcPr>
            <w:tcW w:w="4600" w:type="dxa"/>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Publication review</w:t>
            </w:r>
          </w:p>
        </w:tc>
      </w:tr>
      <w:tr w:rsidR="00EA5855" w:rsidRPr="003438AE" w:rsidTr="006C5354">
        <w:trPr>
          <w:trHeight w:val="300"/>
        </w:trPr>
        <w:tc>
          <w:tcPr>
            <w:tcW w:w="4600" w:type="dxa"/>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Registries</w:t>
            </w:r>
          </w:p>
        </w:tc>
      </w:tr>
    </w:tbl>
    <w:p w:rsidR="003438AE" w:rsidRPr="003438AE" w:rsidRDefault="003438AE" w:rsidP="00EA5855">
      <w:pPr>
        <w:spacing w:line="240" w:lineRule="auto"/>
        <w:rPr>
          <w:rFonts w:ascii="Cambria" w:hAnsi="Cambria"/>
        </w:rPr>
      </w:pPr>
    </w:p>
    <w:p w:rsidR="003438AE" w:rsidRPr="003438AE" w:rsidRDefault="003438AE">
      <w:pPr>
        <w:rPr>
          <w:rFonts w:ascii="Cambria" w:hAnsi="Cambria"/>
        </w:rPr>
      </w:pPr>
      <w:r w:rsidRPr="003438AE">
        <w:rPr>
          <w:rFonts w:ascii="Cambria" w:hAnsi="Cambria"/>
        </w:rPr>
        <w:br w:type="page"/>
      </w:r>
    </w:p>
    <w:p w:rsidR="003438AE" w:rsidRPr="003438AE" w:rsidRDefault="003438AE" w:rsidP="003438AE">
      <w:pPr>
        <w:spacing w:before="240" w:line="480" w:lineRule="auto"/>
        <w:rPr>
          <w:rFonts w:ascii="Cambria" w:hAnsi="Cambria"/>
          <w:sz w:val="24"/>
          <w:szCs w:val="24"/>
        </w:rPr>
      </w:pPr>
      <w:r w:rsidRPr="003438AE">
        <w:rPr>
          <w:rFonts w:ascii="Cambria" w:hAnsi="Cambria"/>
          <w:b/>
          <w:sz w:val="24"/>
          <w:szCs w:val="24"/>
        </w:rPr>
        <w:lastRenderedPageBreak/>
        <w:t>Supplementary Table S2</w:t>
      </w:r>
      <w:r w:rsidR="00E97EE5">
        <w:rPr>
          <w:rFonts w:ascii="Cambria" w:hAnsi="Cambria"/>
          <w:b/>
          <w:sz w:val="24"/>
          <w:szCs w:val="24"/>
        </w:rPr>
        <w:t>a</w:t>
      </w:r>
      <w:r w:rsidRPr="003438AE">
        <w:rPr>
          <w:rFonts w:ascii="Cambria" w:hAnsi="Cambria"/>
          <w:sz w:val="24"/>
          <w:szCs w:val="24"/>
        </w:rPr>
        <w:t>. Full cross-sectional models for the association between consulting MICHR in each of the years 2006-2010 and two-step reach (all U-M investigators; no new investigators added after 2006).</w:t>
      </w:r>
    </w:p>
    <w:tbl>
      <w:tblPr>
        <w:tblW w:w="0" w:type="auto"/>
        <w:tblInd w:w="93" w:type="dxa"/>
        <w:tblBorders>
          <w:top w:val="single" w:sz="12" w:space="0" w:color="auto"/>
          <w:bottom w:val="single" w:sz="12" w:space="0" w:color="auto"/>
        </w:tblBorders>
        <w:tblLook w:val="04A0" w:firstRow="1" w:lastRow="0" w:firstColumn="1" w:lastColumn="0" w:noHBand="0" w:noVBand="1"/>
      </w:tblPr>
      <w:tblGrid>
        <w:gridCol w:w="3996"/>
        <w:gridCol w:w="1104"/>
        <w:gridCol w:w="1104"/>
        <w:gridCol w:w="1104"/>
        <w:gridCol w:w="1104"/>
        <w:gridCol w:w="1104"/>
      </w:tblGrid>
      <w:tr w:rsidR="00EA5855" w:rsidRPr="003438AE" w:rsidTr="006C5354">
        <w:trPr>
          <w:trHeight w:val="300"/>
        </w:trPr>
        <w:tc>
          <w:tcPr>
            <w:tcW w:w="0" w:type="auto"/>
            <w:tcBorders>
              <w:top w:val="single" w:sz="2" w:space="0" w:color="auto"/>
              <w:bottom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tcBorders>
              <w:top w:val="single" w:sz="2" w:space="0" w:color="auto"/>
              <w:bottom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w:t>
            </w:r>
          </w:p>
        </w:tc>
        <w:tc>
          <w:tcPr>
            <w:tcW w:w="0" w:type="auto"/>
            <w:tcBorders>
              <w:top w:val="single" w:sz="2" w:space="0" w:color="auto"/>
              <w:bottom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w:t>
            </w:r>
          </w:p>
        </w:tc>
        <w:tc>
          <w:tcPr>
            <w:tcW w:w="0" w:type="auto"/>
            <w:tcBorders>
              <w:top w:val="single" w:sz="2" w:space="0" w:color="auto"/>
              <w:bottom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(3)</w:t>
            </w:r>
          </w:p>
        </w:tc>
        <w:tc>
          <w:tcPr>
            <w:tcW w:w="0" w:type="auto"/>
            <w:tcBorders>
              <w:top w:val="single" w:sz="2" w:space="0" w:color="auto"/>
              <w:bottom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(4)</w:t>
            </w:r>
          </w:p>
        </w:tc>
        <w:tc>
          <w:tcPr>
            <w:tcW w:w="0" w:type="auto"/>
            <w:tcBorders>
              <w:top w:val="single" w:sz="2" w:space="0" w:color="auto"/>
              <w:bottom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(5)</w:t>
            </w:r>
          </w:p>
        </w:tc>
      </w:tr>
      <w:tr w:rsidR="00EA5855" w:rsidRPr="003438AE" w:rsidTr="006C5354">
        <w:trPr>
          <w:trHeight w:val="300"/>
        </w:trPr>
        <w:tc>
          <w:tcPr>
            <w:tcW w:w="0" w:type="auto"/>
            <w:tcBorders>
              <w:top w:val="single" w:sz="2" w:space="0" w:color="auto"/>
              <w:bottom w:val="single" w:sz="2" w:space="0" w:color="auto"/>
            </w:tcBorders>
            <w:shd w:val="clear" w:color="auto" w:fill="auto"/>
            <w:noWrap/>
            <w:vAlign w:val="bottom"/>
            <w:hideMark/>
          </w:tcPr>
          <w:p w:rsidR="00EA5855" w:rsidRPr="003438AE" w:rsidRDefault="00EA5855" w:rsidP="006C5354">
            <w:pPr>
              <w:spacing w:after="0" w:line="240" w:lineRule="auto"/>
              <w:jc w:val="right"/>
              <w:rPr>
                <w:rFonts w:ascii="Cambria" w:eastAsia="Times New Roman" w:hAnsi="Cambria" w:cs="Times New Roman"/>
                <w:i/>
                <w:iCs/>
                <w:color w:val="000000"/>
              </w:rPr>
            </w:pPr>
            <w:r w:rsidRPr="003438AE">
              <w:rPr>
                <w:rFonts w:ascii="Cambria" w:eastAsia="Times New Roman" w:hAnsi="Cambria" w:cs="Times New Roman"/>
                <w:i/>
                <w:iCs/>
                <w:color w:val="000000"/>
              </w:rPr>
              <w:t>Year Consulted MICHR</w:t>
            </w:r>
          </w:p>
        </w:tc>
        <w:tc>
          <w:tcPr>
            <w:tcW w:w="0" w:type="auto"/>
            <w:tcBorders>
              <w:top w:val="single" w:sz="2" w:space="0" w:color="auto"/>
              <w:bottom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2006</w:t>
            </w:r>
          </w:p>
        </w:tc>
        <w:tc>
          <w:tcPr>
            <w:tcW w:w="0" w:type="auto"/>
            <w:tcBorders>
              <w:top w:val="single" w:sz="2" w:space="0" w:color="auto"/>
              <w:bottom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2007</w:t>
            </w:r>
          </w:p>
        </w:tc>
        <w:tc>
          <w:tcPr>
            <w:tcW w:w="0" w:type="auto"/>
            <w:tcBorders>
              <w:top w:val="single" w:sz="2" w:space="0" w:color="auto"/>
              <w:bottom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2008</w:t>
            </w:r>
          </w:p>
        </w:tc>
        <w:tc>
          <w:tcPr>
            <w:tcW w:w="0" w:type="auto"/>
            <w:tcBorders>
              <w:top w:val="single" w:sz="2" w:space="0" w:color="auto"/>
              <w:bottom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2009</w:t>
            </w:r>
          </w:p>
        </w:tc>
        <w:tc>
          <w:tcPr>
            <w:tcW w:w="0" w:type="auto"/>
            <w:tcBorders>
              <w:top w:val="single" w:sz="2" w:space="0" w:color="auto"/>
              <w:bottom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2010</w:t>
            </w:r>
          </w:p>
        </w:tc>
      </w:tr>
      <w:tr w:rsidR="00EA5855" w:rsidRPr="003438AE" w:rsidTr="006C5354">
        <w:trPr>
          <w:trHeight w:val="300"/>
        </w:trPr>
        <w:tc>
          <w:tcPr>
            <w:tcW w:w="0" w:type="auto"/>
            <w:tcBorders>
              <w:top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DV = ∆ Two-step Reach 2004 to 2012</w:t>
            </w:r>
          </w:p>
        </w:tc>
        <w:tc>
          <w:tcPr>
            <w:tcW w:w="0" w:type="auto"/>
            <w:tcBorders>
              <w:top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tcBorders>
              <w:top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tcBorders>
              <w:top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tcBorders>
              <w:top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tcBorders>
              <w:top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b/>
                <w:bCs/>
                <w:color w:val="000000"/>
              </w:rPr>
            </w:pPr>
            <w:r w:rsidRPr="003438AE">
              <w:rPr>
                <w:rFonts w:ascii="Cambria" w:eastAsia="Times New Roman" w:hAnsi="Cambria" w:cs="Times New Roman"/>
                <w:b/>
                <w:bCs/>
                <w:color w:val="000000"/>
              </w:rPr>
              <w:t>VARIABLES</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Consulted MICHR</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160.9***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176.8***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92.15***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70.64**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175.6***</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(30.52)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(28.48)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(27.12)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(25.51)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(22.40)</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GENDER</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Female</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(reference category)</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Male</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9.186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-0.361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4.791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3.401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2.904</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(19.23)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(19.11)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(19.38)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(19.42)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(18.87)</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RACE</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White</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(reference category)</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Asian</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-25.94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-24.67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-23.66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-27.28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-14.06</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(23.11)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(22.98)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(23.34)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(23.36)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(22.77)</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Hispanic</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87.54+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69.16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87.34+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93.14*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90.43*</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(45.27)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(45.20)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(45.73)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(45.75)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(44.44)</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Black</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-26.89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-10.70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-17.73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-16.55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-12.19</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(48.78)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(48.50)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(49.19)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(49.31)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(47.91)</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2 or more</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-137.6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-137.6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-140.8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-143.2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-122.9</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(109.2)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(108.6)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(110.2)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(110.4)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(107.3)</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Not Indicated</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-59.04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-108.5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-90.28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-96.62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-42.67</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(93.93)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(93.50)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(94.82)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(95.24)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(92.32)</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Native American</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-98.89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-89.64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-100.9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-99.67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-77.54</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(124.3)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(123.6)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(125.4)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(125.7)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(122.2)</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Hawaiian</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-190.6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-153.4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-186.5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-186.2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-153.7</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(262.6)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(261.2)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(265.0)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(265.5)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(258.0)</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AFFILIATION</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Medical School</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(reference category)</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College of Engineering</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-167.3***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-162.3***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-169.5***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-173.0***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-142.0***</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(21.32)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(21.25)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(21.74)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(21.74)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(21.40)</w:t>
            </w:r>
          </w:p>
        </w:tc>
      </w:tr>
      <w:tr w:rsidR="00EA5855" w:rsidRPr="003438AE" w:rsidTr="006C5354">
        <w:trPr>
          <w:trHeight w:val="300"/>
        </w:trPr>
        <w:tc>
          <w:tcPr>
            <w:tcW w:w="0" w:type="auto"/>
            <w:shd w:val="clear" w:color="auto" w:fill="auto"/>
            <w:noWrap/>
            <w:vAlign w:val="bottom"/>
            <w:hideMark/>
          </w:tcPr>
          <w:p w:rsidR="00EA5855" w:rsidRPr="00706F76" w:rsidRDefault="00C23417" w:rsidP="00706F76">
            <w:pPr>
              <w:spacing w:after="0" w:line="240" w:lineRule="auto"/>
              <w:ind w:firstLineChars="100" w:firstLine="220"/>
              <w:rPr>
                <w:rFonts w:ascii="Cambria" w:eastAsia="Times New Roman" w:hAnsi="Cambria" w:cs="Times New Roman"/>
                <w:color w:val="000000"/>
              </w:rPr>
            </w:pPr>
            <w:r w:rsidRPr="00706F76">
              <w:rPr>
                <w:rFonts w:ascii="Cambria" w:eastAsia="Times New Roman" w:hAnsi="Cambria" w:cs="Times New Roman"/>
                <w:color w:val="000000"/>
              </w:rPr>
              <w:t>Literature, Science, Arts</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-156.4***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-151.5***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-159.6***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-162.8***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-140.0***</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(31.35)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(31.20)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(31.80)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(31.86)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(30.92)</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School of Public Health</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62.62+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58.36+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60.02+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51.85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61.55+</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(33.42)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(33.16)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(33.77)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(33.70)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(32.77)</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Benefits Pool &amp; Reser</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-85.53+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-87.59+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-83.55+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-86.91+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-61.21</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(45.84)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(45.53)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(46.43)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(46.52)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(45.22)</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School of Dentistry</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-70.22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-80.64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-63.08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-67.16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-48.80</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(53.29)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(53.02)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(53.79)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(53.88)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(52.42)</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College of Pharmacy</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-21.22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-15.60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-32.08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-28.06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-25.41</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(71.17)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(70.79)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(71.75)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(72.02)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(69.85)</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School of Nursing</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19.38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-26.28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1.210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-10.29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-25.77</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(87.99)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(87.41)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(88.65)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(88.83)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(86.34)</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Life Sciences Institute</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198.1+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208.1+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199.4+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196.6+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218.4*</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(110.9)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(110.3)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(112.0)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(112.2)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(109.0)</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UMTRI</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-149.2+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-145.6+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-152.5+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-156.1+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-123.3</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(81.90)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(81.44)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(82.69)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(82.86)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(80.59)</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Institute for Social Research</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-81.30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-78.21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-85.11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-88.55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-56.39</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(100.3)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(99.71)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(101.2)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(101.4)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(98.61)</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Provost &amp; EVPA</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-77.84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-99.21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-84.14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-95.94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-115.3</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(83.24)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(82.65)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(84.00)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(84.06)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(81.68)</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School of Kinesiology</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-90.41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-118.8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-93.82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-109.5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-97.97</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(101.9)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(101.3)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(102.9)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(103.0)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(100.1)</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School of Social Work</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-12.05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-43.41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-18.43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-21.97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-21.54</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(100.2)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(99.52)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(101.1)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(101.3)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(98.34)</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U-M Dearborn College of Engineering</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-201.6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-201.8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-208.3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-208.7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-189.2</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(173.3)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(172.3)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(174.8)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(175.2)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(170.2)</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School of Information</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-348.6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-342.8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-350.9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-354.1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-321.3</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(243.2)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(241.8)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(245.4)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(245.9)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(239.0)</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CHGD</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256.6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252.8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249.9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245.3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189.8</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(172.8)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(171.8)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(174.3)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(174.7)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(169.8)</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President's Office</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-83.55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-83.18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-89.17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-91.30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-65.28</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(172.4)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(171.4)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(173.9)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(174.3)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(169.4)</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Vice President for Research</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-23.73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66.91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52.33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45.49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-96.15</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(173.7)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(172.5)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(175.1)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(175.4)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(171.1)</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Mary Rackham Institute</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-80.43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-261.0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-87.10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-91.74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-59.35</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(243.6)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(243.5)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(245.8)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(246.3)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(239.3)</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TCAUP</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-226.6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-220.8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-228.9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-232.1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-199.3</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(243.2)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(241.8)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(245.4)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(245.9)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(239.0)</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Rackham Graduate School</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-189.4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-193.2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-196.1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-200.7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-168.4</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(243.6)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(242.2)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(245.8)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(246.3)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(239.3)</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220"/>
              <w:rPr>
                <w:rFonts w:ascii="Cambria" w:eastAsia="Times New Roman" w:hAnsi="Cambria" w:cs="Times New Roman"/>
                <w:color w:val="000000"/>
              </w:rPr>
            </w:pPr>
            <w:r w:rsidRPr="003438AE">
              <w:rPr>
                <w:rFonts w:ascii="Cambria" w:eastAsia="Times New Roman" w:hAnsi="Cambria" w:cs="Times New Roman"/>
                <w:color w:val="000000"/>
              </w:rPr>
              <w:t>SNRE</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-216.6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-210.8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-218.9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-222.1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-189.3</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(243.2)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(241.8)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(245.4)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(245.9)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(239.0)</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Constant</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222.4***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226.2***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229.1***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233.7***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201.4***</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(18.97)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(18.60)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(19.28)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(19.19)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(18.99)</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Observations</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936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936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936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936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936</w:t>
            </w:r>
          </w:p>
        </w:tc>
      </w:tr>
      <w:tr w:rsidR="00EA5855" w:rsidRPr="003438AE" w:rsidTr="00706F76">
        <w:trPr>
          <w:trHeight w:val="300"/>
        </w:trPr>
        <w:tc>
          <w:tcPr>
            <w:tcW w:w="0" w:type="auto"/>
            <w:shd w:val="clear" w:color="auto" w:fill="auto"/>
            <w:noWrap/>
            <w:vAlign w:val="bottom"/>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tcPr>
          <w:p w:rsidR="00EA5855" w:rsidRPr="003438AE" w:rsidRDefault="00EA5855" w:rsidP="006C5354">
            <w:pPr>
              <w:spacing w:after="0" w:line="240" w:lineRule="auto"/>
              <w:rPr>
                <w:rFonts w:ascii="Cambria" w:eastAsia="Times New Roman" w:hAnsi="Cambria" w:cs="Times New Roman"/>
                <w:color w:val="000000"/>
              </w:rPr>
            </w:pP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Standard errors in parentheses</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r w:rsidRPr="003438AE">
              <w:rPr>
                <w:rFonts w:ascii="Cambria" w:eastAsia="Times New Roman" w:hAnsi="Cambria" w:cs="Times New Roman"/>
                <w:color w:val="000000"/>
              </w:rPr>
              <w:t>*** p&lt;0.001, ** p&lt;0.01, * p&lt;0.05, + p&lt;0.1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rPr>
            </w:pPr>
          </w:p>
        </w:tc>
      </w:tr>
    </w:tbl>
    <w:p w:rsidR="003438AE" w:rsidRDefault="003438AE" w:rsidP="00EA5855">
      <w:pPr>
        <w:spacing w:line="240" w:lineRule="auto"/>
        <w:rPr>
          <w:rFonts w:ascii="Cambria" w:hAnsi="Cambria"/>
        </w:rPr>
      </w:pPr>
    </w:p>
    <w:p w:rsidR="00E97EE5" w:rsidRPr="003438AE" w:rsidRDefault="00E97EE5" w:rsidP="00E97EE5">
      <w:pPr>
        <w:spacing w:before="240" w:line="480" w:lineRule="auto"/>
        <w:rPr>
          <w:rFonts w:ascii="Cambria" w:hAnsi="Cambria"/>
          <w:sz w:val="24"/>
          <w:szCs w:val="24"/>
        </w:rPr>
      </w:pPr>
      <w:r w:rsidRPr="003438AE">
        <w:rPr>
          <w:rFonts w:ascii="Cambria" w:hAnsi="Cambria"/>
          <w:b/>
          <w:sz w:val="24"/>
          <w:szCs w:val="24"/>
        </w:rPr>
        <w:lastRenderedPageBreak/>
        <w:t>Supplementary Table S2</w:t>
      </w:r>
      <w:r>
        <w:rPr>
          <w:rFonts w:ascii="Cambria" w:hAnsi="Cambria"/>
          <w:b/>
          <w:sz w:val="24"/>
          <w:szCs w:val="24"/>
        </w:rPr>
        <w:t>b</w:t>
      </w:r>
      <w:r w:rsidRPr="003438AE">
        <w:rPr>
          <w:rFonts w:ascii="Cambria" w:hAnsi="Cambria"/>
          <w:sz w:val="24"/>
          <w:szCs w:val="24"/>
        </w:rPr>
        <w:t xml:space="preserve">. Full cross-sectional models for the association between </w:t>
      </w:r>
      <w:r>
        <w:rPr>
          <w:rFonts w:ascii="Cambria" w:hAnsi="Cambria"/>
          <w:sz w:val="24"/>
          <w:szCs w:val="24"/>
        </w:rPr>
        <w:t>number of times an investigator consulted</w:t>
      </w:r>
      <w:r w:rsidRPr="003438AE">
        <w:rPr>
          <w:rFonts w:ascii="Cambria" w:hAnsi="Cambria"/>
          <w:sz w:val="24"/>
          <w:szCs w:val="24"/>
        </w:rPr>
        <w:t xml:space="preserve"> MICHR in each of the years 2006-2010 and two-step reach (all U-M investigators; no new investigators added after 2006).</w:t>
      </w:r>
    </w:p>
    <w:tbl>
      <w:tblPr>
        <w:tblW w:w="8720" w:type="dxa"/>
        <w:tblBorders>
          <w:bottom w:val="single" w:sz="12" w:space="0" w:color="auto"/>
        </w:tblBorders>
        <w:tblCellMar>
          <w:left w:w="0" w:type="dxa"/>
          <w:right w:w="0" w:type="dxa"/>
        </w:tblCellMar>
        <w:tblLook w:val="04A0" w:firstRow="1" w:lastRow="0" w:firstColumn="1" w:lastColumn="0" w:noHBand="0" w:noVBand="1"/>
      </w:tblPr>
      <w:tblGrid>
        <w:gridCol w:w="3820"/>
        <w:gridCol w:w="980"/>
        <w:gridCol w:w="980"/>
        <w:gridCol w:w="980"/>
        <w:gridCol w:w="980"/>
        <w:gridCol w:w="980"/>
      </w:tblGrid>
      <w:tr w:rsidR="00E97EE5" w:rsidRPr="00E97EE5" w:rsidTr="00706F76">
        <w:trPr>
          <w:trHeight w:val="300"/>
        </w:trPr>
        <w:tc>
          <w:tcPr>
            <w:tcW w:w="3820" w:type="dxa"/>
            <w:tcBorders>
              <w:top w:val="single" w:sz="2" w:space="0" w:color="auto"/>
              <w:bottom w:val="single" w:sz="2" w:space="0" w:color="auto"/>
            </w:tcBorders>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rPr>
            </w:pPr>
          </w:p>
        </w:tc>
        <w:tc>
          <w:tcPr>
            <w:tcW w:w="980" w:type="dxa"/>
            <w:tcBorders>
              <w:top w:val="single" w:sz="2" w:space="0" w:color="auto"/>
              <w:bottom w:val="single" w:sz="2" w:space="0" w:color="auto"/>
            </w:tcBorders>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w:t>
            </w:r>
          </w:p>
        </w:tc>
        <w:tc>
          <w:tcPr>
            <w:tcW w:w="980" w:type="dxa"/>
            <w:tcBorders>
              <w:top w:val="single" w:sz="2" w:space="0" w:color="auto"/>
              <w:bottom w:val="single" w:sz="2" w:space="0" w:color="auto"/>
            </w:tcBorders>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w:t>
            </w:r>
          </w:p>
        </w:tc>
        <w:tc>
          <w:tcPr>
            <w:tcW w:w="980" w:type="dxa"/>
            <w:tcBorders>
              <w:top w:val="single" w:sz="2" w:space="0" w:color="auto"/>
              <w:bottom w:val="single" w:sz="2" w:space="0" w:color="auto"/>
            </w:tcBorders>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(3)</w:t>
            </w:r>
          </w:p>
        </w:tc>
        <w:tc>
          <w:tcPr>
            <w:tcW w:w="980" w:type="dxa"/>
            <w:tcBorders>
              <w:top w:val="single" w:sz="2" w:space="0" w:color="auto"/>
              <w:bottom w:val="single" w:sz="2" w:space="0" w:color="auto"/>
            </w:tcBorders>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(4)</w:t>
            </w:r>
          </w:p>
        </w:tc>
        <w:tc>
          <w:tcPr>
            <w:tcW w:w="980" w:type="dxa"/>
            <w:tcBorders>
              <w:top w:val="single" w:sz="2" w:space="0" w:color="auto"/>
              <w:bottom w:val="single" w:sz="2" w:space="0" w:color="auto"/>
            </w:tcBorders>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(5)</w:t>
            </w:r>
          </w:p>
        </w:tc>
      </w:tr>
      <w:tr w:rsidR="00E97EE5" w:rsidRPr="00E97EE5" w:rsidTr="00706F76">
        <w:trPr>
          <w:trHeight w:val="300"/>
        </w:trPr>
        <w:tc>
          <w:tcPr>
            <w:tcW w:w="0" w:type="auto"/>
            <w:tcBorders>
              <w:top w:val="single" w:sz="2" w:space="0" w:color="auto"/>
              <w:bottom w:val="single" w:sz="2" w:space="0" w:color="auto"/>
            </w:tcBorders>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jc w:val="right"/>
              <w:rPr>
                <w:rFonts w:asciiTheme="majorHAnsi" w:hAnsiTheme="majorHAnsi" w:cs="Calibri"/>
                <w:i/>
                <w:iCs/>
                <w:color w:val="000000"/>
              </w:rPr>
            </w:pPr>
            <w:r w:rsidRPr="00E97EE5">
              <w:rPr>
                <w:rFonts w:asciiTheme="majorHAnsi" w:hAnsiTheme="majorHAnsi" w:cs="Calibri"/>
                <w:i/>
                <w:iCs/>
                <w:color w:val="000000"/>
              </w:rPr>
              <w:t>Year Consulted MICHR</w:t>
            </w:r>
          </w:p>
        </w:tc>
        <w:tc>
          <w:tcPr>
            <w:tcW w:w="0" w:type="auto"/>
            <w:tcBorders>
              <w:top w:val="single" w:sz="2" w:space="0" w:color="auto"/>
              <w:bottom w:val="single" w:sz="2" w:space="0" w:color="auto"/>
            </w:tcBorders>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2006</w:t>
            </w:r>
          </w:p>
        </w:tc>
        <w:tc>
          <w:tcPr>
            <w:tcW w:w="0" w:type="auto"/>
            <w:tcBorders>
              <w:top w:val="single" w:sz="2" w:space="0" w:color="auto"/>
              <w:bottom w:val="single" w:sz="2" w:space="0" w:color="auto"/>
            </w:tcBorders>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2007</w:t>
            </w:r>
          </w:p>
        </w:tc>
        <w:tc>
          <w:tcPr>
            <w:tcW w:w="0" w:type="auto"/>
            <w:tcBorders>
              <w:top w:val="single" w:sz="2" w:space="0" w:color="auto"/>
              <w:bottom w:val="single" w:sz="2" w:space="0" w:color="auto"/>
            </w:tcBorders>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2008</w:t>
            </w:r>
          </w:p>
        </w:tc>
        <w:tc>
          <w:tcPr>
            <w:tcW w:w="0" w:type="auto"/>
            <w:tcBorders>
              <w:top w:val="single" w:sz="2" w:space="0" w:color="auto"/>
              <w:bottom w:val="single" w:sz="2" w:space="0" w:color="auto"/>
            </w:tcBorders>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2009</w:t>
            </w:r>
          </w:p>
        </w:tc>
        <w:tc>
          <w:tcPr>
            <w:tcW w:w="0" w:type="auto"/>
            <w:tcBorders>
              <w:top w:val="single" w:sz="2" w:space="0" w:color="auto"/>
              <w:bottom w:val="single" w:sz="2" w:space="0" w:color="auto"/>
            </w:tcBorders>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2010</w:t>
            </w:r>
          </w:p>
        </w:tc>
      </w:tr>
      <w:tr w:rsidR="00E97EE5" w:rsidRPr="00E97EE5" w:rsidTr="00706F76">
        <w:trPr>
          <w:trHeight w:val="300"/>
        </w:trPr>
        <w:tc>
          <w:tcPr>
            <w:tcW w:w="0" w:type="auto"/>
            <w:tcBorders>
              <w:top w:val="single" w:sz="2" w:space="0" w:color="auto"/>
            </w:tcBorders>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DV = ∆ Two-step Reach 2004 to 2012</w:t>
            </w:r>
          </w:p>
        </w:tc>
        <w:tc>
          <w:tcPr>
            <w:tcW w:w="0" w:type="auto"/>
            <w:tcBorders>
              <w:top w:val="single" w:sz="2" w:space="0" w:color="auto"/>
            </w:tcBorders>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tcBorders>
              <w:top w:val="single" w:sz="2" w:space="0" w:color="auto"/>
            </w:tcBorders>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tcBorders>
              <w:top w:val="single" w:sz="2" w:space="0" w:color="auto"/>
            </w:tcBorders>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tcBorders>
              <w:top w:val="single" w:sz="2" w:space="0" w:color="auto"/>
            </w:tcBorders>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tcBorders>
              <w:top w:val="single" w:sz="2" w:space="0" w:color="auto"/>
            </w:tcBorders>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r>
      <w:tr w:rsidR="00E97EE5" w:rsidRPr="00E97EE5" w:rsidTr="00706F76">
        <w:trPr>
          <w:trHeight w:val="300"/>
        </w:trPr>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b/>
                <w:color w:val="000000"/>
              </w:rPr>
            </w:pPr>
            <w:r w:rsidRPr="00E97EE5">
              <w:rPr>
                <w:rFonts w:asciiTheme="majorHAnsi" w:hAnsiTheme="majorHAnsi" w:cs="Calibri"/>
                <w:b/>
                <w:color w:val="000000"/>
              </w:rPr>
              <w:t>VARIABLES</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r>
      <w:tr w:rsidR="00E97EE5" w:rsidRPr="00E97EE5" w:rsidTr="00706F76">
        <w:trPr>
          <w:trHeight w:val="300"/>
        </w:trPr>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r>
      <w:tr w:rsidR="00E97EE5" w:rsidRPr="00E97EE5" w:rsidTr="00706F76">
        <w:trPr>
          <w:trHeight w:val="300"/>
        </w:trPr>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Number of Times Consulted MICHR</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11.80**</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8.976+</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17.78***</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14.77**</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18.45***</w:t>
            </w:r>
          </w:p>
        </w:tc>
      </w:tr>
      <w:tr w:rsidR="00E97EE5" w:rsidRPr="00E97EE5" w:rsidTr="00706F76">
        <w:trPr>
          <w:trHeight w:val="300"/>
        </w:trPr>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(4.399)</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(5.054)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(3.547)</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(5.468)</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(4.206)</w:t>
            </w:r>
          </w:p>
        </w:tc>
      </w:tr>
      <w:tr w:rsidR="00E97EE5" w:rsidRPr="00E97EE5" w:rsidTr="00706F76">
        <w:trPr>
          <w:trHeight w:val="300"/>
        </w:trPr>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GENDER</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t>Female</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t>(reference category)</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t>Male</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4.617</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2.606</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2.740</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2.407</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3.086</w:t>
            </w:r>
          </w:p>
        </w:tc>
      </w:tr>
      <w:tr w:rsidR="00E97EE5" w:rsidRPr="00E97EE5" w:rsidTr="00706F76">
        <w:trPr>
          <w:trHeight w:val="300"/>
        </w:trPr>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(19.42)</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(19.50)</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(19.24)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(19.44)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(19.30)</w:t>
            </w:r>
          </w:p>
        </w:tc>
      </w:tr>
      <w:tr w:rsidR="00E97EE5" w:rsidRPr="00E97EE5" w:rsidTr="00706F76">
        <w:trPr>
          <w:trHeight w:val="300"/>
        </w:trPr>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RACE</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t>White</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t>(reference category)</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t>Asian</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-27.97</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-28.18</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-29.04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-28.34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-27.37</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(23.37)</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(23.42)</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(23.14)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(23.37)</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(23.21)</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t>Hispanic</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86.56+</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96.28*</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80.83+</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80.20+</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82.97+</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(45.92)</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(45.84)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(45.41)</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(46.18)</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(45.56)</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t>Black</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-20.21</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-17.99</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-15.96</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-19.47</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-15.34</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(49.31)</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(49.43)</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(48.84)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(49.31)</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(48.99)</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t>2 or more</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-148.2</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-149.6</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-146.5</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-147.7</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-144.2</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(110.4)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(110.7)</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(109.4)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(110.4)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(109.7)</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t>Not Indicated</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-71.54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-75.16</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-104.5</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-77.26</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-66.31</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(94.95)</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(95.15)</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(94.20)</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(94.94)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(94.34)</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lastRenderedPageBreak/>
              <w:t>Native American</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-107.2</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-107.7</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-105.4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-104.4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-101.1</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(125.7)</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(126.0)</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(124.5)</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(125.7)</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(124.9)</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t>Hawaiian</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-187.5</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-184.7</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-186.0</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-186.3</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-179.7</w:t>
            </w:r>
          </w:p>
        </w:tc>
      </w:tr>
      <w:tr w:rsidR="00E97EE5" w:rsidRPr="00E97EE5" w:rsidTr="00706F76">
        <w:trPr>
          <w:trHeight w:val="300"/>
        </w:trPr>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(265.6)</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(266.2)</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(263.0)</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(265.6)</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(263.8)</w:t>
            </w:r>
          </w:p>
        </w:tc>
      </w:tr>
      <w:tr w:rsidR="00E97EE5" w:rsidRPr="00E97EE5" w:rsidTr="00706F76">
        <w:trPr>
          <w:trHeight w:val="300"/>
        </w:trPr>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AFFILIATION</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t>Medical School</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t>(reference category)</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t>College of Engineering</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-179.8***</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-181.1***</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-175.6***</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-177.6***</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-172.4***</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(21.38)</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(21.47)</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(21.16)</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(21.48)</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(21.35)</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C23417" w:rsidP="00706F76">
            <w:pPr>
              <w:spacing w:line="240" w:lineRule="auto"/>
              <w:ind w:firstLineChars="100" w:firstLine="220"/>
              <w:rPr>
                <w:rFonts w:asciiTheme="majorHAnsi" w:hAnsiTheme="majorHAnsi" w:cs="Calibri"/>
                <w:color w:val="000000"/>
              </w:rPr>
            </w:pPr>
            <w:r w:rsidRPr="00C23417">
              <w:rPr>
                <w:rFonts w:asciiTheme="majorHAnsi" w:hAnsiTheme="majorHAnsi" w:cs="Calibri"/>
                <w:color w:val="000000"/>
              </w:rPr>
              <w:t>Literature, Science, Arts</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-170.8***</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-172.6***</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-166.2***</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-168.4***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-168.1***</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(31.54)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(31.62)</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(31.23)</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(31.61)</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(31.32)</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t>School of Public Health</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54.39</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52.10</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48.47</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53.13</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56.89+</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(33.76)</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(33.82)</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(33.37)</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(33.73)</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(33.52)</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t>Benefits Pool &amp; Reser</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-97.80*</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-97.00*</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-90.58*</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-92.50*</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-90.37*</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(46.27)</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(46.41)</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(45.86)</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(46.36)</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(46.02)</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t>School of Dentistry</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-64.59</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-67.22</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-73.40</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-63.57</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-60.93</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(53.92)</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(54.02)</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(53.37)</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(53.93)</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(53.57)</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t>College of Pharmacy</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-35.53</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-37.71</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-32.61</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-33.00</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-32.55</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(71.90)</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(72.07)</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(71.19)</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(71.94)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(71.42)</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t>School of Nursing</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1.128</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-5.390</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1.890</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-3.481</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-3.888</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(88.88)</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(89.04)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(87.99)</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(88.84)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(88.26)</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t>Life Sciences Institute</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184.1</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182.5</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193.7+</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186.2+</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189.7+</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(112.1)</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(112.4)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(111.0)</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(112.1)</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(111.4)</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t>UMTRI</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-164.1*</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-165.6*</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-160.3+</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-162.2+</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-156.8+</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(82.76)</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(82.95)</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(81.95)</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(82.77)</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(82.24)</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t>Institute for Social Research</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-96.22</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-97.64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-92.78</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-94.00</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-89.43</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(101.4)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(101.6)</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(100.4)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(101.4)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(100.7)</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t>Provost &amp; EVPA</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-94.88</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-99.11</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-92.57</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-94.91</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-97.44</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(84.09)</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(84.25)</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(83.26)</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(84.08)</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(83.51)</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lastRenderedPageBreak/>
              <w:t>School of Kinesiology</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-104.3</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-107.5</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-101.1</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-110.6</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-107.5</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(103.0)</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(103.2)</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(102.0)</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(103.0)</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(102.3)</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t>School of Social Work</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-28.91</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-32.80</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-26.24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-27.74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-29.14</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(101.2)</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(101.4)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(100.2)</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(101.2)</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(100.6)</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t>U-M Dearborn College of Engineering</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-215.6</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-217.5</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-211.4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-214.0</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-209.4</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(175.2)</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(175.6)</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(173.5)</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(175.2)</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(174.0)</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t>School of Information</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-362.4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-363.5</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-358.3</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-360.1</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-354.8</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(245.9)</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(246.5)</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(243.5)</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(245.9)</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(244.3)</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t>CHGD</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238.2</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235.1</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240.5</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238.3</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235.0</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(174.7)</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(175.0)</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(173.0)</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(174.7)</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(173.5)</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t>President's Office</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-98.63</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-100.6</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-94.88</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-97.20</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-92.09</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(174.3)</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(174.7)</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(172.6)</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(174.3)</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(173.1)</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t>Vice President for Research</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29.31</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34.20</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47.18</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45.53</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22.06</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(175.4)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(175.8)</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(173.7)</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(175.5)</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(174.2)</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t>Mary Rackham Institute</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-98.80</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-110.8</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-96.53</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-98.67</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-92.73</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(246.3)</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(246.9)</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(243.9)</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(246.3)</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(244.7)</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t>TCAUP</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-240.4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-241.5</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-236.3</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-238.1</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-232.8</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(245.9)</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(246.5)</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(243.5)</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(245.9)</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(244.3)</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t>Rackham Graduate School</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-207.8</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-210.9</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-205.5</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-207.7</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-201.7</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(246.3)</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(246.8)</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(243.9)</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(246.3)</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(244.7)</w:t>
            </w:r>
          </w:p>
        </w:tc>
      </w:tr>
      <w:tr w:rsidR="00E97EE5" w:rsidRPr="00E97EE5" w:rsidTr="00706F76">
        <w:trPr>
          <w:trHeight w:val="300"/>
        </w:trPr>
        <w:tc>
          <w:tcPr>
            <w:tcW w:w="0" w:type="auto"/>
            <w:shd w:val="clear" w:color="auto" w:fill="auto"/>
            <w:noWrap/>
            <w:tcMar>
              <w:top w:w="15" w:type="dxa"/>
              <w:left w:w="135" w:type="dxa"/>
              <w:bottom w:w="0" w:type="dxa"/>
              <w:right w:w="15" w:type="dxa"/>
            </w:tcMar>
            <w:vAlign w:val="bottom"/>
            <w:hideMark/>
          </w:tcPr>
          <w:p w:rsidR="00E97EE5" w:rsidRPr="00E97EE5" w:rsidRDefault="00E97EE5" w:rsidP="00706F76">
            <w:pPr>
              <w:spacing w:line="240" w:lineRule="auto"/>
              <w:ind w:firstLineChars="100" w:firstLine="220"/>
              <w:rPr>
                <w:rFonts w:asciiTheme="majorHAnsi" w:hAnsiTheme="majorHAnsi" w:cs="Calibri"/>
                <w:color w:val="000000"/>
              </w:rPr>
            </w:pPr>
            <w:r w:rsidRPr="00E97EE5">
              <w:rPr>
                <w:rFonts w:asciiTheme="majorHAnsi" w:hAnsiTheme="majorHAnsi" w:cs="Calibri"/>
                <w:color w:val="000000"/>
              </w:rPr>
              <w:t>SNRE</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-230.4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-231.5</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-226.3</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-228.1</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-222.8</w:t>
            </w:r>
          </w:p>
        </w:tc>
      </w:tr>
      <w:tr w:rsidR="00E97EE5" w:rsidRPr="00E97EE5" w:rsidTr="00706F76">
        <w:trPr>
          <w:trHeight w:val="300"/>
        </w:trPr>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(245.9)</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(246.5)</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(243.5)</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(245.9)</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(244.3)</w:t>
            </w:r>
          </w:p>
        </w:tc>
      </w:tr>
      <w:tr w:rsidR="00E97EE5" w:rsidRPr="00E97EE5" w:rsidTr="00706F76">
        <w:trPr>
          <w:trHeight w:val="300"/>
        </w:trPr>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Constant</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240.8***</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243.9***</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238.5***</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240.7***</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234.7***</w:t>
            </w:r>
          </w:p>
        </w:tc>
      </w:tr>
      <w:tr w:rsidR="00E97EE5" w:rsidRPr="00E97EE5" w:rsidTr="00706F76">
        <w:trPr>
          <w:trHeight w:val="300"/>
        </w:trPr>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(18.74)</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(18.72)</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(18.51)</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(18.75)</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(18.69)</w:t>
            </w:r>
          </w:p>
        </w:tc>
      </w:tr>
      <w:tr w:rsidR="00E97EE5" w:rsidRPr="00E97EE5" w:rsidTr="00706F76">
        <w:trPr>
          <w:trHeight w:val="300"/>
        </w:trPr>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r>
      <w:tr w:rsidR="00E97EE5" w:rsidRPr="00E97EE5" w:rsidTr="00706F76">
        <w:trPr>
          <w:trHeight w:val="300"/>
        </w:trPr>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Observations</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936</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936</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936</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936</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936</w:t>
            </w:r>
          </w:p>
        </w:tc>
      </w:tr>
      <w:tr w:rsidR="00E97EE5" w:rsidRPr="00E97EE5" w:rsidTr="00706F76">
        <w:trPr>
          <w:trHeight w:val="300"/>
        </w:trPr>
        <w:tc>
          <w:tcPr>
            <w:tcW w:w="0" w:type="auto"/>
            <w:shd w:val="clear" w:color="auto" w:fill="auto"/>
            <w:noWrap/>
            <w:tcMar>
              <w:top w:w="15" w:type="dxa"/>
              <w:left w:w="15" w:type="dxa"/>
              <w:bottom w:w="0" w:type="dxa"/>
              <w:right w:w="15" w:type="dxa"/>
            </w:tcMar>
            <w:vAlign w:val="bottom"/>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tcPr>
          <w:p w:rsidR="00E97EE5" w:rsidRPr="00E97EE5" w:rsidRDefault="00E97EE5" w:rsidP="00706F76">
            <w:pPr>
              <w:spacing w:line="240" w:lineRule="auto"/>
              <w:rPr>
                <w:rFonts w:asciiTheme="majorHAnsi" w:hAnsiTheme="majorHAnsi" w:cs="Calibri"/>
                <w:color w:val="000000"/>
              </w:rPr>
            </w:pPr>
          </w:p>
        </w:tc>
      </w:tr>
      <w:tr w:rsidR="00E97EE5" w:rsidRPr="00E97EE5" w:rsidTr="00706F76">
        <w:trPr>
          <w:trHeight w:val="300"/>
        </w:trPr>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t>Standard errors in parentheses</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r>
      <w:tr w:rsidR="00E97EE5" w:rsidRPr="00E97EE5" w:rsidTr="00706F76">
        <w:trPr>
          <w:trHeight w:val="300"/>
        </w:trPr>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r w:rsidRPr="00E97EE5">
              <w:rPr>
                <w:rFonts w:asciiTheme="majorHAnsi" w:hAnsiTheme="majorHAnsi" w:cs="Calibri"/>
                <w:color w:val="000000"/>
              </w:rPr>
              <w:lastRenderedPageBreak/>
              <w:t>*** p&lt;0.001, ** p&lt;0.01, * p&lt;0.05, + p&lt;0.1</w:t>
            </w: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cs="Calibri"/>
                <w:color w:val="00000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c>
          <w:tcPr>
            <w:tcW w:w="0" w:type="auto"/>
            <w:shd w:val="clear" w:color="auto" w:fill="auto"/>
            <w:noWrap/>
            <w:tcMar>
              <w:top w:w="15" w:type="dxa"/>
              <w:left w:w="15" w:type="dxa"/>
              <w:bottom w:w="0" w:type="dxa"/>
              <w:right w:w="15" w:type="dxa"/>
            </w:tcMar>
            <w:vAlign w:val="bottom"/>
            <w:hideMark/>
          </w:tcPr>
          <w:p w:rsidR="00E97EE5" w:rsidRPr="00E97EE5" w:rsidRDefault="00E97EE5" w:rsidP="00706F76">
            <w:pPr>
              <w:spacing w:line="240" w:lineRule="auto"/>
              <w:rPr>
                <w:rFonts w:asciiTheme="majorHAnsi" w:hAnsiTheme="majorHAnsi"/>
                <w:sz w:val="20"/>
                <w:szCs w:val="20"/>
              </w:rPr>
            </w:pPr>
          </w:p>
        </w:tc>
      </w:tr>
    </w:tbl>
    <w:p w:rsidR="003438AE" w:rsidRPr="003438AE" w:rsidRDefault="00E97EE5" w:rsidP="006C5354">
      <w:pPr>
        <w:rPr>
          <w:rFonts w:ascii="Cambria" w:hAnsi="Cambria"/>
          <w:sz w:val="24"/>
          <w:szCs w:val="24"/>
        </w:rPr>
      </w:pPr>
      <w:r w:rsidRPr="003438AE">
        <w:rPr>
          <w:rFonts w:ascii="Cambria" w:hAnsi="Cambria"/>
        </w:rPr>
        <w:t xml:space="preserve"> </w:t>
      </w:r>
      <w:r w:rsidR="003438AE" w:rsidRPr="003438AE">
        <w:rPr>
          <w:rFonts w:ascii="Cambria" w:hAnsi="Cambria"/>
          <w:b/>
          <w:sz w:val="24"/>
          <w:szCs w:val="24"/>
        </w:rPr>
        <w:t>Supplementary Table S3</w:t>
      </w:r>
      <w:r w:rsidR="003438AE" w:rsidRPr="003438AE">
        <w:rPr>
          <w:rFonts w:ascii="Cambria" w:eastAsia="Times New Roman" w:hAnsi="Cambria" w:cs="Times New Roman"/>
          <w:color w:val="000000"/>
          <w:sz w:val="24"/>
          <w:szCs w:val="24"/>
        </w:rPr>
        <w:t>. Full cross-sectional models for the association between consulting MICHR in 2006 and ∆ in two-step reach between 2004 and 2012 (“</w:t>
      </w:r>
      <w:r w:rsidR="003438AE" w:rsidRPr="003438AE">
        <w:rPr>
          <w:rFonts w:ascii="Cambria" w:eastAsia="Times New Roman" w:hAnsi="Cambria" w:cs="Times New Roman"/>
          <w:i/>
          <w:color w:val="000000"/>
          <w:sz w:val="24"/>
          <w:szCs w:val="24"/>
        </w:rPr>
        <w:t>Michigan Experts</w:t>
      </w:r>
      <w:r w:rsidR="003438AE" w:rsidRPr="003438AE">
        <w:rPr>
          <w:rFonts w:ascii="Cambria" w:eastAsia="Times New Roman" w:hAnsi="Cambria" w:cs="Times New Roman"/>
          <w:color w:val="000000"/>
          <w:sz w:val="24"/>
          <w:szCs w:val="24"/>
        </w:rPr>
        <w:t>” investigators; no new investigators after 2006).</w:t>
      </w:r>
    </w:p>
    <w:tbl>
      <w:tblPr>
        <w:tblW w:w="0" w:type="auto"/>
        <w:tblInd w:w="93" w:type="dxa"/>
        <w:tblBorders>
          <w:top w:val="single" w:sz="12" w:space="0" w:color="auto"/>
          <w:bottom w:val="single" w:sz="12" w:space="0" w:color="auto"/>
        </w:tblBorders>
        <w:tblCellMar>
          <w:left w:w="43" w:type="dxa"/>
          <w:right w:w="43" w:type="dxa"/>
        </w:tblCellMar>
        <w:tblLook w:val="04A0" w:firstRow="1" w:lastRow="0" w:firstColumn="1" w:lastColumn="0" w:noHBand="0" w:noVBand="1"/>
      </w:tblPr>
      <w:tblGrid>
        <w:gridCol w:w="3107"/>
        <w:gridCol w:w="853"/>
        <w:gridCol w:w="853"/>
        <w:gridCol w:w="853"/>
        <w:gridCol w:w="853"/>
        <w:gridCol w:w="853"/>
        <w:gridCol w:w="853"/>
        <w:gridCol w:w="853"/>
        <w:gridCol w:w="853"/>
        <w:gridCol w:w="853"/>
      </w:tblGrid>
      <w:tr w:rsidR="00EA5855" w:rsidRPr="003438AE" w:rsidTr="006C5354">
        <w:trPr>
          <w:trHeight w:val="300"/>
        </w:trPr>
        <w:tc>
          <w:tcPr>
            <w:tcW w:w="0" w:type="auto"/>
            <w:tcBorders>
              <w:top w:val="single" w:sz="2" w:space="0" w:color="auto"/>
              <w:bottom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tcBorders>
              <w:top w:val="single" w:sz="2" w:space="0" w:color="auto"/>
              <w:bottom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w:t>
            </w:r>
          </w:p>
        </w:tc>
        <w:tc>
          <w:tcPr>
            <w:tcW w:w="0" w:type="auto"/>
            <w:tcBorders>
              <w:top w:val="single" w:sz="2" w:space="0" w:color="auto"/>
              <w:bottom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w:t>
            </w:r>
          </w:p>
        </w:tc>
        <w:tc>
          <w:tcPr>
            <w:tcW w:w="0" w:type="auto"/>
            <w:tcBorders>
              <w:top w:val="single" w:sz="2" w:space="0" w:color="auto"/>
              <w:bottom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w:t>
            </w:r>
          </w:p>
        </w:tc>
        <w:tc>
          <w:tcPr>
            <w:tcW w:w="0" w:type="auto"/>
            <w:tcBorders>
              <w:top w:val="single" w:sz="2" w:space="0" w:color="auto"/>
              <w:bottom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(4)</w:t>
            </w:r>
          </w:p>
        </w:tc>
        <w:tc>
          <w:tcPr>
            <w:tcW w:w="0" w:type="auto"/>
            <w:tcBorders>
              <w:top w:val="single" w:sz="2" w:space="0" w:color="auto"/>
              <w:bottom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w:t>
            </w:r>
          </w:p>
        </w:tc>
        <w:tc>
          <w:tcPr>
            <w:tcW w:w="0" w:type="auto"/>
            <w:tcBorders>
              <w:top w:val="single" w:sz="2" w:space="0" w:color="auto"/>
              <w:bottom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(6)</w:t>
            </w:r>
          </w:p>
        </w:tc>
        <w:tc>
          <w:tcPr>
            <w:tcW w:w="0" w:type="auto"/>
            <w:tcBorders>
              <w:top w:val="single" w:sz="2" w:space="0" w:color="auto"/>
              <w:bottom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(7)</w:t>
            </w:r>
          </w:p>
        </w:tc>
        <w:tc>
          <w:tcPr>
            <w:tcW w:w="0" w:type="auto"/>
            <w:tcBorders>
              <w:top w:val="single" w:sz="2" w:space="0" w:color="auto"/>
              <w:bottom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w:t>
            </w:r>
          </w:p>
        </w:tc>
        <w:tc>
          <w:tcPr>
            <w:tcW w:w="0" w:type="auto"/>
            <w:tcBorders>
              <w:top w:val="single" w:sz="2" w:space="0" w:color="auto"/>
              <w:bottom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(9)</w:t>
            </w:r>
          </w:p>
        </w:tc>
      </w:tr>
      <w:tr w:rsidR="00EA5855" w:rsidRPr="003438AE" w:rsidTr="006C5354">
        <w:trPr>
          <w:trHeight w:val="300"/>
        </w:trPr>
        <w:tc>
          <w:tcPr>
            <w:tcW w:w="0" w:type="auto"/>
            <w:tcBorders>
              <w:top w:val="single" w:sz="2" w:space="0" w:color="auto"/>
              <w:bottom w:val="single" w:sz="2" w:space="0" w:color="auto"/>
            </w:tcBorders>
            <w:shd w:val="clear" w:color="auto" w:fill="auto"/>
            <w:noWrap/>
            <w:vAlign w:val="bottom"/>
            <w:hideMark/>
          </w:tcPr>
          <w:p w:rsidR="00EA5855" w:rsidRPr="003438AE" w:rsidRDefault="00EA5855" w:rsidP="006C5354">
            <w:pPr>
              <w:spacing w:after="0" w:line="240" w:lineRule="auto"/>
              <w:jc w:val="right"/>
              <w:rPr>
                <w:rFonts w:ascii="Cambria" w:eastAsia="Times New Roman" w:hAnsi="Cambria" w:cs="Times New Roman"/>
                <w:i/>
                <w:iCs/>
                <w:color w:val="000000"/>
                <w:sz w:val="19"/>
                <w:szCs w:val="19"/>
              </w:rPr>
            </w:pPr>
            <w:r w:rsidRPr="003438AE">
              <w:rPr>
                <w:rFonts w:ascii="Cambria" w:eastAsia="Times New Roman" w:hAnsi="Cambria" w:cs="Times New Roman"/>
                <w:i/>
                <w:iCs/>
                <w:color w:val="000000"/>
                <w:sz w:val="19"/>
                <w:szCs w:val="19"/>
              </w:rPr>
              <w:t>Year of Research Productivity</w:t>
            </w:r>
          </w:p>
        </w:tc>
        <w:tc>
          <w:tcPr>
            <w:tcW w:w="0" w:type="auto"/>
            <w:tcBorders>
              <w:top w:val="single" w:sz="2" w:space="0" w:color="auto"/>
              <w:bottom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2004</w:t>
            </w:r>
          </w:p>
        </w:tc>
        <w:tc>
          <w:tcPr>
            <w:tcW w:w="0" w:type="auto"/>
            <w:tcBorders>
              <w:top w:val="single" w:sz="2" w:space="0" w:color="auto"/>
              <w:bottom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2005</w:t>
            </w:r>
          </w:p>
        </w:tc>
        <w:tc>
          <w:tcPr>
            <w:tcW w:w="0" w:type="auto"/>
            <w:tcBorders>
              <w:top w:val="single" w:sz="2" w:space="0" w:color="auto"/>
              <w:bottom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2006</w:t>
            </w:r>
          </w:p>
        </w:tc>
        <w:tc>
          <w:tcPr>
            <w:tcW w:w="0" w:type="auto"/>
            <w:tcBorders>
              <w:top w:val="single" w:sz="2" w:space="0" w:color="auto"/>
              <w:bottom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2007</w:t>
            </w:r>
          </w:p>
        </w:tc>
        <w:tc>
          <w:tcPr>
            <w:tcW w:w="0" w:type="auto"/>
            <w:tcBorders>
              <w:top w:val="single" w:sz="2" w:space="0" w:color="auto"/>
              <w:bottom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2008</w:t>
            </w:r>
          </w:p>
        </w:tc>
        <w:tc>
          <w:tcPr>
            <w:tcW w:w="0" w:type="auto"/>
            <w:tcBorders>
              <w:top w:val="single" w:sz="2" w:space="0" w:color="auto"/>
              <w:bottom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2009</w:t>
            </w:r>
          </w:p>
        </w:tc>
        <w:tc>
          <w:tcPr>
            <w:tcW w:w="0" w:type="auto"/>
            <w:tcBorders>
              <w:top w:val="single" w:sz="2" w:space="0" w:color="auto"/>
              <w:bottom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2010</w:t>
            </w:r>
          </w:p>
        </w:tc>
        <w:tc>
          <w:tcPr>
            <w:tcW w:w="0" w:type="auto"/>
            <w:tcBorders>
              <w:top w:val="single" w:sz="2" w:space="0" w:color="auto"/>
              <w:bottom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2011</w:t>
            </w:r>
          </w:p>
        </w:tc>
        <w:tc>
          <w:tcPr>
            <w:tcW w:w="0" w:type="auto"/>
            <w:tcBorders>
              <w:top w:val="single" w:sz="2" w:space="0" w:color="auto"/>
              <w:bottom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2012</w:t>
            </w:r>
          </w:p>
        </w:tc>
      </w:tr>
      <w:tr w:rsidR="00EA5855" w:rsidRPr="003438AE" w:rsidTr="006C5354">
        <w:trPr>
          <w:trHeight w:val="300"/>
        </w:trPr>
        <w:tc>
          <w:tcPr>
            <w:tcW w:w="0" w:type="auto"/>
            <w:tcBorders>
              <w:top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DV = ∆ Two-step Reach 2004 to 2012</w:t>
            </w:r>
          </w:p>
        </w:tc>
        <w:tc>
          <w:tcPr>
            <w:tcW w:w="0" w:type="auto"/>
            <w:tcBorders>
              <w:top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tcBorders>
              <w:top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tcBorders>
              <w:top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tcBorders>
              <w:top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tcBorders>
              <w:top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tcBorders>
              <w:top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tcBorders>
              <w:top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tcBorders>
              <w:top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tcBorders>
              <w:top w:val="single" w:sz="2" w:space="0" w:color="auto"/>
            </w:tcBorders>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VARIABLES</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Consulted MICHR in 2006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162.3***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150.7***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152.7***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150.3***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155.6***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155.3***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149.3***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153.9***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147.6***</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(30.62)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(30.60)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(30.33)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(29.95)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(30.15)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(30.20)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(30.54)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(30.36)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(30.32)</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Number of publications</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3.710**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4.408***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5.505***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6.591***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5.398***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5.310***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4.412***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5.209***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7.633***</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(1.139)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(1.003)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(0.983)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(0.968)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(0.944)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(0.898)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(0.904)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(1.099)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(1.394)</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Mean Journal Impact Factor for pubs</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2.491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1.187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0.834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2.400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3.593+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1.617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0.717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3.024+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2.904</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(1.871)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(1.908)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(1.764)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(1.979)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(1.863)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(1.572)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(1.507)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(1.779)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(1.774)</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GENDER</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190"/>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Female</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190"/>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(reference category)</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190"/>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Male</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-5.817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-11.01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-9.232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-7.636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-11.36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-7.090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-8.440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-6.016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-7.174</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(19.77)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(19.78)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(19.52)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(19.27)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(19.42)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(19.41)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(19.62)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(19.49)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(19.40)</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RACE</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190"/>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White</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190"/>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(reference category)</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190"/>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Asian</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-27.46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-31.44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-39.44+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-39.68+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-34.33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-35.54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-32.63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-37.55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-39.71+</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190"/>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(23.31)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(23.24)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(23.17)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(22.88)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(22.97)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(23.02)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(23.19)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(23.18)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(23.08)</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190"/>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Hispanic</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89.08+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87.29+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89.39+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71.46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80.59+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76.70+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77.79+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78.74+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67.05</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190"/>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(46.06)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(45.89)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(45.56)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(45.17)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(45.40)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(45.43)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(45.85)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(45.70)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(45.59)</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190"/>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Black</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-45.43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-50.02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-38.58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-50.42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-39.56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-31.94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-46.09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-34.26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-39.48</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190"/>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(52.32)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(52.10)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(51.78)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(51.19)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(51.50)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(51.60)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(52.69)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(51.93)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(51.60)</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190"/>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 or more</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-124.1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-113.5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-125.0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-124.3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-117.8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-107.4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-129.8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-115.6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-130.7</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190"/>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(108.2)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(107.8)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(107.0)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(105.7)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(106.4)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(106.6)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(107.4)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(107.2)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(106.6)</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190"/>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Not Indicated</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-64.97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-48.58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-52.61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-55.53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-73.33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-51.11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-41.00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-50.94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-65.62</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190"/>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(92.97)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(92.62)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(92.03)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(90.89)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(91.59)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(91.59)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(92.43)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(92.11)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(91.73)</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190"/>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Native American</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-147.3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-145.6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-130.8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-127.2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-95.01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-117.4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-92.68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-99.80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-103.6</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(123.7)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(122.9)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(121.9)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(120.3)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(121.1)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(121.2)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(122.4)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(121.9)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(121.3)</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AFFILIATION</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190"/>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Medical School</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190"/>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(reference category)</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190"/>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College of Engineering</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-158.9***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-158.2***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-153.0***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-148.1***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-148.0***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-150.2***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-151.3***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-155.7***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-169.3***</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(21.25)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(21.32)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(21.08)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(21.00)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(21.12)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(21.05)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(21.28)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(21.07)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(21.40)</w:t>
            </w:r>
          </w:p>
        </w:tc>
      </w:tr>
      <w:tr w:rsidR="00EA5855" w:rsidRPr="003438AE" w:rsidTr="006C5354">
        <w:trPr>
          <w:trHeight w:val="300"/>
        </w:trPr>
        <w:tc>
          <w:tcPr>
            <w:tcW w:w="0" w:type="auto"/>
            <w:shd w:val="clear" w:color="auto" w:fill="auto"/>
            <w:noWrap/>
            <w:vAlign w:val="bottom"/>
            <w:hideMark/>
          </w:tcPr>
          <w:p w:rsidR="00EA5855" w:rsidRPr="003438AE" w:rsidRDefault="00C23417" w:rsidP="00706F76">
            <w:pPr>
              <w:spacing w:after="0" w:line="240" w:lineRule="auto"/>
              <w:ind w:firstLineChars="100" w:firstLine="190"/>
              <w:rPr>
                <w:rFonts w:ascii="Cambria" w:eastAsia="Times New Roman" w:hAnsi="Cambria" w:cs="Times New Roman"/>
                <w:color w:val="000000"/>
                <w:sz w:val="19"/>
                <w:szCs w:val="19"/>
              </w:rPr>
            </w:pPr>
            <w:r w:rsidRPr="00C23417">
              <w:rPr>
                <w:rFonts w:ascii="Cambria" w:eastAsia="Times New Roman" w:hAnsi="Cambria" w:cs="Times New Roman"/>
                <w:color w:val="000000"/>
                <w:sz w:val="19"/>
                <w:szCs w:val="19"/>
              </w:rPr>
              <w:t>Literature, Science, Arts</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-143.3***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-134.2***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-128.1***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-121.3***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-133.6***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-124.3***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-132.1***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-139.0***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-149.7***</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(31.36)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(31.26)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(31.08)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(30.82)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(31.07)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(30.96)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(31.20)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(30.97)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(30.61)</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190"/>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School of Public Health</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74.97*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76.41*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82.68*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88.22**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79.30*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82.53*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74.89*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72.34*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50.35</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(33.24)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(33.07)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(32.91)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(32.52)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(32.68)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(32.74)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(32.96)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(32.82)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(32.70)</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190"/>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lastRenderedPageBreak/>
              <w:t>School of Dentistry</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-43.60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-47.82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-36.87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-31.89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-32.25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-36.06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-52.62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-57.28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-57.09</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(53.25)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(52.78)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(52.52)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(51.84)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(52.27)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(52.25)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(52.54)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(52.32)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(52.11)</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190"/>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College of Pharmacy</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-4.114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2.529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5.127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18.81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10.81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-0.889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7.215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-0.785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-9.284</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(70.58)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(70.34)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(69.83)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(69.06)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(69.53)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(69.58)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(70.21)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(69.88)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(69.52)</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190"/>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School of Nursing</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30.90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32.70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29.29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35.56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35.94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50.68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30.59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36.10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22.22</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(87.25)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(86.90)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(86.25)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(85.28)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(85.82)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(86.03)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(86.66)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(86.42)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(85.97)</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190"/>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Life Sciences Institute</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191.5+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183.3+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192.7+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161.9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133.0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134.8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152.9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142.7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140.4</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(109.8)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(109.4)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(109.1)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(107.6)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(108.8)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(108.6)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(109.4)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(109.2)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(109.1)</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190"/>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UMTRI</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-119.8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-115.4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-111.3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-92.43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-100.1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-103.7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-111.7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-115.2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-117.8</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(81.41)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(81.08)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(80.48)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(79.62)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(80.11)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(80.17)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(80.89)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(80.55)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(80.07)</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190"/>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School of Kinesiology</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-60.46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-63.05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-52.31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-54.03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-45.18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-71.28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-77.08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-81.35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-94.14</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(101.3)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(100.7)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(99.99)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(98.71)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(99.49)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(99.40)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(100.3)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(99.96)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(99.45)</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ind w:firstLineChars="100" w:firstLine="190"/>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U-M Dearborn College of Engineering</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-186.1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-182.2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-154.9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-171.8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-182.3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-183.3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-179.4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-206.5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-178.8</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(171.6)</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(170.9)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(169.9)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(167.8)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(168.9)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(169.0)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(170.5)</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(170.1)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(169.3)</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Constant</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193.7***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190.0***</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176.4***</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158.8***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167.8***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168.8***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184.9***</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176.2***</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175.8***</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(20.98)</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(20.71)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(20.93)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(21.01)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(20.87)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(20.93)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(20.87)</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(21.01)</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(20.60)</w:t>
            </w: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Observations</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873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873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873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873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873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873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873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873</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873</w:t>
            </w:r>
          </w:p>
        </w:tc>
      </w:tr>
      <w:tr w:rsidR="00EA5855" w:rsidRPr="003438AE" w:rsidTr="00706F76">
        <w:trPr>
          <w:trHeight w:val="300"/>
        </w:trPr>
        <w:tc>
          <w:tcPr>
            <w:tcW w:w="0" w:type="auto"/>
            <w:shd w:val="clear" w:color="auto" w:fill="auto"/>
            <w:noWrap/>
            <w:vAlign w:val="bottom"/>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tcPr>
          <w:p w:rsidR="00EA5855" w:rsidRPr="003438AE" w:rsidRDefault="00EA5855" w:rsidP="006C5354">
            <w:pPr>
              <w:spacing w:after="0" w:line="240" w:lineRule="auto"/>
              <w:rPr>
                <w:rFonts w:ascii="Cambria" w:eastAsia="Times New Roman" w:hAnsi="Cambria" w:cs="Times New Roman"/>
                <w:color w:val="000000"/>
                <w:sz w:val="19"/>
                <w:szCs w:val="19"/>
              </w:rPr>
            </w:pPr>
          </w:p>
        </w:tc>
      </w:tr>
      <w:tr w:rsidR="00EA5855" w:rsidRPr="003438AE" w:rsidTr="006C5354">
        <w:trPr>
          <w:trHeight w:val="300"/>
        </w:trPr>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Standard errors in parentheses</w:t>
            </w: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c>
          <w:tcPr>
            <w:tcW w:w="0" w:type="auto"/>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p>
        </w:tc>
      </w:tr>
      <w:tr w:rsidR="00EA5855" w:rsidRPr="003438AE" w:rsidTr="006C5354">
        <w:trPr>
          <w:trHeight w:val="300"/>
        </w:trPr>
        <w:tc>
          <w:tcPr>
            <w:tcW w:w="0" w:type="auto"/>
            <w:gridSpan w:val="10"/>
            <w:shd w:val="clear" w:color="auto" w:fill="auto"/>
            <w:noWrap/>
            <w:vAlign w:val="bottom"/>
            <w:hideMark/>
          </w:tcPr>
          <w:p w:rsidR="00EA5855" w:rsidRPr="003438AE" w:rsidRDefault="00EA5855" w:rsidP="006C5354">
            <w:pPr>
              <w:spacing w:after="0" w:line="240" w:lineRule="auto"/>
              <w:rPr>
                <w:rFonts w:ascii="Cambria" w:eastAsia="Times New Roman" w:hAnsi="Cambria" w:cs="Times New Roman"/>
                <w:color w:val="000000"/>
                <w:sz w:val="19"/>
                <w:szCs w:val="19"/>
              </w:rPr>
            </w:pPr>
            <w:r w:rsidRPr="003438AE">
              <w:rPr>
                <w:rFonts w:ascii="Cambria" w:eastAsia="Times New Roman" w:hAnsi="Cambria" w:cs="Times New Roman"/>
                <w:color w:val="000000"/>
                <w:sz w:val="19"/>
                <w:szCs w:val="19"/>
              </w:rPr>
              <w:t>*** p&lt;0.001, ** p&lt;0.01, * p&lt;0.05, + p&lt;0.1</w:t>
            </w:r>
          </w:p>
        </w:tc>
      </w:tr>
    </w:tbl>
    <w:p w:rsidR="002C2CD2" w:rsidRDefault="002C2CD2">
      <w:pPr>
        <w:rPr>
          <w:rFonts w:ascii="Cambria" w:hAnsi="Cambria"/>
        </w:rPr>
      </w:pPr>
    </w:p>
    <w:p w:rsidR="00AC5AB5" w:rsidRDefault="00AC5AB5">
      <w:pPr>
        <w:rPr>
          <w:rFonts w:ascii="Cambria" w:hAnsi="Cambria"/>
        </w:rPr>
      </w:pPr>
    </w:p>
    <w:p w:rsidR="006C5354" w:rsidRDefault="006C5354">
      <w:pPr>
        <w:rPr>
          <w:rFonts w:ascii="Cambria" w:hAnsi="Cambria"/>
        </w:rPr>
      </w:pPr>
      <w:r>
        <w:rPr>
          <w:rFonts w:ascii="Cambria" w:hAnsi="Cambria"/>
        </w:rPr>
        <w:br w:type="page"/>
      </w:r>
    </w:p>
    <w:p w:rsidR="006C5354" w:rsidRDefault="006C5354">
      <w:pPr>
        <w:rPr>
          <w:rFonts w:ascii="Cambria" w:eastAsia="Times New Roman" w:hAnsi="Cambria" w:cs="Times New Roman"/>
          <w:color w:val="000000"/>
          <w:sz w:val="24"/>
          <w:szCs w:val="24"/>
        </w:rPr>
      </w:pPr>
      <w:r w:rsidRPr="003438AE">
        <w:rPr>
          <w:rFonts w:ascii="Cambria" w:hAnsi="Cambria"/>
          <w:b/>
          <w:sz w:val="24"/>
          <w:szCs w:val="24"/>
        </w:rPr>
        <w:lastRenderedPageBreak/>
        <w:t>Supplementary Table S</w:t>
      </w:r>
      <w:r>
        <w:rPr>
          <w:rFonts w:ascii="Cambria" w:hAnsi="Cambria"/>
          <w:b/>
          <w:sz w:val="24"/>
          <w:szCs w:val="24"/>
        </w:rPr>
        <w:t>4</w:t>
      </w:r>
      <w:r w:rsidRPr="003438AE">
        <w:rPr>
          <w:rFonts w:ascii="Cambria" w:eastAsia="Times New Roman" w:hAnsi="Cambria" w:cs="Times New Roman"/>
          <w:color w:val="000000"/>
          <w:sz w:val="24"/>
          <w:szCs w:val="24"/>
        </w:rPr>
        <w:t xml:space="preserve">. </w:t>
      </w:r>
      <w:r>
        <w:rPr>
          <w:rFonts w:ascii="Cambria" w:eastAsia="Times New Roman" w:hAnsi="Cambria" w:cs="Times New Roman"/>
          <w:color w:val="000000"/>
          <w:sz w:val="24"/>
          <w:szCs w:val="24"/>
        </w:rPr>
        <w:t>Summary of testing for mediation/suppression effects of the baseline two step reach (TSR) or the ego network</w:t>
      </w:r>
      <w:r w:rsidR="00590538">
        <w:rPr>
          <w:rFonts w:ascii="Cambria" w:eastAsia="Times New Roman" w:hAnsi="Cambria" w:cs="Times New Roman"/>
          <w:color w:val="000000"/>
          <w:sz w:val="24"/>
          <w:szCs w:val="24"/>
        </w:rPr>
        <w:t xml:space="preserve"> using 20 windows beginning in 2002, 2003, and 2004, and ending in </w:t>
      </w:r>
      <w:r w:rsidR="00590538" w:rsidRPr="00590538">
        <w:rPr>
          <w:rFonts w:ascii="Cambria" w:eastAsia="Times New Roman" w:hAnsi="Cambria" w:cs="Times New Roman"/>
          <w:color w:val="000000"/>
          <w:sz w:val="24"/>
          <w:szCs w:val="24"/>
        </w:rPr>
        <w:t>2008, 2009, 2010, 2011, and 2012</w:t>
      </w:r>
      <w:r w:rsidR="00590538">
        <w:rPr>
          <w:rFonts w:ascii="Cambria" w:eastAsia="Times New Roman" w:hAnsi="Cambria" w:cs="Times New Roman"/>
          <w:color w:val="000000"/>
          <w:sz w:val="24"/>
          <w:szCs w:val="24"/>
        </w:rPr>
        <w:t>.</w:t>
      </w:r>
    </w:p>
    <w:tbl>
      <w:tblPr>
        <w:tblW w:w="5000" w:type="pct"/>
        <w:tblBorders>
          <w:top w:val="single" w:sz="12" w:space="0" w:color="auto"/>
          <w:bottom w:val="single" w:sz="12" w:space="0" w:color="auto"/>
        </w:tblBorders>
        <w:tblLook w:val="04A0" w:firstRow="1" w:lastRow="0" w:firstColumn="1" w:lastColumn="0" w:noHBand="0" w:noVBand="1"/>
      </w:tblPr>
      <w:tblGrid>
        <w:gridCol w:w="2208"/>
        <w:gridCol w:w="3741"/>
        <w:gridCol w:w="2789"/>
        <w:gridCol w:w="2278"/>
      </w:tblGrid>
      <w:tr w:rsidR="00590538" w:rsidRPr="006D2BAD" w:rsidTr="001C3BE9">
        <w:trPr>
          <w:trHeight w:val="300"/>
        </w:trPr>
        <w:tc>
          <w:tcPr>
            <w:tcW w:w="1002" w:type="pct"/>
            <w:tcBorders>
              <w:top w:val="single" w:sz="12" w:space="0" w:color="auto"/>
              <w:bottom w:val="single" w:sz="2" w:space="0" w:color="auto"/>
            </w:tcBorders>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b/>
                <w:bCs/>
                <w:color w:val="000000"/>
              </w:rPr>
            </w:pPr>
            <w:r w:rsidRPr="006D2BAD">
              <w:rPr>
                <w:rFonts w:ascii="Cambria" w:eastAsia="Times New Roman" w:hAnsi="Cambria" w:cs="Times New Roman"/>
                <w:b/>
                <w:bCs/>
                <w:color w:val="000000"/>
              </w:rPr>
              <w:t>Study window</w:t>
            </w:r>
          </w:p>
        </w:tc>
        <w:tc>
          <w:tcPr>
            <w:tcW w:w="1698" w:type="pct"/>
            <w:tcBorders>
              <w:top w:val="single" w:sz="12" w:space="0" w:color="auto"/>
              <w:bottom w:val="single" w:sz="2" w:space="0" w:color="auto"/>
            </w:tcBorders>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b/>
                <w:bCs/>
                <w:color w:val="000000"/>
              </w:rPr>
            </w:pPr>
            <w:r w:rsidRPr="006D2BAD">
              <w:rPr>
                <w:rFonts w:ascii="Cambria" w:eastAsia="Times New Roman" w:hAnsi="Cambria" w:cs="Times New Roman"/>
                <w:b/>
                <w:bCs/>
                <w:color w:val="000000"/>
              </w:rPr>
              <w:t>Baseline TSR significant?</w:t>
            </w:r>
          </w:p>
        </w:tc>
        <w:tc>
          <w:tcPr>
            <w:tcW w:w="1266" w:type="pct"/>
            <w:tcBorders>
              <w:top w:val="single" w:sz="12" w:space="0" w:color="auto"/>
              <w:bottom w:val="single" w:sz="2" w:space="0" w:color="auto"/>
            </w:tcBorders>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b/>
                <w:bCs/>
                <w:color w:val="000000"/>
              </w:rPr>
            </w:pPr>
            <w:r w:rsidRPr="006D2BAD">
              <w:rPr>
                <w:rFonts w:ascii="Cambria" w:eastAsia="Times New Roman" w:hAnsi="Cambria" w:cs="Times New Roman"/>
                <w:b/>
                <w:bCs/>
                <w:color w:val="000000"/>
              </w:rPr>
              <w:t>Sign of coefficient</w:t>
            </w:r>
          </w:p>
        </w:tc>
        <w:tc>
          <w:tcPr>
            <w:tcW w:w="1034" w:type="pct"/>
            <w:tcBorders>
              <w:top w:val="single" w:sz="12" w:space="0" w:color="auto"/>
              <w:bottom w:val="single" w:sz="2" w:space="0" w:color="auto"/>
            </w:tcBorders>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b/>
                <w:bCs/>
                <w:color w:val="000000"/>
              </w:rPr>
            </w:pPr>
            <w:r w:rsidRPr="006D2BAD">
              <w:rPr>
                <w:rFonts w:ascii="Cambria" w:eastAsia="Times New Roman" w:hAnsi="Cambria" w:cs="Times New Roman"/>
                <w:b/>
                <w:bCs/>
                <w:color w:val="000000"/>
              </w:rPr>
              <w:t>Type of effect</w:t>
            </w:r>
          </w:p>
        </w:tc>
      </w:tr>
      <w:tr w:rsidR="00590538" w:rsidRPr="006D2BAD" w:rsidTr="001C3BE9">
        <w:trPr>
          <w:trHeight w:val="300"/>
        </w:trPr>
        <w:tc>
          <w:tcPr>
            <w:tcW w:w="1002" w:type="pct"/>
            <w:tcBorders>
              <w:top w:val="single" w:sz="2" w:space="0" w:color="auto"/>
            </w:tcBorders>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2002-2008</w:t>
            </w:r>
          </w:p>
        </w:tc>
        <w:tc>
          <w:tcPr>
            <w:tcW w:w="1698" w:type="pct"/>
            <w:tcBorders>
              <w:top w:val="single" w:sz="2" w:space="0" w:color="auto"/>
            </w:tcBorders>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Y</w:t>
            </w:r>
          </w:p>
        </w:tc>
        <w:tc>
          <w:tcPr>
            <w:tcW w:w="1266" w:type="pct"/>
            <w:tcBorders>
              <w:top w:val="single" w:sz="2" w:space="0" w:color="auto"/>
            </w:tcBorders>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Negative</w:t>
            </w:r>
          </w:p>
        </w:tc>
        <w:tc>
          <w:tcPr>
            <w:tcW w:w="1034" w:type="pct"/>
            <w:tcBorders>
              <w:top w:val="single" w:sz="2" w:space="0" w:color="auto"/>
            </w:tcBorders>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Suppression</w:t>
            </w:r>
          </w:p>
        </w:tc>
      </w:tr>
      <w:tr w:rsidR="00590538" w:rsidRPr="006D2BAD" w:rsidTr="001C3BE9">
        <w:trPr>
          <w:trHeight w:val="300"/>
        </w:trPr>
        <w:tc>
          <w:tcPr>
            <w:tcW w:w="1002"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2002-2009</w:t>
            </w:r>
          </w:p>
        </w:tc>
        <w:tc>
          <w:tcPr>
            <w:tcW w:w="1698"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i/>
                <w:iCs/>
                <w:color w:val="000000"/>
              </w:rPr>
            </w:pPr>
            <w:r w:rsidRPr="006D2BAD">
              <w:rPr>
                <w:rFonts w:ascii="Cambria" w:eastAsia="Times New Roman" w:hAnsi="Cambria" w:cs="Times New Roman"/>
                <w:i/>
                <w:iCs/>
                <w:color w:val="000000"/>
              </w:rPr>
              <w:t>N</w:t>
            </w:r>
          </w:p>
        </w:tc>
        <w:tc>
          <w:tcPr>
            <w:tcW w:w="1266"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i/>
                <w:iCs/>
                <w:color w:val="000000"/>
              </w:rPr>
            </w:pPr>
            <w:r w:rsidRPr="006D2BAD">
              <w:rPr>
                <w:rFonts w:ascii="Cambria" w:eastAsia="Times New Roman" w:hAnsi="Cambria" w:cs="Times New Roman"/>
                <w:i/>
                <w:iCs/>
                <w:color w:val="000000"/>
              </w:rPr>
              <w:t>Negative</w:t>
            </w:r>
          </w:p>
        </w:tc>
        <w:tc>
          <w:tcPr>
            <w:tcW w:w="1034"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i/>
                <w:iCs/>
                <w:color w:val="000000"/>
              </w:rPr>
            </w:pPr>
            <w:r w:rsidRPr="006D2BAD">
              <w:rPr>
                <w:rFonts w:ascii="Cambria" w:eastAsia="Times New Roman" w:hAnsi="Cambria" w:cs="Times New Roman"/>
                <w:i/>
                <w:iCs/>
                <w:color w:val="000000"/>
              </w:rPr>
              <w:t>Suppression</w:t>
            </w:r>
          </w:p>
        </w:tc>
      </w:tr>
      <w:tr w:rsidR="00590538" w:rsidRPr="006D2BAD" w:rsidTr="001C3BE9">
        <w:trPr>
          <w:trHeight w:val="300"/>
        </w:trPr>
        <w:tc>
          <w:tcPr>
            <w:tcW w:w="1002"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2002-2010</w:t>
            </w:r>
          </w:p>
        </w:tc>
        <w:tc>
          <w:tcPr>
            <w:tcW w:w="1698"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i/>
                <w:iCs/>
                <w:color w:val="000000"/>
              </w:rPr>
            </w:pPr>
            <w:r w:rsidRPr="006D2BAD">
              <w:rPr>
                <w:rFonts w:ascii="Cambria" w:eastAsia="Times New Roman" w:hAnsi="Cambria" w:cs="Times New Roman"/>
                <w:i/>
                <w:iCs/>
                <w:color w:val="000000"/>
              </w:rPr>
              <w:t>N</w:t>
            </w:r>
          </w:p>
        </w:tc>
        <w:tc>
          <w:tcPr>
            <w:tcW w:w="1266"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i/>
                <w:iCs/>
                <w:color w:val="000000"/>
              </w:rPr>
            </w:pPr>
            <w:r w:rsidRPr="006D2BAD">
              <w:rPr>
                <w:rFonts w:ascii="Cambria" w:eastAsia="Times New Roman" w:hAnsi="Cambria" w:cs="Times New Roman"/>
                <w:i/>
                <w:iCs/>
                <w:color w:val="000000"/>
              </w:rPr>
              <w:t>Positive</w:t>
            </w:r>
          </w:p>
        </w:tc>
        <w:tc>
          <w:tcPr>
            <w:tcW w:w="1034"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i/>
                <w:iCs/>
                <w:color w:val="000000"/>
              </w:rPr>
            </w:pPr>
            <w:r w:rsidRPr="006D2BAD">
              <w:rPr>
                <w:rFonts w:ascii="Cambria" w:eastAsia="Times New Roman" w:hAnsi="Cambria" w:cs="Times New Roman"/>
                <w:i/>
                <w:iCs/>
                <w:color w:val="000000"/>
              </w:rPr>
              <w:t>Mediation</w:t>
            </w:r>
          </w:p>
        </w:tc>
      </w:tr>
      <w:tr w:rsidR="00590538" w:rsidRPr="006D2BAD" w:rsidTr="001C3BE9">
        <w:trPr>
          <w:trHeight w:val="300"/>
        </w:trPr>
        <w:tc>
          <w:tcPr>
            <w:tcW w:w="1002"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2002-2011</w:t>
            </w:r>
          </w:p>
        </w:tc>
        <w:tc>
          <w:tcPr>
            <w:tcW w:w="1698"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Y</w:t>
            </w:r>
          </w:p>
        </w:tc>
        <w:tc>
          <w:tcPr>
            <w:tcW w:w="1266"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Positive</w:t>
            </w:r>
          </w:p>
        </w:tc>
        <w:tc>
          <w:tcPr>
            <w:tcW w:w="1034"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Mediation</w:t>
            </w:r>
          </w:p>
        </w:tc>
      </w:tr>
      <w:tr w:rsidR="00590538" w:rsidRPr="006D2BAD" w:rsidTr="001C3BE9">
        <w:trPr>
          <w:trHeight w:val="300"/>
        </w:trPr>
        <w:tc>
          <w:tcPr>
            <w:tcW w:w="1002"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2002-2012</w:t>
            </w:r>
          </w:p>
        </w:tc>
        <w:tc>
          <w:tcPr>
            <w:tcW w:w="1698"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Y</w:t>
            </w:r>
          </w:p>
        </w:tc>
        <w:tc>
          <w:tcPr>
            <w:tcW w:w="1266"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Positive</w:t>
            </w:r>
          </w:p>
        </w:tc>
        <w:tc>
          <w:tcPr>
            <w:tcW w:w="1034"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Mediation</w:t>
            </w:r>
          </w:p>
        </w:tc>
      </w:tr>
      <w:tr w:rsidR="00590538" w:rsidRPr="006D2BAD" w:rsidTr="001C3BE9">
        <w:trPr>
          <w:trHeight w:val="300"/>
        </w:trPr>
        <w:tc>
          <w:tcPr>
            <w:tcW w:w="1002"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p>
        </w:tc>
        <w:tc>
          <w:tcPr>
            <w:tcW w:w="1698"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p>
        </w:tc>
        <w:tc>
          <w:tcPr>
            <w:tcW w:w="1266"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p>
        </w:tc>
        <w:tc>
          <w:tcPr>
            <w:tcW w:w="1034"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p>
        </w:tc>
      </w:tr>
      <w:tr w:rsidR="00590538" w:rsidRPr="006D2BAD" w:rsidTr="001C3BE9">
        <w:trPr>
          <w:trHeight w:val="300"/>
        </w:trPr>
        <w:tc>
          <w:tcPr>
            <w:tcW w:w="1002"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2003-2008</w:t>
            </w:r>
          </w:p>
        </w:tc>
        <w:tc>
          <w:tcPr>
            <w:tcW w:w="1698"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Y</w:t>
            </w:r>
          </w:p>
        </w:tc>
        <w:tc>
          <w:tcPr>
            <w:tcW w:w="1266"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Negative</w:t>
            </w:r>
          </w:p>
        </w:tc>
        <w:tc>
          <w:tcPr>
            <w:tcW w:w="1034"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Suppression</w:t>
            </w:r>
          </w:p>
        </w:tc>
      </w:tr>
      <w:tr w:rsidR="00590538" w:rsidRPr="006D2BAD" w:rsidTr="001C3BE9">
        <w:trPr>
          <w:trHeight w:val="300"/>
        </w:trPr>
        <w:tc>
          <w:tcPr>
            <w:tcW w:w="1002"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2003-2009</w:t>
            </w:r>
          </w:p>
        </w:tc>
        <w:tc>
          <w:tcPr>
            <w:tcW w:w="1698"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Y</w:t>
            </w:r>
          </w:p>
        </w:tc>
        <w:tc>
          <w:tcPr>
            <w:tcW w:w="1266"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Negative</w:t>
            </w:r>
          </w:p>
        </w:tc>
        <w:tc>
          <w:tcPr>
            <w:tcW w:w="1034"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Suppression</w:t>
            </w:r>
          </w:p>
        </w:tc>
      </w:tr>
      <w:tr w:rsidR="00590538" w:rsidRPr="006D2BAD" w:rsidTr="001C3BE9">
        <w:trPr>
          <w:trHeight w:val="300"/>
        </w:trPr>
        <w:tc>
          <w:tcPr>
            <w:tcW w:w="1002"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2003-2010</w:t>
            </w:r>
          </w:p>
        </w:tc>
        <w:tc>
          <w:tcPr>
            <w:tcW w:w="1698"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i/>
                <w:iCs/>
                <w:color w:val="000000"/>
              </w:rPr>
            </w:pPr>
            <w:r w:rsidRPr="006D2BAD">
              <w:rPr>
                <w:rFonts w:ascii="Cambria" w:eastAsia="Times New Roman" w:hAnsi="Cambria" w:cs="Times New Roman"/>
                <w:i/>
                <w:iCs/>
                <w:color w:val="000000"/>
              </w:rPr>
              <w:t>N</w:t>
            </w:r>
          </w:p>
        </w:tc>
        <w:tc>
          <w:tcPr>
            <w:tcW w:w="1266"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i/>
                <w:iCs/>
                <w:color w:val="000000"/>
              </w:rPr>
            </w:pPr>
            <w:r w:rsidRPr="006D2BAD">
              <w:rPr>
                <w:rFonts w:ascii="Cambria" w:eastAsia="Times New Roman" w:hAnsi="Cambria" w:cs="Times New Roman"/>
                <w:i/>
                <w:iCs/>
                <w:color w:val="000000"/>
              </w:rPr>
              <w:t>Positive</w:t>
            </w:r>
          </w:p>
        </w:tc>
        <w:tc>
          <w:tcPr>
            <w:tcW w:w="1034"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i/>
                <w:iCs/>
                <w:color w:val="000000"/>
              </w:rPr>
            </w:pPr>
            <w:r w:rsidRPr="006D2BAD">
              <w:rPr>
                <w:rFonts w:ascii="Cambria" w:eastAsia="Times New Roman" w:hAnsi="Cambria" w:cs="Times New Roman"/>
                <w:i/>
                <w:iCs/>
                <w:color w:val="000000"/>
              </w:rPr>
              <w:t>Mediation</w:t>
            </w:r>
          </w:p>
        </w:tc>
      </w:tr>
      <w:tr w:rsidR="00590538" w:rsidRPr="006D2BAD" w:rsidTr="001C3BE9">
        <w:trPr>
          <w:trHeight w:val="300"/>
        </w:trPr>
        <w:tc>
          <w:tcPr>
            <w:tcW w:w="1002"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2003-2011</w:t>
            </w:r>
          </w:p>
        </w:tc>
        <w:tc>
          <w:tcPr>
            <w:tcW w:w="1698"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Y</w:t>
            </w:r>
          </w:p>
        </w:tc>
        <w:tc>
          <w:tcPr>
            <w:tcW w:w="1266"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Positive</w:t>
            </w:r>
          </w:p>
        </w:tc>
        <w:tc>
          <w:tcPr>
            <w:tcW w:w="1034"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Mediation</w:t>
            </w:r>
          </w:p>
        </w:tc>
      </w:tr>
      <w:tr w:rsidR="00590538" w:rsidRPr="006D2BAD" w:rsidTr="001C3BE9">
        <w:trPr>
          <w:trHeight w:val="300"/>
        </w:trPr>
        <w:tc>
          <w:tcPr>
            <w:tcW w:w="1002"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2003-2012</w:t>
            </w:r>
          </w:p>
        </w:tc>
        <w:tc>
          <w:tcPr>
            <w:tcW w:w="1698"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Y</w:t>
            </w:r>
          </w:p>
        </w:tc>
        <w:tc>
          <w:tcPr>
            <w:tcW w:w="1266"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Positive</w:t>
            </w:r>
          </w:p>
        </w:tc>
        <w:tc>
          <w:tcPr>
            <w:tcW w:w="1034"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Mediation</w:t>
            </w:r>
          </w:p>
        </w:tc>
      </w:tr>
      <w:tr w:rsidR="00590538" w:rsidRPr="006D2BAD" w:rsidTr="001C3BE9">
        <w:trPr>
          <w:trHeight w:val="300"/>
        </w:trPr>
        <w:tc>
          <w:tcPr>
            <w:tcW w:w="1002"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p>
        </w:tc>
        <w:tc>
          <w:tcPr>
            <w:tcW w:w="1698"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p>
        </w:tc>
        <w:tc>
          <w:tcPr>
            <w:tcW w:w="1266"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p>
        </w:tc>
        <w:tc>
          <w:tcPr>
            <w:tcW w:w="1034"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p>
        </w:tc>
      </w:tr>
      <w:tr w:rsidR="00590538" w:rsidRPr="006D2BAD" w:rsidTr="001C3BE9">
        <w:trPr>
          <w:trHeight w:val="300"/>
        </w:trPr>
        <w:tc>
          <w:tcPr>
            <w:tcW w:w="1002"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2004-2008</w:t>
            </w:r>
          </w:p>
        </w:tc>
        <w:tc>
          <w:tcPr>
            <w:tcW w:w="1698"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Y</w:t>
            </w:r>
          </w:p>
        </w:tc>
        <w:tc>
          <w:tcPr>
            <w:tcW w:w="1266"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Negative</w:t>
            </w:r>
          </w:p>
        </w:tc>
        <w:tc>
          <w:tcPr>
            <w:tcW w:w="1034"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Suppression</w:t>
            </w:r>
          </w:p>
        </w:tc>
      </w:tr>
      <w:tr w:rsidR="00590538" w:rsidRPr="006D2BAD" w:rsidTr="001C3BE9">
        <w:trPr>
          <w:trHeight w:val="300"/>
        </w:trPr>
        <w:tc>
          <w:tcPr>
            <w:tcW w:w="1002"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2004-2009</w:t>
            </w:r>
          </w:p>
        </w:tc>
        <w:tc>
          <w:tcPr>
            <w:tcW w:w="1698"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Y</w:t>
            </w:r>
          </w:p>
        </w:tc>
        <w:tc>
          <w:tcPr>
            <w:tcW w:w="1266"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Positive</w:t>
            </w:r>
          </w:p>
        </w:tc>
        <w:tc>
          <w:tcPr>
            <w:tcW w:w="1034"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Mediation</w:t>
            </w:r>
          </w:p>
        </w:tc>
      </w:tr>
      <w:tr w:rsidR="00590538" w:rsidRPr="006D2BAD" w:rsidTr="001C3BE9">
        <w:trPr>
          <w:trHeight w:val="300"/>
        </w:trPr>
        <w:tc>
          <w:tcPr>
            <w:tcW w:w="1002"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2004-2010</w:t>
            </w:r>
          </w:p>
        </w:tc>
        <w:tc>
          <w:tcPr>
            <w:tcW w:w="1698"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Y</w:t>
            </w:r>
          </w:p>
        </w:tc>
        <w:tc>
          <w:tcPr>
            <w:tcW w:w="1266"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Positive</w:t>
            </w:r>
          </w:p>
        </w:tc>
        <w:tc>
          <w:tcPr>
            <w:tcW w:w="1034"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Mediation</w:t>
            </w:r>
          </w:p>
        </w:tc>
      </w:tr>
      <w:tr w:rsidR="00590538" w:rsidRPr="006D2BAD" w:rsidTr="001C3BE9">
        <w:trPr>
          <w:trHeight w:val="300"/>
        </w:trPr>
        <w:tc>
          <w:tcPr>
            <w:tcW w:w="1002"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2004-2011</w:t>
            </w:r>
          </w:p>
        </w:tc>
        <w:tc>
          <w:tcPr>
            <w:tcW w:w="1698"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Y</w:t>
            </w:r>
          </w:p>
        </w:tc>
        <w:tc>
          <w:tcPr>
            <w:tcW w:w="1266"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Positive</w:t>
            </w:r>
          </w:p>
        </w:tc>
        <w:tc>
          <w:tcPr>
            <w:tcW w:w="1034"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Mediation</w:t>
            </w:r>
          </w:p>
        </w:tc>
      </w:tr>
      <w:tr w:rsidR="00590538" w:rsidRPr="006D2BAD" w:rsidTr="001C3BE9">
        <w:trPr>
          <w:trHeight w:val="300"/>
        </w:trPr>
        <w:tc>
          <w:tcPr>
            <w:tcW w:w="1002"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2004-2012</w:t>
            </w:r>
          </w:p>
        </w:tc>
        <w:tc>
          <w:tcPr>
            <w:tcW w:w="1698"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Y</w:t>
            </w:r>
          </w:p>
        </w:tc>
        <w:tc>
          <w:tcPr>
            <w:tcW w:w="1266"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Positive</w:t>
            </w:r>
          </w:p>
        </w:tc>
        <w:tc>
          <w:tcPr>
            <w:tcW w:w="1034"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Mediation</w:t>
            </w:r>
          </w:p>
        </w:tc>
      </w:tr>
      <w:tr w:rsidR="00590538" w:rsidRPr="006D2BAD" w:rsidTr="001C3BE9">
        <w:trPr>
          <w:trHeight w:val="300"/>
        </w:trPr>
        <w:tc>
          <w:tcPr>
            <w:tcW w:w="1002"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p>
        </w:tc>
        <w:tc>
          <w:tcPr>
            <w:tcW w:w="1698"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p>
        </w:tc>
        <w:tc>
          <w:tcPr>
            <w:tcW w:w="1266"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p>
        </w:tc>
        <w:tc>
          <w:tcPr>
            <w:tcW w:w="1034"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p>
        </w:tc>
      </w:tr>
      <w:tr w:rsidR="00590538" w:rsidRPr="006D2BAD" w:rsidTr="001C3BE9">
        <w:trPr>
          <w:trHeight w:val="300"/>
        </w:trPr>
        <w:tc>
          <w:tcPr>
            <w:tcW w:w="1002"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2005-2008</w:t>
            </w:r>
          </w:p>
        </w:tc>
        <w:tc>
          <w:tcPr>
            <w:tcW w:w="1698"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Y</w:t>
            </w:r>
          </w:p>
        </w:tc>
        <w:tc>
          <w:tcPr>
            <w:tcW w:w="1266"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Negative</w:t>
            </w:r>
          </w:p>
        </w:tc>
        <w:tc>
          <w:tcPr>
            <w:tcW w:w="1034"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Suppression</w:t>
            </w:r>
          </w:p>
        </w:tc>
      </w:tr>
      <w:tr w:rsidR="00590538" w:rsidRPr="006D2BAD" w:rsidTr="001C3BE9">
        <w:trPr>
          <w:trHeight w:val="300"/>
        </w:trPr>
        <w:tc>
          <w:tcPr>
            <w:tcW w:w="1002"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2005-2009</w:t>
            </w:r>
          </w:p>
        </w:tc>
        <w:tc>
          <w:tcPr>
            <w:tcW w:w="1698"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Y</w:t>
            </w:r>
          </w:p>
        </w:tc>
        <w:tc>
          <w:tcPr>
            <w:tcW w:w="1266"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Negative</w:t>
            </w:r>
          </w:p>
        </w:tc>
        <w:tc>
          <w:tcPr>
            <w:tcW w:w="1034"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Suppression</w:t>
            </w:r>
          </w:p>
        </w:tc>
      </w:tr>
      <w:tr w:rsidR="00590538" w:rsidRPr="006D2BAD" w:rsidTr="001C3BE9">
        <w:trPr>
          <w:trHeight w:val="300"/>
        </w:trPr>
        <w:tc>
          <w:tcPr>
            <w:tcW w:w="1002"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2005-2010</w:t>
            </w:r>
          </w:p>
        </w:tc>
        <w:tc>
          <w:tcPr>
            <w:tcW w:w="1698"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Y</w:t>
            </w:r>
          </w:p>
        </w:tc>
        <w:tc>
          <w:tcPr>
            <w:tcW w:w="1266"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Negative</w:t>
            </w:r>
          </w:p>
        </w:tc>
        <w:tc>
          <w:tcPr>
            <w:tcW w:w="1034"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Suppression</w:t>
            </w:r>
          </w:p>
        </w:tc>
      </w:tr>
      <w:tr w:rsidR="00590538" w:rsidRPr="006D2BAD" w:rsidTr="001C3BE9">
        <w:trPr>
          <w:trHeight w:val="300"/>
        </w:trPr>
        <w:tc>
          <w:tcPr>
            <w:tcW w:w="1002"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2005-2011</w:t>
            </w:r>
          </w:p>
        </w:tc>
        <w:tc>
          <w:tcPr>
            <w:tcW w:w="1698"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Y</w:t>
            </w:r>
          </w:p>
        </w:tc>
        <w:tc>
          <w:tcPr>
            <w:tcW w:w="1266"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Negative</w:t>
            </w:r>
          </w:p>
        </w:tc>
        <w:tc>
          <w:tcPr>
            <w:tcW w:w="1034"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Suppression</w:t>
            </w:r>
          </w:p>
        </w:tc>
      </w:tr>
      <w:tr w:rsidR="00590538" w:rsidRPr="006D2BAD" w:rsidTr="001C3BE9">
        <w:trPr>
          <w:trHeight w:val="300"/>
        </w:trPr>
        <w:tc>
          <w:tcPr>
            <w:tcW w:w="1002"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2005-2012</w:t>
            </w:r>
          </w:p>
        </w:tc>
        <w:tc>
          <w:tcPr>
            <w:tcW w:w="1698"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Y</w:t>
            </w:r>
          </w:p>
        </w:tc>
        <w:tc>
          <w:tcPr>
            <w:tcW w:w="1266"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Negative</w:t>
            </w:r>
          </w:p>
        </w:tc>
        <w:tc>
          <w:tcPr>
            <w:tcW w:w="1034" w:type="pct"/>
            <w:shd w:val="clear" w:color="auto" w:fill="auto"/>
            <w:noWrap/>
            <w:vAlign w:val="bottom"/>
            <w:hideMark/>
          </w:tcPr>
          <w:p w:rsidR="00590538" w:rsidRPr="006D2BAD" w:rsidRDefault="00590538" w:rsidP="001C3BE9">
            <w:pPr>
              <w:spacing w:after="0" w:line="480" w:lineRule="auto"/>
              <w:rPr>
                <w:rFonts w:ascii="Cambria" w:eastAsia="Times New Roman" w:hAnsi="Cambria" w:cs="Times New Roman"/>
                <w:color w:val="000000"/>
              </w:rPr>
            </w:pPr>
            <w:r w:rsidRPr="006D2BAD">
              <w:rPr>
                <w:rFonts w:ascii="Cambria" w:eastAsia="Times New Roman" w:hAnsi="Cambria" w:cs="Times New Roman"/>
                <w:color w:val="000000"/>
              </w:rPr>
              <w:t>Suppression</w:t>
            </w:r>
          </w:p>
        </w:tc>
      </w:tr>
    </w:tbl>
    <w:p w:rsidR="00590538" w:rsidRDefault="00590538">
      <w:pPr>
        <w:rPr>
          <w:rFonts w:ascii="Cambria" w:hAnsi="Cambria"/>
        </w:rPr>
      </w:pPr>
    </w:p>
    <w:p w:rsidR="00AC5AB5" w:rsidRDefault="00AC5AB5">
      <w:pPr>
        <w:rPr>
          <w:rFonts w:ascii="Cambria" w:hAnsi="Cambria"/>
        </w:rPr>
      </w:pPr>
      <w:r>
        <w:rPr>
          <w:rFonts w:ascii="Cambria" w:hAnsi="Cambria"/>
        </w:rPr>
        <w:br w:type="page"/>
      </w:r>
    </w:p>
    <w:p w:rsidR="00AC5AB5" w:rsidRDefault="00AC5AB5">
      <w:pPr>
        <w:rPr>
          <w:rFonts w:ascii="Cambria" w:hAnsi="Cambria"/>
        </w:rPr>
      </w:pPr>
      <w:r>
        <w:rPr>
          <w:rFonts w:ascii="Cambria" w:hAnsi="Cambria"/>
        </w:rPr>
        <w:lastRenderedPageBreak/>
        <w:t>Supplementary Figure S1. Frequency of consulting with MICHR in 2006 (zeros or non-consultations not shown).</w:t>
      </w:r>
    </w:p>
    <w:p w:rsidR="00AC5AB5" w:rsidRDefault="009E5277">
      <w:pPr>
        <w:rPr>
          <w:rFonts w:ascii="Cambria" w:hAnsi="Cambria"/>
        </w:rPr>
      </w:pPr>
      <w:r>
        <w:rPr>
          <w:rFonts w:ascii="Cambria" w:hAnsi="Cambria"/>
          <w:noProof/>
        </w:rPr>
        <w:drawing>
          <wp:inline distT="0" distB="0" distL="0" distR="0">
            <wp:extent cx="5029243" cy="36576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sulted MICHR 2006 01092019.e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29243" cy="3657691"/>
                    </a:xfrm>
                    <a:prstGeom prst="rect">
                      <a:avLst/>
                    </a:prstGeom>
                  </pic:spPr>
                </pic:pic>
              </a:graphicData>
            </a:graphic>
          </wp:inline>
        </w:drawing>
      </w:r>
    </w:p>
    <w:p w:rsidR="00AC5AB5" w:rsidRDefault="00AC5AB5">
      <w:pPr>
        <w:rPr>
          <w:rFonts w:ascii="Cambria" w:hAnsi="Cambria"/>
        </w:rPr>
      </w:pPr>
    </w:p>
    <w:p w:rsidR="00AC5AB5" w:rsidRDefault="00AC5AB5" w:rsidP="00AC5AB5">
      <w:pPr>
        <w:rPr>
          <w:rFonts w:ascii="Cambria" w:hAnsi="Cambria"/>
        </w:rPr>
      </w:pPr>
      <w:r>
        <w:rPr>
          <w:rFonts w:ascii="Cambria" w:hAnsi="Cambria"/>
        </w:rPr>
        <w:t>Supplementary Figure S2. Frequency of consulting with MICHR in 2007 (zeros or non-consultations not shown).</w:t>
      </w:r>
    </w:p>
    <w:p w:rsidR="00AC5AB5" w:rsidRDefault="009E5277">
      <w:pPr>
        <w:rPr>
          <w:rFonts w:ascii="Cambria" w:hAnsi="Cambria"/>
        </w:rPr>
      </w:pPr>
      <w:r>
        <w:rPr>
          <w:rFonts w:ascii="Cambria" w:hAnsi="Cambria"/>
          <w:noProof/>
        </w:rPr>
        <w:drawing>
          <wp:inline distT="0" distB="0" distL="0" distR="0">
            <wp:extent cx="5029243" cy="365769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sulted MICHR 2007 01092019.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29243" cy="3657691"/>
                    </a:xfrm>
                    <a:prstGeom prst="rect">
                      <a:avLst/>
                    </a:prstGeom>
                  </pic:spPr>
                </pic:pic>
              </a:graphicData>
            </a:graphic>
          </wp:inline>
        </w:drawing>
      </w:r>
    </w:p>
    <w:p w:rsidR="00AC5AB5" w:rsidRDefault="00AC5AB5">
      <w:pPr>
        <w:rPr>
          <w:rFonts w:ascii="Cambria" w:hAnsi="Cambria"/>
        </w:rPr>
      </w:pPr>
    </w:p>
    <w:p w:rsidR="00AC5AB5" w:rsidRDefault="00AC5AB5" w:rsidP="00AC5AB5">
      <w:pPr>
        <w:rPr>
          <w:rFonts w:ascii="Cambria" w:hAnsi="Cambria"/>
        </w:rPr>
      </w:pPr>
      <w:r>
        <w:rPr>
          <w:rFonts w:ascii="Cambria" w:hAnsi="Cambria"/>
        </w:rPr>
        <w:lastRenderedPageBreak/>
        <w:t>Supplementary Figure S3. Frequency of consulting with MICHR in 2008 (zeros or non-consultations not shown).</w:t>
      </w:r>
    </w:p>
    <w:p w:rsidR="00AC5AB5" w:rsidRDefault="009E5277">
      <w:pPr>
        <w:rPr>
          <w:rFonts w:ascii="Cambria" w:hAnsi="Cambria"/>
        </w:rPr>
      </w:pPr>
      <w:r>
        <w:rPr>
          <w:rFonts w:ascii="Cambria" w:hAnsi="Cambria"/>
          <w:noProof/>
        </w:rPr>
        <w:drawing>
          <wp:inline distT="0" distB="0" distL="0" distR="0">
            <wp:extent cx="5029243" cy="36576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nsulted MICHR 2008 01092019.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29243" cy="3657691"/>
                    </a:xfrm>
                    <a:prstGeom prst="rect">
                      <a:avLst/>
                    </a:prstGeom>
                  </pic:spPr>
                </pic:pic>
              </a:graphicData>
            </a:graphic>
          </wp:inline>
        </w:drawing>
      </w:r>
    </w:p>
    <w:p w:rsidR="00AC5AB5" w:rsidRDefault="00AC5AB5">
      <w:pPr>
        <w:rPr>
          <w:rFonts w:ascii="Cambria" w:hAnsi="Cambria"/>
        </w:rPr>
      </w:pPr>
    </w:p>
    <w:p w:rsidR="00AC5AB5" w:rsidRDefault="00AC5AB5" w:rsidP="00AC5AB5">
      <w:pPr>
        <w:rPr>
          <w:rFonts w:ascii="Cambria" w:hAnsi="Cambria"/>
        </w:rPr>
      </w:pPr>
      <w:r>
        <w:rPr>
          <w:rFonts w:ascii="Cambria" w:hAnsi="Cambria"/>
        </w:rPr>
        <w:t>Supplementary Figure S4. Frequency of consulting with MICHR in 2009 (zeros or non-consultations not shown).</w:t>
      </w:r>
    </w:p>
    <w:p w:rsidR="00AC5AB5" w:rsidRDefault="009E5277">
      <w:pPr>
        <w:rPr>
          <w:rFonts w:ascii="Cambria" w:hAnsi="Cambria"/>
        </w:rPr>
      </w:pPr>
      <w:r>
        <w:rPr>
          <w:rFonts w:ascii="Cambria" w:hAnsi="Cambria"/>
          <w:noProof/>
        </w:rPr>
        <w:drawing>
          <wp:inline distT="0" distB="0" distL="0" distR="0">
            <wp:extent cx="5029243" cy="365769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nsulted MICHR 2009 01092019.e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29243" cy="3657691"/>
                    </a:xfrm>
                    <a:prstGeom prst="rect">
                      <a:avLst/>
                    </a:prstGeom>
                  </pic:spPr>
                </pic:pic>
              </a:graphicData>
            </a:graphic>
          </wp:inline>
        </w:drawing>
      </w:r>
    </w:p>
    <w:p w:rsidR="00AC5AB5" w:rsidRDefault="00AC5AB5">
      <w:pPr>
        <w:rPr>
          <w:rFonts w:ascii="Cambria" w:hAnsi="Cambria"/>
        </w:rPr>
      </w:pPr>
    </w:p>
    <w:p w:rsidR="00AC5AB5" w:rsidRDefault="00AC5AB5" w:rsidP="00AC5AB5">
      <w:pPr>
        <w:rPr>
          <w:rFonts w:ascii="Cambria" w:hAnsi="Cambria"/>
        </w:rPr>
      </w:pPr>
      <w:r>
        <w:rPr>
          <w:rFonts w:ascii="Cambria" w:hAnsi="Cambria"/>
        </w:rPr>
        <w:lastRenderedPageBreak/>
        <w:t>Supplementary Figure S5. Frequency of consulting with MICHR in 2010 (zeros or non-consultations not shown).</w:t>
      </w:r>
    </w:p>
    <w:p w:rsidR="00AC5AB5" w:rsidRPr="003438AE" w:rsidRDefault="009E5277">
      <w:pPr>
        <w:rPr>
          <w:rFonts w:ascii="Cambria" w:hAnsi="Cambria"/>
        </w:rPr>
      </w:pPr>
      <w:r>
        <w:rPr>
          <w:rFonts w:ascii="Cambria" w:hAnsi="Cambria"/>
          <w:noProof/>
        </w:rPr>
        <w:drawing>
          <wp:inline distT="0" distB="0" distL="0" distR="0">
            <wp:extent cx="5029243" cy="365769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nsulted MICHR 2010 01092019.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29243" cy="3657691"/>
                    </a:xfrm>
                    <a:prstGeom prst="rect">
                      <a:avLst/>
                    </a:prstGeom>
                  </pic:spPr>
                </pic:pic>
              </a:graphicData>
            </a:graphic>
          </wp:inline>
        </w:drawing>
      </w:r>
    </w:p>
    <w:sectPr w:rsidR="00AC5AB5" w:rsidRPr="003438AE" w:rsidSect="00EA5855">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DBB" w:rsidRDefault="005B4DBB">
      <w:pPr>
        <w:spacing w:after="0" w:line="240" w:lineRule="auto"/>
      </w:pPr>
      <w:r>
        <w:separator/>
      </w:r>
    </w:p>
  </w:endnote>
  <w:endnote w:type="continuationSeparator" w:id="0">
    <w:p w:rsidR="005B4DBB" w:rsidRDefault="005B4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874929"/>
      <w:docPartObj>
        <w:docPartGallery w:val="Page Numbers (Bottom of Page)"/>
        <w:docPartUnique/>
      </w:docPartObj>
    </w:sdtPr>
    <w:sdtEndPr>
      <w:rPr>
        <w:noProof/>
      </w:rPr>
    </w:sdtEndPr>
    <w:sdtContent>
      <w:p w:rsidR="006C5354" w:rsidRDefault="006C5354">
        <w:pPr>
          <w:pStyle w:val="Footer"/>
          <w:jc w:val="right"/>
        </w:pPr>
        <w:r>
          <w:fldChar w:fldCharType="begin"/>
        </w:r>
        <w:r>
          <w:instrText xml:space="preserve"> PAGE   \* MERGEFORMAT </w:instrText>
        </w:r>
        <w:r>
          <w:fldChar w:fldCharType="separate"/>
        </w:r>
        <w:r w:rsidR="00422E2A">
          <w:rPr>
            <w:noProof/>
          </w:rPr>
          <w:t>2</w:t>
        </w:r>
        <w:r>
          <w:rPr>
            <w:noProof/>
          </w:rPr>
          <w:fldChar w:fldCharType="end"/>
        </w:r>
      </w:p>
    </w:sdtContent>
  </w:sdt>
  <w:p w:rsidR="006C5354" w:rsidRDefault="006C5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DBB" w:rsidRDefault="005B4DBB">
      <w:pPr>
        <w:spacing w:after="0" w:line="240" w:lineRule="auto"/>
      </w:pPr>
      <w:r>
        <w:separator/>
      </w:r>
    </w:p>
  </w:footnote>
  <w:footnote w:type="continuationSeparator" w:id="0">
    <w:p w:rsidR="005B4DBB" w:rsidRDefault="005B4D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855"/>
    <w:rsid w:val="000A064A"/>
    <w:rsid w:val="002325C7"/>
    <w:rsid w:val="0026590A"/>
    <w:rsid w:val="002C2CD2"/>
    <w:rsid w:val="003438AE"/>
    <w:rsid w:val="003B7EDD"/>
    <w:rsid w:val="00422E2A"/>
    <w:rsid w:val="00590538"/>
    <w:rsid w:val="005B4DBB"/>
    <w:rsid w:val="006408E2"/>
    <w:rsid w:val="006C5354"/>
    <w:rsid w:val="00706F76"/>
    <w:rsid w:val="00810BE2"/>
    <w:rsid w:val="00955C7D"/>
    <w:rsid w:val="009E5277"/>
    <w:rsid w:val="00AC5AB5"/>
    <w:rsid w:val="00C23417"/>
    <w:rsid w:val="00CB71FE"/>
    <w:rsid w:val="00DB7635"/>
    <w:rsid w:val="00E97EE5"/>
    <w:rsid w:val="00EA5855"/>
    <w:rsid w:val="00EF5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8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5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55"/>
  </w:style>
  <w:style w:type="paragraph" w:styleId="BalloonText">
    <w:name w:val="Balloon Text"/>
    <w:basedOn w:val="Normal"/>
    <w:link w:val="BalloonTextChar"/>
    <w:uiPriority w:val="99"/>
    <w:semiHidden/>
    <w:unhideWhenUsed/>
    <w:rsid w:val="00E97E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EE5"/>
    <w:rPr>
      <w:rFonts w:ascii="Segoe UI" w:hAnsi="Segoe UI" w:cs="Segoe UI"/>
      <w:sz w:val="18"/>
      <w:szCs w:val="18"/>
    </w:rPr>
  </w:style>
  <w:style w:type="paragraph" w:styleId="Revision">
    <w:name w:val="Revision"/>
    <w:hidden/>
    <w:uiPriority w:val="99"/>
    <w:semiHidden/>
    <w:rsid w:val="00E97E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8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5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55"/>
  </w:style>
  <w:style w:type="paragraph" w:styleId="BalloonText">
    <w:name w:val="Balloon Text"/>
    <w:basedOn w:val="Normal"/>
    <w:link w:val="BalloonTextChar"/>
    <w:uiPriority w:val="99"/>
    <w:semiHidden/>
    <w:unhideWhenUsed/>
    <w:rsid w:val="00E97E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EE5"/>
    <w:rPr>
      <w:rFonts w:ascii="Segoe UI" w:hAnsi="Segoe UI" w:cs="Segoe UI"/>
      <w:sz w:val="18"/>
      <w:szCs w:val="18"/>
    </w:rPr>
  </w:style>
  <w:style w:type="paragraph" w:styleId="Revision">
    <w:name w:val="Revision"/>
    <w:hidden/>
    <w:uiPriority w:val="99"/>
    <w:semiHidden/>
    <w:rsid w:val="00E97E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0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Fkabo</dc:creator>
  <cp:lastModifiedBy>Felix Kabo</cp:lastModifiedBy>
  <cp:revision>2</cp:revision>
  <dcterms:created xsi:type="dcterms:W3CDTF">2019-02-10T15:27:00Z</dcterms:created>
  <dcterms:modified xsi:type="dcterms:W3CDTF">2019-02-10T15:27:00Z</dcterms:modified>
</cp:coreProperties>
</file>