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5C" w:rsidRDefault="00DA655C" w:rsidP="00DA655C">
      <w:pPr>
        <w:pStyle w:val="BodyText"/>
        <w:ind w:left="0" w:firstLine="0"/>
        <w:rPr>
          <w:rFonts w:ascii="Arial" w:hAnsi="Arial" w:cs="Arial"/>
          <w:b/>
          <w:szCs w:val="22"/>
        </w:rPr>
      </w:pPr>
      <w:r w:rsidRPr="0027315C">
        <w:rPr>
          <w:rFonts w:ascii="Arial" w:hAnsi="Arial" w:cs="Arial"/>
          <w:b/>
          <w:szCs w:val="22"/>
        </w:rPr>
        <w:t>APPENDIX 1</w:t>
      </w:r>
      <w:r>
        <w:rPr>
          <w:rFonts w:ascii="Arial" w:hAnsi="Arial" w:cs="Arial"/>
          <w:b/>
          <w:szCs w:val="22"/>
        </w:rPr>
        <w:t xml:space="preserve"> (Supplementary Material)</w:t>
      </w:r>
    </w:p>
    <w:p w:rsidR="00DA655C" w:rsidRDefault="00DA655C" w:rsidP="00DA655C">
      <w:pPr>
        <w:spacing w:line="480" w:lineRule="auto"/>
        <w:rPr>
          <w:rFonts w:ascii="Arial" w:hAnsi="Arial" w:cs="Arial"/>
          <w:b/>
          <w:i/>
          <w:sz w:val="24"/>
          <w:szCs w:val="24"/>
        </w:rPr>
      </w:pPr>
    </w:p>
    <w:p w:rsidR="00DA655C" w:rsidRPr="00397CFE" w:rsidRDefault="00DA655C" w:rsidP="00DA655C">
      <w:pPr>
        <w:spacing w:line="480" w:lineRule="auto"/>
        <w:rPr>
          <w:rFonts w:ascii="Arial" w:hAnsi="Arial" w:cs="Arial"/>
          <w:b/>
          <w:i/>
          <w:sz w:val="24"/>
          <w:szCs w:val="24"/>
        </w:rPr>
      </w:pPr>
      <w:r w:rsidRPr="00397CFE">
        <w:rPr>
          <w:rFonts w:ascii="Arial" w:hAnsi="Arial" w:cs="Arial"/>
          <w:b/>
          <w:i/>
          <w:sz w:val="24"/>
          <w:szCs w:val="24"/>
        </w:rPr>
        <w:t>Special Communication</w:t>
      </w:r>
    </w:p>
    <w:p w:rsidR="00DA655C" w:rsidRPr="00997A3E" w:rsidRDefault="00DA655C" w:rsidP="00DA65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97A3E">
        <w:rPr>
          <w:rFonts w:ascii="Arial" w:hAnsi="Arial" w:cs="Arial"/>
          <w:b/>
          <w:sz w:val="24"/>
          <w:szCs w:val="24"/>
        </w:rPr>
        <w:t>Building Biorepositories in the Midst of a Pandemic</w:t>
      </w:r>
    </w:p>
    <w:p w:rsidR="00DA655C" w:rsidRPr="00997A3E" w:rsidRDefault="00DA655C" w:rsidP="00DA655C">
      <w:pPr>
        <w:spacing w:line="480" w:lineRule="auto"/>
        <w:rPr>
          <w:rFonts w:ascii="Arial" w:hAnsi="Arial" w:cs="Arial"/>
          <w:sz w:val="24"/>
          <w:szCs w:val="24"/>
        </w:rPr>
      </w:pPr>
      <w:r w:rsidRPr="00997A3E">
        <w:rPr>
          <w:rFonts w:ascii="Arial" w:hAnsi="Arial" w:cs="Arial"/>
          <w:sz w:val="24"/>
          <w:szCs w:val="24"/>
        </w:rPr>
        <w:t>Jennifer A. Croker</w:t>
      </w:r>
      <w:r w:rsidRPr="00997A3E">
        <w:rPr>
          <w:rFonts w:ascii="Arial" w:hAnsi="Arial" w:cs="Arial"/>
          <w:sz w:val="24"/>
          <w:szCs w:val="24"/>
          <w:vertAlign w:val="superscript"/>
        </w:rPr>
        <w:t>1</w:t>
      </w:r>
      <w:r w:rsidRPr="00997A3E">
        <w:rPr>
          <w:rFonts w:ascii="Arial" w:hAnsi="Arial" w:cs="Arial"/>
          <w:sz w:val="24"/>
          <w:szCs w:val="24"/>
        </w:rPr>
        <w:t>, Robin Patel</w:t>
      </w:r>
      <w:r w:rsidRPr="00997A3E">
        <w:rPr>
          <w:rFonts w:ascii="Arial" w:hAnsi="Arial" w:cs="Arial"/>
          <w:sz w:val="24"/>
          <w:szCs w:val="24"/>
          <w:vertAlign w:val="superscript"/>
        </w:rPr>
        <w:t>2</w:t>
      </w:r>
      <w:r w:rsidRPr="00997A3E">
        <w:rPr>
          <w:rFonts w:ascii="Arial" w:hAnsi="Arial" w:cs="Arial"/>
          <w:sz w:val="24"/>
          <w:szCs w:val="24"/>
        </w:rPr>
        <w:t>, Kenneth S. Campbell</w:t>
      </w:r>
      <w:r w:rsidRPr="00997A3E">
        <w:rPr>
          <w:rFonts w:ascii="Arial" w:hAnsi="Arial" w:cs="Arial"/>
          <w:sz w:val="24"/>
          <w:szCs w:val="24"/>
          <w:vertAlign w:val="superscript"/>
        </w:rPr>
        <w:t>3</w:t>
      </w:r>
      <w:r w:rsidRPr="00997A3E">
        <w:rPr>
          <w:rFonts w:ascii="Arial" w:hAnsi="Arial" w:cs="Arial"/>
          <w:sz w:val="24"/>
          <w:szCs w:val="24"/>
        </w:rPr>
        <w:t>, Marietta Barton-Baxter</w:t>
      </w:r>
      <w:r w:rsidRPr="00997A3E">
        <w:rPr>
          <w:rFonts w:ascii="Arial" w:hAnsi="Arial" w:cs="Arial"/>
          <w:sz w:val="24"/>
          <w:szCs w:val="24"/>
          <w:vertAlign w:val="superscript"/>
        </w:rPr>
        <w:t>3</w:t>
      </w:r>
      <w:r w:rsidRPr="00997A3E">
        <w:rPr>
          <w:rFonts w:ascii="Arial" w:hAnsi="Arial" w:cs="Arial"/>
          <w:sz w:val="24"/>
          <w:szCs w:val="24"/>
        </w:rPr>
        <w:t>, Shannon Wallet</w:t>
      </w:r>
      <w:r w:rsidRPr="00997A3E">
        <w:rPr>
          <w:rFonts w:ascii="Arial" w:hAnsi="Arial" w:cs="Arial"/>
          <w:sz w:val="24"/>
          <w:szCs w:val="24"/>
          <w:vertAlign w:val="superscript"/>
        </w:rPr>
        <w:t>4</w:t>
      </w:r>
      <w:r w:rsidRPr="00997A3E">
        <w:rPr>
          <w:rFonts w:ascii="Arial" w:hAnsi="Arial" w:cs="Arial"/>
          <w:sz w:val="24"/>
          <w:szCs w:val="24"/>
        </w:rPr>
        <w:t>, Gary S. Firestein</w:t>
      </w:r>
      <w:r w:rsidRPr="00997A3E">
        <w:rPr>
          <w:rFonts w:ascii="Arial" w:hAnsi="Arial" w:cs="Arial"/>
          <w:sz w:val="24"/>
          <w:szCs w:val="24"/>
          <w:vertAlign w:val="superscript"/>
        </w:rPr>
        <w:t>5</w:t>
      </w:r>
      <w:r w:rsidRPr="00997A3E">
        <w:rPr>
          <w:rFonts w:ascii="Arial" w:hAnsi="Arial" w:cs="Arial"/>
          <w:sz w:val="24"/>
          <w:szCs w:val="24"/>
        </w:rPr>
        <w:t>, Robert P. Kimberly</w:t>
      </w:r>
      <w:r w:rsidRPr="00997A3E">
        <w:rPr>
          <w:rFonts w:ascii="Arial" w:hAnsi="Arial" w:cs="Arial"/>
          <w:sz w:val="24"/>
          <w:szCs w:val="24"/>
          <w:vertAlign w:val="superscript"/>
        </w:rPr>
        <w:t>1</w:t>
      </w:r>
      <w:r w:rsidRPr="00997A3E">
        <w:rPr>
          <w:rFonts w:ascii="Arial" w:hAnsi="Arial" w:cs="Arial"/>
          <w:sz w:val="24"/>
          <w:szCs w:val="24"/>
        </w:rPr>
        <w:t>, and Olivier Elemento</w:t>
      </w:r>
      <w:r w:rsidRPr="00997A3E">
        <w:rPr>
          <w:rFonts w:ascii="Arial" w:hAnsi="Arial" w:cs="Arial"/>
          <w:sz w:val="24"/>
          <w:szCs w:val="24"/>
          <w:vertAlign w:val="superscript"/>
        </w:rPr>
        <w:t>6</w:t>
      </w:r>
      <w:r w:rsidRPr="00997A3E">
        <w:rPr>
          <w:rFonts w:ascii="Arial" w:hAnsi="Arial" w:cs="Arial"/>
          <w:sz w:val="24"/>
          <w:szCs w:val="24"/>
        </w:rPr>
        <w:t>.</w:t>
      </w:r>
    </w:p>
    <w:p w:rsidR="00DA655C" w:rsidRPr="0027315C" w:rsidRDefault="00DA655C" w:rsidP="0027315C">
      <w:pPr>
        <w:pStyle w:val="BodyText"/>
        <w:spacing w:before="40"/>
        <w:ind w:left="0" w:firstLine="0"/>
        <w:rPr>
          <w:rFonts w:ascii="Arial" w:hAnsi="Arial" w:cs="Arial"/>
          <w:sz w:val="22"/>
          <w:szCs w:val="22"/>
        </w:rPr>
      </w:pPr>
    </w:p>
    <w:p w:rsidR="0027315C" w:rsidRPr="0027315C" w:rsidRDefault="0027315C" w:rsidP="0027315C">
      <w:pPr>
        <w:pStyle w:val="BodyText"/>
        <w:ind w:left="0" w:firstLine="0"/>
        <w:rPr>
          <w:rFonts w:ascii="Arial" w:hAnsi="Arial" w:cs="Arial"/>
          <w:b/>
          <w:sz w:val="22"/>
          <w:szCs w:val="22"/>
        </w:rPr>
      </w:pPr>
    </w:p>
    <w:p w:rsidR="0027315C" w:rsidRPr="0027315C" w:rsidRDefault="0027315C" w:rsidP="00DA655C">
      <w:pPr>
        <w:pStyle w:val="BodyText"/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27315C">
        <w:rPr>
          <w:rFonts w:ascii="Arial" w:hAnsi="Arial" w:cs="Arial"/>
          <w:sz w:val="22"/>
          <w:szCs w:val="22"/>
        </w:rPr>
        <w:t xml:space="preserve">The following survey was conducted by the Center for Leading Innovation &amp; Collaboration (CLIC) Survey Team in the </w:t>
      </w:r>
      <w:proofErr w:type="gramStart"/>
      <w:r w:rsidRPr="0027315C">
        <w:rPr>
          <w:rFonts w:ascii="Arial" w:hAnsi="Arial" w:cs="Arial"/>
          <w:sz w:val="22"/>
          <w:szCs w:val="22"/>
        </w:rPr>
        <w:t>Fall</w:t>
      </w:r>
      <w:proofErr w:type="gramEnd"/>
      <w:r w:rsidRPr="0027315C">
        <w:rPr>
          <w:rFonts w:ascii="Arial" w:hAnsi="Arial" w:cs="Arial"/>
          <w:sz w:val="22"/>
          <w:szCs w:val="22"/>
        </w:rPr>
        <w:t xml:space="preserve">, 2020. This is an abridged version of the </w:t>
      </w:r>
      <w:r w:rsidR="009623BF">
        <w:rPr>
          <w:rFonts w:ascii="Arial" w:hAnsi="Arial" w:cs="Arial"/>
          <w:sz w:val="22"/>
          <w:szCs w:val="22"/>
        </w:rPr>
        <w:t>data collection</w:t>
      </w:r>
      <w:r w:rsidRPr="0027315C">
        <w:rPr>
          <w:rFonts w:ascii="Arial" w:hAnsi="Arial" w:cs="Arial"/>
          <w:sz w:val="22"/>
          <w:szCs w:val="22"/>
        </w:rPr>
        <w:t xml:space="preserve"> instrument focusing on general demographic questions and Section 2: Biorepositories, the data from which were used to inform this manuscript.</w:t>
      </w:r>
      <w:r w:rsidR="009623BF">
        <w:rPr>
          <w:rFonts w:ascii="Arial" w:hAnsi="Arial" w:cs="Arial"/>
          <w:sz w:val="22"/>
          <w:szCs w:val="22"/>
        </w:rPr>
        <w:t xml:space="preserve"> </w:t>
      </w:r>
    </w:p>
    <w:p w:rsidR="00736FDE" w:rsidRPr="0027315C" w:rsidRDefault="00736FDE" w:rsidP="0027315C">
      <w:pPr>
        <w:tabs>
          <w:tab w:val="left" w:pos="821"/>
        </w:tabs>
        <w:rPr>
          <w:rFonts w:ascii="Arial" w:hAnsi="Arial" w:cs="Arial"/>
          <w:sz w:val="20"/>
        </w:rPr>
      </w:pP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eastAsiaTheme="minorHAnsi" w:hAnsi="Arial" w:cs="Arial"/>
          <w:b/>
          <w:bCs/>
        </w:rPr>
        <w:t>JCTS COVID-19 Special Edition Survey</w:t>
      </w: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Each Hub PI and Hub administrator has received a unique </w:t>
      </w:r>
      <w:proofErr w:type="spellStart"/>
      <w:r w:rsidRPr="0027315C">
        <w:rPr>
          <w:rFonts w:ascii="Arial" w:hAnsi="Arial" w:cs="Arial"/>
        </w:rPr>
        <w:t>REDCap</w:t>
      </w:r>
      <w:proofErr w:type="spellEnd"/>
      <w:r w:rsidRPr="0027315C">
        <w:rPr>
          <w:rFonts w:ascii="Arial" w:hAnsi="Arial" w:cs="Arial"/>
        </w:rPr>
        <w:t xml:space="preserve"> link to the survey below. We ask that only one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 xml:space="preserve">survey per hub is submitted by the Hub PI (with the assistance of the Hub administrator) via the online </w:t>
      </w:r>
      <w:proofErr w:type="spellStart"/>
      <w:r w:rsidRPr="0027315C">
        <w:rPr>
          <w:rFonts w:ascii="Arial" w:hAnsi="Arial" w:cs="Arial"/>
        </w:rPr>
        <w:t>REDCap</w:t>
      </w:r>
      <w:proofErr w:type="spellEnd"/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survey platform. Please submit the survey through the PI link unless the PI delegates the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responsibility to the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administrator, in which case use the administrator's link. If you are NOT the communicating PI, you should contact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them for instructions. DO NOT forward or share either unique links with anyone else. The purpose of this survey is to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solicit information on the creative innovations and adaptations made by the hubs in response to the COVID-19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pandemic. Findings will be submitted for publications in a special issue of the Journal of Clinical and Translational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Science.</w:t>
      </w:r>
    </w:p>
    <w:p w:rsidR="0027315C" w:rsidRP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>This survey covers eight different topics and you may need to solicit responses from others at your hub in order for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you to complete the survey. To gather expert-specific data from colleagues in your hub, a Microsoft Word version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was provided for internal use. [https://rochester.box.com/s/3e0jo3ytn4j32v2s87cdlkjswae3xesv] Key personnel are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asked to complete the Word Document version survey and return it to the hub PI to complete the official online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survey (e.g., sharing the Word version with several hub colleagues as needed, into which they can input data and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information and return it to the PI/administrator).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If you would like to send in multiple responses for any particular section, please send the word document with the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 xml:space="preserve">multiple responses to survey@ctsa-clic.org AFTER the </w:t>
      </w:r>
      <w:proofErr w:type="spellStart"/>
      <w:r w:rsidRPr="0027315C">
        <w:rPr>
          <w:rFonts w:ascii="Arial" w:hAnsi="Arial" w:cs="Arial"/>
        </w:rPr>
        <w:t>REDCap</w:t>
      </w:r>
      <w:proofErr w:type="spellEnd"/>
      <w:r w:rsidRPr="0027315C">
        <w:rPr>
          <w:rFonts w:ascii="Arial" w:hAnsi="Arial" w:cs="Arial"/>
        </w:rPr>
        <w:t xml:space="preserve"> survey is submitted for your Hub. CLIC will forward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 xml:space="preserve">those sections </w:t>
      </w:r>
      <w:r w:rsidRPr="0027315C">
        <w:rPr>
          <w:rFonts w:ascii="Arial" w:hAnsi="Arial" w:cs="Arial"/>
        </w:rPr>
        <w:lastRenderedPageBreak/>
        <w:t>to the appropriate Writing Groups. You may also contact the Writing Group leads directly using the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emails previously supplied to you.</w:t>
      </w:r>
      <w:r>
        <w:rPr>
          <w:rFonts w:ascii="Arial" w:hAnsi="Arial" w:cs="Arial"/>
        </w:rPr>
        <w:t xml:space="preserve"> </w:t>
      </w: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>Each topic will be found on its own page in the following order: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1: N3C and Informatics</w:t>
      </w:r>
      <w:r>
        <w:rPr>
          <w:rFonts w:ascii="Arial" w:hAnsi="Arial" w:cs="Arial"/>
        </w:rPr>
        <w:t xml:space="preserve"> 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2: Biorepositories</w:t>
      </w:r>
      <w:r>
        <w:rPr>
          <w:rFonts w:ascii="Arial" w:hAnsi="Arial" w:cs="Arial"/>
        </w:rPr>
        <w:t xml:space="preserve"> 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3: Virtual Visits</w:t>
      </w:r>
      <w:r>
        <w:rPr>
          <w:rFonts w:ascii="Arial" w:hAnsi="Arial" w:cs="Arial"/>
        </w:rPr>
        <w:t xml:space="preserve"> 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4: IRB</w:t>
      </w:r>
      <w:r>
        <w:rPr>
          <w:rFonts w:ascii="Arial" w:hAnsi="Arial" w:cs="Arial"/>
        </w:rPr>
        <w:t xml:space="preserve"> 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5: Protecting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Research Personnel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6: Prioritizing COVID-19 Studies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>Section 7: COVID-19 Adaptations to Pharmacy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Procedures</w:t>
      </w:r>
    </w:p>
    <w:p w:rsidR="0027315C" w:rsidRDefault="0027315C" w:rsidP="00DA655C">
      <w:pPr>
        <w:tabs>
          <w:tab w:val="left" w:pos="821"/>
        </w:tabs>
        <w:spacing w:line="480" w:lineRule="auto"/>
        <w:ind w:left="720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Section 8: Prioritizing non-COVID-19 </w:t>
      </w:r>
      <w:r>
        <w:rPr>
          <w:rFonts w:ascii="Arial" w:hAnsi="Arial" w:cs="Arial"/>
        </w:rPr>
        <w:t>Studies</w:t>
      </w:r>
    </w:p>
    <w:p w:rsidR="00DA655C" w:rsidRDefault="00DA65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>You will have the ability to save and return to the survey at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any time using your unique survey link found in your email invitation. When you submit the survey, you will receive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an email confirmation with a PDF of your response. We ask that you save your response for your records and for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reference in case we need to reach out with any follow-up questions.</w:t>
      </w:r>
    </w:p>
    <w:p w:rsidR="0027315C" w:rsidRP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</w:p>
    <w:p w:rsid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We would appreciate your collating all of the responses and submitting the </w:t>
      </w:r>
      <w:proofErr w:type="spellStart"/>
      <w:r w:rsidRPr="0027315C">
        <w:rPr>
          <w:rFonts w:ascii="Arial" w:hAnsi="Arial" w:cs="Arial"/>
        </w:rPr>
        <w:t>REDCap</w:t>
      </w:r>
      <w:proofErr w:type="spellEnd"/>
      <w:r w:rsidRPr="0027315C">
        <w:rPr>
          <w:rFonts w:ascii="Arial" w:hAnsi="Arial" w:cs="Arial"/>
        </w:rPr>
        <w:t xml:space="preserve"> version as quickly as possible,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but no later than 11:59 PM, on Thursday, October 15, 2020.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 xml:space="preserve">If you have any questions please contact </w:t>
      </w:r>
      <w:hyperlink r:id="rId5" w:history="1">
        <w:r w:rsidRPr="000B40F9">
          <w:rPr>
            <w:rStyle w:val="Hyperlink"/>
            <w:rFonts w:ascii="Arial" w:hAnsi="Arial" w:cs="Arial"/>
          </w:rPr>
          <w:t>survey@ctsa-clic.org</w:t>
        </w:r>
      </w:hyperlink>
    </w:p>
    <w:p w:rsidR="0027315C" w:rsidRP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</w:p>
    <w:p w:rsidR="0027315C" w:rsidRP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>Thank you,</w:t>
      </w:r>
    </w:p>
    <w:p w:rsidR="0027315C" w:rsidRPr="0027315C" w:rsidRDefault="0027315C" w:rsidP="00DA655C">
      <w:pPr>
        <w:tabs>
          <w:tab w:val="left" w:pos="821"/>
        </w:tabs>
        <w:spacing w:line="480" w:lineRule="auto"/>
        <w:rPr>
          <w:rFonts w:ascii="Arial" w:hAnsi="Arial" w:cs="Arial"/>
        </w:rPr>
      </w:pPr>
      <w:r w:rsidRPr="0027315C">
        <w:rPr>
          <w:rFonts w:ascii="Arial" w:hAnsi="Arial" w:cs="Arial"/>
        </w:rPr>
        <w:t>CLIC Survey Team</w:t>
      </w: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F04FCD" w:rsidRDefault="00F04F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  <w:b/>
        </w:rPr>
      </w:pPr>
      <w:r w:rsidRPr="0027315C">
        <w:rPr>
          <w:rFonts w:ascii="Arial" w:hAnsi="Arial" w:cs="Arial"/>
          <w:b/>
        </w:rPr>
        <w:lastRenderedPageBreak/>
        <w:t>Hub Information</w:t>
      </w:r>
    </w:p>
    <w:p w:rsid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27315C" w:rsidRDefault="0027315C" w:rsidP="0027315C">
      <w:pPr>
        <w:tabs>
          <w:tab w:val="left" w:pos="821"/>
        </w:tabs>
        <w:rPr>
          <w:rFonts w:ascii="Arial" w:hAnsi="Arial" w:cs="Arial"/>
        </w:rPr>
      </w:pPr>
      <w:r>
        <w:rPr>
          <w:rFonts w:ascii="Arial" w:hAnsi="Arial" w:cs="Arial"/>
        </w:rPr>
        <w:t>Hub Name (Drop Down)</w:t>
      </w:r>
    </w:p>
    <w:p w:rsid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27315C" w:rsidRDefault="0027315C" w:rsidP="0027315C">
      <w:p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Please indicate the period of time in which you began to experience COVID-19 related disruptions to your research</w:t>
      </w:r>
      <w:r>
        <w:rPr>
          <w:rFonts w:ascii="Arial" w:hAnsi="Arial" w:cs="Arial"/>
        </w:rPr>
        <w:t xml:space="preserve"> </w:t>
      </w:r>
      <w:r w:rsidRPr="0027315C">
        <w:rPr>
          <w:rFonts w:ascii="Arial" w:hAnsi="Arial" w:cs="Arial"/>
        </w:rPr>
        <w:t>operations.</w:t>
      </w:r>
    </w:p>
    <w:p w:rsidR="0027315C" w:rsidRDefault="0027315C" w:rsidP="0027315C">
      <w:pPr>
        <w:tabs>
          <w:tab w:val="left" w:pos="720"/>
        </w:tabs>
        <w:rPr>
          <w:rFonts w:ascii="Arial" w:hAnsi="Arial" w:cs="Arial"/>
        </w:rPr>
      </w:pP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Prior to January 2020</w:t>
      </w: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January-March 2020</w:t>
      </w: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April-June 2020</w:t>
      </w: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July-September 2020</w:t>
      </w: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NA</w:t>
      </w:r>
    </w:p>
    <w:p w:rsidR="0027315C" w:rsidRPr="0027315C" w:rsidRDefault="0027315C" w:rsidP="0027315C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DA655C" w:rsidRDefault="00DA655C" w:rsidP="0027315C">
      <w:pPr>
        <w:pStyle w:val="NoSpacing"/>
        <w:rPr>
          <w:rFonts w:ascii="Arial" w:hAnsi="Arial" w:cs="Arial"/>
          <w:b/>
        </w:rPr>
      </w:pPr>
    </w:p>
    <w:p w:rsidR="0027315C" w:rsidRPr="0027315C" w:rsidRDefault="0027315C" w:rsidP="0027315C">
      <w:pPr>
        <w:pStyle w:val="NoSpacing"/>
        <w:rPr>
          <w:rFonts w:ascii="Arial" w:hAnsi="Arial" w:cs="Arial"/>
          <w:b/>
        </w:rPr>
      </w:pPr>
      <w:r w:rsidRPr="0027315C">
        <w:rPr>
          <w:rFonts w:ascii="Arial" w:hAnsi="Arial" w:cs="Arial"/>
          <w:b/>
        </w:rPr>
        <w:t xml:space="preserve">Section 2: Biorepositories </w:t>
      </w:r>
    </w:p>
    <w:p w:rsidR="0027315C" w:rsidRPr="0027315C" w:rsidRDefault="0027315C" w:rsidP="0027315C">
      <w:pPr>
        <w:tabs>
          <w:tab w:val="left" w:pos="821"/>
        </w:tabs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Which of the following best describes your biorepository model (Pre-COVID-19 and COVID-19 Specific)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(Please only select one model per column)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59"/>
        <w:gridCol w:w="1890"/>
      </w:tblGrid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Pre-COVID-19</w:t>
            </w:r>
          </w:p>
        </w:tc>
        <w:tc>
          <w:tcPr>
            <w:tcW w:w="1890" w:type="dxa"/>
          </w:tcPr>
          <w:p w:rsidR="00736FDE" w:rsidRPr="0027315C" w:rsidRDefault="00736FDE" w:rsidP="00FB2450">
            <w:pPr>
              <w:pStyle w:val="ListParagraph"/>
              <w:autoSpaceDE w:val="0"/>
              <w:autoSpaceDN w:val="0"/>
              <w:adjustRightInd w:val="0"/>
              <w:ind w:left="0" w:firstLine="18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COVID-19 Specific</w:t>
            </w:r>
          </w:p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Individual, investigator-initiated protocols and consents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Enterprise approach for some but not all types of specimens (</w:t>
            </w:r>
            <w:proofErr w:type="spellStart"/>
            <w:r w:rsidRPr="0027315C">
              <w:rPr>
                <w:rFonts w:ascii="Arial" w:hAnsi="Arial" w:cs="Arial"/>
              </w:rPr>
              <w:t>eg</w:t>
            </w:r>
            <w:proofErr w:type="spellEnd"/>
            <w:r w:rsidRPr="0027315C">
              <w:rPr>
                <w:rFonts w:ascii="Arial" w:hAnsi="Arial" w:cs="Arial"/>
              </w:rPr>
              <w:t>, remnant surgical tissue)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 xml:space="preserve">Enterprise approach with standard SOPs for all </w:t>
            </w:r>
            <w:proofErr w:type="spellStart"/>
            <w:r w:rsidRPr="0027315C">
              <w:rPr>
                <w:rFonts w:ascii="Arial" w:hAnsi="Arial" w:cs="Arial"/>
              </w:rPr>
              <w:t>biospecimens</w:t>
            </w:r>
            <w:proofErr w:type="spellEnd"/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Hybrid Approach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Other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2072A0" w:rsidRPr="0027315C" w:rsidRDefault="002072A0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Which of the following best describes your institution's </w:t>
      </w:r>
      <w:proofErr w:type="spellStart"/>
      <w:r w:rsidRPr="0027315C">
        <w:rPr>
          <w:rFonts w:ascii="Arial" w:hAnsi="Arial" w:cs="Arial"/>
        </w:rPr>
        <w:t>biospecimen</w:t>
      </w:r>
      <w:proofErr w:type="spellEnd"/>
      <w:r w:rsidRPr="0027315C">
        <w:rPr>
          <w:rFonts w:ascii="Arial" w:hAnsi="Arial" w:cs="Arial"/>
        </w:rPr>
        <w:t xml:space="preserve"> acquisition and banking consenting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proofErr w:type="gramStart"/>
      <w:r w:rsidRPr="0027315C">
        <w:rPr>
          <w:rFonts w:ascii="Arial" w:hAnsi="Arial" w:cs="Arial"/>
        </w:rPr>
        <w:t>procedures</w:t>
      </w:r>
      <w:proofErr w:type="gramEnd"/>
      <w:r w:rsidRPr="0027315C">
        <w:rPr>
          <w:rFonts w:ascii="Arial" w:hAnsi="Arial" w:cs="Arial"/>
        </w:rPr>
        <w:t>? (Pre-COVID-19 and COVID-19 Specific) Check all that apply.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59"/>
        <w:gridCol w:w="1890"/>
      </w:tblGrid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Pre-COVID-19</w:t>
            </w:r>
          </w:p>
        </w:tc>
        <w:tc>
          <w:tcPr>
            <w:tcW w:w="1890" w:type="dxa"/>
          </w:tcPr>
          <w:p w:rsidR="00736FDE" w:rsidRPr="0027315C" w:rsidRDefault="00736FDE" w:rsidP="00FB2450">
            <w:pPr>
              <w:pStyle w:val="ListParagraph"/>
              <w:autoSpaceDE w:val="0"/>
              <w:autoSpaceDN w:val="0"/>
              <w:adjustRightInd w:val="0"/>
              <w:ind w:left="0" w:firstLine="18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COVID-19 Specific</w:t>
            </w:r>
          </w:p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Individual, investigator-initiated protocols and consents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Enterprise approach for some but not all types of specimens (</w:t>
            </w:r>
            <w:proofErr w:type="spellStart"/>
            <w:r w:rsidRPr="0027315C">
              <w:rPr>
                <w:rFonts w:ascii="Arial" w:hAnsi="Arial" w:cs="Arial"/>
              </w:rPr>
              <w:t>eg</w:t>
            </w:r>
            <w:proofErr w:type="spellEnd"/>
            <w:r w:rsidRPr="0027315C">
              <w:rPr>
                <w:rFonts w:ascii="Arial" w:hAnsi="Arial" w:cs="Arial"/>
              </w:rPr>
              <w:t>, remnant surgical tissue)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 xml:space="preserve">Enterprise approach with standard SOPs for all </w:t>
            </w:r>
            <w:proofErr w:type="spellStart"/>
            <w:r w:rsidRPr="0027315C">
              <w:rPr>
                <w:rFonts w:ascii="Arial" w:hAnsi="Arial" w:cs="Arial"/>
              </w:rPr>
              <w:t>biospecimens</w:t>
            </w:r>
            <w:proofErr w:type="spellEnd"/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Hybrid Approach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6FDE" w:rsidRPr="0027315C" w:rsidTr="00FB2450">
        <w:trPr>
          <w:jc w:val="center"/>
        </w:trPr>
        <w:tc>
          <w:tcPr>
            <w:tcW w:w="4675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15C">
              <w:rPr>
                <w:rFonts w:ascii="Arial" w:hAnsi="Arial" w:cs="Arial"/>
              </w:rPr>
              <w:t>Other</w:t>
            </w:r>
          </w:p>
        </w:tc>
        <w:tc>
          <w:tcPr>
            <w:tcW w:w="1559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36FDE" w:rsidRPr="0027315C" w:rsidRDefault="00736FDE" w:rsidP="00FB24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6FDE" w:rsidRDefault="00736FDE" w:rsidP="00736FDE">
      <w:pPr>
        <w:adjustRightInd w:val="0"/>
        <w:rPr>
          <w:rFonts w:ascii="Arial" w:hAnsi="Arial" w:cs="Arial"/>
        </w:rPr>
      </w:pPr>
    </w:p>
    <w:p w:rsidR="00F04FCD" w:rsidRDefault="00F04FCD" w:rsidP="00736FDE">
      <w:pPr>
        <w:adjustRightInd w:val="0"/>
        <w:rPr>
          <w:rFonts w:ascii="Arial" w:hAnsi="Arial" w:cs="Arial"/>
        </w:rPr>
      </w:pPr>
    </w:p>
    <w:p w:rsidR="00F04FCD" w:rsidRDefault="00F04FCD" w:rsidP="00736FDE">
      <w:pPr>
        <w:adjustRightInd w:val="0"/>
        <w:rPr>
          <w:rFonts w:ascii="Arial" w:hAnsi="Arial" w:cs="Arial"/>
        </w:rPr>
      </w:pPr>
    </w:p>
    <w:p w:rsidR="00F04FCD" w:rsidRDefault="00F04FCD" w:rsidP="00736FDE">
      <w:pPr>
        <w:adjustRightInd w:val="0"/>
        <w:rPr>
          <w:rFonts w:ascii="Arial" w:hAnsi="Arial" w:cs="Arial"/>
        </w:rPr>
      </w:pPr>
    </w:p>
    <w:p w:rsidR="00F04FCD" w:rsidRPr="0027315C" w:rsidRDefault="00F04FCD" w:rsidP="00736FDE">
      <w:pPr>
        <w:adjustRightInd w:val="0"/>
        <w:rPr>
          <w:rFonts w:ascii="Arial" w:hAnsi="Arial" w:cs="Arial"/>
        </w:rPr>
      </w:pPr>
      <w:bookmarkStart w:id="0" w:name="_GoBack"/>
      <w:bookmarkEnd w:id="0"/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lastRenderedPageBreak/>
        <w:t xml:space="preserve">Which of the following describe changes made to your </w:t>
      </w:r>
      <w:proofErr w:type="spellStart"/>
      <w:r w:rsidRPr="0027315C">
        <w:rPr>
          <w:rFonts w:ascii="Arial" w:hAnsi="Arial" w:cs="Arial"/>
        </w:rPr>
        <w:t>biospecimen</w:t>
      </w:r>
      <w:proofErr w:type="spellEnd"/>
      <w:r w:rsidRPr="0027315C">
        <w:rPr>
          <w:rFonts w:ascii="Arial" w:hAnsi="Arial" w:cs="Arial"/>
        </w:rPr>
        <w:t xml:space="preserve"> acquisition and banking consenting procedures due to COVID-19? Check all that apply.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Continued with our pre-COVID-19 consenting procedures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Developed a coordinated consent for all types of COVID-19 specimens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Proactively prepared the consenting process for non-English speakers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Maintained a separation between specimens, clinical data, and permission for longitudinal re-contact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Developed a coordinated consenting process for specimen acquisition, linkage to detailed clinical data, and longitudinal follow-up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6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Did your institution develop special governance to help manage acquisition and allocation of COVID-19 related </w:t>
      </w:r>
      <w:proofErr w:type="spellStart"/>
      <w:r w:rsidRPr="0027315C">
        <w:rPr>
          <w:rFonts w:ascii="Arial" w:hAnsi="Arial" w:cs="Arial"/>
        </w:rPr>
        <w:t>biospecimens</w:t>
      </w:r>
      <w:proofErr w:type="spellEnd"/>
      <w:r w:rsidRPr="0027315C">
        <w:rPr>
          <w:rFonts w:ascii="Arial" w:hAnsi="Arial" w:cs="Arial"/>
        </w:rPr>
        <w:t>? Check all that apply.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5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Continued with our individual, investigator-initiated approach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5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Created a governance group, which has guided the acquisition of investigator-requested samples and helped to prioritize sample allocation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5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In addition to governance, we created a scientific advisory group to anticipate specimen needs and obtain them proactively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5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Which of the following group interests were prioritized when developing a governance and prioritization process to help balance internal vs. external requests for COVID-19 </w:t>
      </w:r>
      <w:proofErr w:type="spellStart"/>
      <w:r w:rsidRPr="0027315C">
        <w:rPr>
          <w:rFonts w:ascii="Arial" w:hAnsi="Arial" w:cs="Arial"/>
        </w:rPr>
        <w:t>biospecimens</w:t>
      </w:r>
      <w:proofErr w:type="spellEnd"/>
      <w:r w:rsidRPr="0027315C">
        <w:rPr>
          <w:rFonts w:ascii="Arial" w:hAnsi="Arial" w:cs="Arial"/>
        </w:rPr>
        <w:t>? Check all that apply.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4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Academic colleagues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4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Academic consortia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4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Industry collaborators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4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How did your institution support expanded demands for your biorepository activities to accommodate COVID-19 related research? Check all that apply.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3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Individual investigator grants and charges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3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Center grants and mechanisms, like the CTSA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3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Funds from the School of Medicine, Health System, other schools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3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Philanthropy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3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736FDE" w:rsidRPr="0027315C" w:rsidRDefault="00736FDE" w:rsidP="00736FDE">
      <w:pPr>
        <w:pStyle w:val="ListParagraph"/>
        <w:adjustRightInd w:val="0"/>
        <w:ind w:left="720" w:firstLine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What were the major obstacles that your institution encountered in enabling biorepository activities to support COVID-19 related research? Check all that apply.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2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IRB delays in approvals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2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Resistance from investigators wanting their own IRB protocol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2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Barriers in connecting </w:t>
      </w:r>
      <w:proofErr w:type="spellStart"/>
      <w:r w:rsidRPr="0027315C">
        <w:rPr>
          <w:rFonts w:ascii="Arial" w:hAnsi="Arial" w:cs="Arial"/>
        </w:rPr>
        <w:t>biospecimens</w:t>
      </w:r>
      <w:proofErr w:type="spellEnd"/>
      <w:r w:rsidRPr="0027315C">
        <w:rPr>
          <w:rFonts w:ascii="Arial" w:hAnsi="Arial" w:cs="Arial"/>
        </w:rPr>
        <w:t xml:space="preserve"> with detailed clinical data</w:t>
      </w:r>
    </w:p>
    <w:p w:rsidR="00736FDE" w:rsidRPr="0027315C" w:rsidRDefault="00736FDE" w:rsidP="00736FDE">
      <w:pPr>
        <w:pStyle w:val="ListParagraph"/>
        <w:widowControl/>
        <w:numPr>
          <w:ilvl w:val="0"/>
          <w:numId w:val="2"/>
        </w:numPr>
        <w:adjustRightInd w:val="0"/>
        <w:ind w:right="0"/>
        <w:contextualSpacing/>
        <w:rPr>
          <w:rFonts w:ascii="Arial" w:hAnsi="Arial" w:cs="Arial"/>
        </w:rPr>
      </w:pPr>
      <w:r w:rsidRPr="0027315C">
        <w:rPr>
          <w:rFonts w:ascii="Arial" w:hAnsi="Arial" w:cs="Arial"/>
        </w:rPr>
        <w:t>Other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What do you anticipate will be the long term impact of COVID-19 on biorepositories at your institution?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 xml:space="preserve">(Please consider the following) Do you anticipate that more resources will be allocated to </w:t>
      </w:r>
      <w:proofErr w:type="spellStart"/>
      <w:r w:rsidRPr="0027315C">
        <w:rPr>
          <w:rFonts w:ascii="Arial" w:hAnsi="Arial" w:cs="Arial"/>
        </w:rPr>
        <w:t>biobanking</w:t>
      </w:r>
      <w:proofErr w:type="spellEnd"/>
      <w:r w:rsidRPr="0027315C">
        <w:rPr>
          <w:rFonts w:ascii="Arial" w:hAnsi="Arial" w:cs="Arial"/>
        </w:rPr>
        <w:t xml:space="preserve"> than before? Will there be expanded use of e- or video-consent? Will more BSL2+ lab space be made available to biorepositories? Will there be changes in governance process? Do you expect any negative impact? Other?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Please provide any additional comments.</w:t>
      </w:r>
    </w:p>
    <w:p w:rsidR="00736FDE" w:rsidRPr="0027315C" w:rsidRDefault="00736FDE" w:rsidP="00736FDE">
      <w:pPr>
        <w:adjustRightInd w:val="0"/>
        <w:rPr>
          <w:rFonts w:ascii="Arial" w:hAnsi="Arial" w:cs="Arial"/>
        </w:rPr>
      </w:pPr>
      <w:r w:rsidRPr="0027315C">
        <w:rPr>
          <w:rFonts w:ascii="Arial" w:hAnsi="Arial" w:cs="Arial"/>
        </w:rPr>
        <w:t>(Please consider the following) What recruitment strategies were more effective in the COVID-19 context? What recruitment strategies were less effective in the COVID-19 context? What consent strategies were more effective in the COVID-19 context? What consent strategies were less effective in the COVID-19 context? Did you encounter patient-specific considerations (e.g., special populations)?</w:t>
      </w:r>
    </w:p>
    <w:p w:rsidR="00736FDE" w:rsidRPr="0027315C" w:rsidRDefault="00736FDE" w:rsidP="00B97624">
      <w:pPr>
        <w:tabs>
          <w:tab w:val="left" w:pos="821"/>
        </w:tabs>
        <w:rPr>
          <w:rFonts w:ascii="Arial" w:hAnsi="Arial" w:cs="Arial"/>
        </w:rPr>
      </w:pPr>
    </w:p>
    <w:p w:rsidR="00AD1F31" w:rsidRPr="0027315C" w:rsidRDefault="00AD1F31" w:rsidP="00AD1F31">
      <w:pPr>
        <w:pStyle w:val="BodyText"/>
        <w:ind w:left="0" w:right="110" w:firstLine="0"/>
        <w:rPr>
          <w:rFonts w:ascii="Arial" w:hAnsi="Arial" w:cs="Arial"/>
          <w:sz w:val="22"/>
          <w:szCs w:val="22"/>
        </w:rPr>
      </w:pPr>
    </w:p>
    <w:sectPr w:rsidR="00AD1F31" w:rsidRPr="0027315C" w:rsidSect="002072A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622"/>
    <w:multiLevelType w:val="hybridMultilevel"/>
    <w:tmpl w:val="2CD2BD64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778"/>
    <w:multiLevelType w:val="hybridMultilevel"/>
    <w:tmpl w:val="DB784CA8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2160"/>
    <w:multiLevelType w:val="hybridMultilevel"/>
    <w:tmpl w:val="1FBA686C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0039"/>
    <w:multiLevelType w:val="hybridMultilevel"/>
    <w:tmpl w:val="87D8FB72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B5C16"/>
    <w:multiLevelType w:val="hybridMultilevel"/>
    <w:tmpl w:val="23CCA186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5066"/>
    <w:multiLevelType w:val="hybridMultilevel"/>
    <w:tmpl w:val="3A960F40"/>
    <w:lvl w:ilvl="0" w:tplc="3EC46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3E20"/>
    <w:multiLevelType w:val="hybridMultilevel"/>
    <w:tmpl w:val="2D3A7E44"/>
    <w:lvl w:ilvl="0" w:tplc="742A126E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4E969A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252AFDC8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885A44FA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90769FF6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084C93D2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49BC13C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350C931E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68A635E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1BAA"/>
    <w:rsid w:val="001B1BAA"/>
    <w:rsid w:val="002072A0"/>
    <w:rsid w:val="0027315C"/>
    <w:rsid w:val="00292095"/>
    <w:rsid w:val="002E26CC"/>
    <w:rsid w:val="002F0F94"/>
    <w:rsid w:val="003C60D1"/>
    <w:rsid w:val="004502A8"/>
    <w:rsid w:val="00736FDE"/>
    <w:rsid w:val="009065E3"/>
    <w:rsid w:val="009623BF"/>
    <w:rsid w:val="00AD1F31"/>
    <w:rsid w:val="00B97624"/>
    <w:rsid w:val="00DA655C"/>
    <w:rsid w:val="00F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D828"/>
  <w15:docId w15:val="{946EF1B6-023B-45D4-8CF6-4B8A7694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right="1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6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D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D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DE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36FD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1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3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731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vey@ctsa-cl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Croker</cp:lastModifiedBy>
  <cp:revision>11</cp:revision>
  <dcterms:created xsi:type="dcterms:W3CDTF">2020-12-28T19:09:00Z</dcterms:created>
  <dcterms:modified xsi:type="dcterms:W3CDTF">2021-01-18T16:07:00Z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2020-12-28T00:00:00Z</vt:filetime>
  </property>
</Properties>
</file>