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3C7A2" w14:textId="77777777" w:rsidR="00371FF6" w:rsidRDefault="00371FF6" w:rsidP="00371FF6">
      <w:pPr>
        <w:pStyle w:val="Head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Cranfill et al. Supplemental Materials A</w:t>
      </w:r>
    </w:p>
    <w:p w14:paraId="50BE39B6" w14:textId="77777777" w:rsidR="00371FF6" w:rsidRPr="001842BB" w:rsidRDefault="00371FF6" w:rsidP="00371FF6">
      <w:pPr>
        <w:pStyle w:val="Header"/>
        <w:rPr>
          <w:rFonts w:ascii="Arial" w:hAnsi="Arial" w:cs="Arial"/>
          <w:b/>
        </w:rPr>
      </w:pPr>
      <w:r w:rsidRPr="001842BB">
        <w:rPr>
          <w:rFonts w:ascii="Arial" w:hAnsi="Arial" w:cs="Arial"/>
          <w:b/>
        </w:rPr>
        <w:t>2022 Duke ER&amp;R Program Course Objectives</w:t>
      </w:r>
    </w:p>
    <w:p w14:paraId="0DC9A962" w14:textId="77777777" w:rsidR="00371FF6" w:rsidRDefault="00371FF6">
      <w:bookmarkStart w:id="0" w:name="_GoBack"/>
      <w:bookmarkEnd w:id="0"/>
    </w:p>
    <w:tbl>
      <w:tblPr>
        <w:tblStyle w:val="PlainTable5"/>
        <w:tblW w:w="10440" w:type="dxa"/>
        <w:tblInd w:w="-540" w:type="dxa"/>
        <w:tblLook w:val="0420" w:firstRow="1" w:lastRow="0" w:firstColumn="0" w:lastColumn="0" w:noHBand="0" w:noVBand="1"/>
      </w:tblPr>
      <w:tblGrid>
        <w:gridCol w:w="2880"/>
        <w:gridCol w:w="180"/>
        <w:gridCol w:w="7380"/>
      </w:tblGrid>
      <w:tr w:rsidR="0017312D" w:rsidRPr="004C74DA" w14:paraId="00ED6FD5" w14:textId="77777777" w:rsidTr="00184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tcW w:w="10440" w:type="dxa"/>
            <w:gridSpan w:val="3"/>
            <w:hideMark/>
          </w:tcPr>
          <w:p w14:paraId="49B35C6C" w14:textId="77777777" w:rsidR="0017312D" w:rsidRPr="001842BB" w:rsidRDefault="0017312D" w:rsidP="00C72F4C">
            <w:pPr>
              <w:rPr>
                <w:rFonts w:ascii="Arial" w:hAnsi="Arial" w:cs="Arial"/>
                <w:b/>
                <w:bCs/>
                <w:sz w:val="24"/>
              </w:rPr>
            </w:pPr>
            <w:r w:rsidRPr="001842BB">
              <w:rPr>
                <w:rFonts w:ascii="Arial" w:hAnsi="Arial" w:cs="Arial"/>
                <w:b/>
                <w:bCs/>
                <w:i w:val="0"/>
                <w:sz w:val="24"/>
              </w:rPr>
              <w:t>Core Courses</w:t>
            </w:r>
            <w:r w:rsidRPr="001842BB">
              <w:rPr>
                <w:rFonts w:ascii="Arial" w:hAnsi="Arial" w:cs="Arial"/>
                <w:b/>
                <w:bCs/>
                <w:sz w:val="24"/>
              </w:rPr>
              <w:t xml:space="preserve"> (Participants Complete All)</w:t>
            </w:r>
          </w:p>
        </w:tc>
      </w:tr>
      <w:tr w:rsidR="001842BB" w:rsidRPr="004C74DA" w14:paraId="269E60AC" w14:textId="77777777" w:rsidTr="00184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tcW w:w="3060" w:type="dxa"/>
            <w:gridSpan w:val="2"/>
          </w:tcPr>
          <w:p w14:paraId="2F05BDBE" w14:textId="77777777" w:rsidR="001842BB" w:rsidRPr="001842BB" w:rsidRDefault="001842BB" w:rsidP="00C72F4C">
            <w:pPr>
              <w:rPr>
                <w:rFonts w:ascii="Arial" w:hAnsi="Arial" w:cs="Arial"/>
                <w:b/>
                <w:bCs/>
              </w:rPr>
            </w:pPr>
            <w:r w:rsidRPr="001842BB">
              <w:rPr>
                <w:rFonts w:ascii="Arial" w:hAnsi="Arial" w:cs="Arial"/>
                <w:b/>
                <w:bCs/>
              </w:rPr>
              <w:t>Course</w:t>
            </w:r>
          </w:p>
        </w:tc>
        <w:tc>
          <w:tcPr>
            <w:tcW w:w="7380" w:type="dxa"/>
          </w:tcPr>
          <w:p w14:paraId="7D75ADED" w14:textId="4E682B09" w:rsidR="001842BB" w:rsidRPr="001842BB" w:rsidRDefault="001842BB" w:rsidP="00C72F4C">
            <w:pPr>
              <w:rPr>
                <w:rFonts w:ascii="Arial" w:hAnsi="Arial" w:cs="Arial"/>
                <w:b/>
                <w:bCs/>
              </w:rPr>
            </w:pPr>
            <w:r w:rsidRPr="001842BB">
              <w:rPr>
                <w:rFonts w:ascii="Arial" w:hAnsi="Arial" w:cs="Arial"/>
                <w:b/>
                <w:bCs/>
              </w:rPr>
              <w:t>Objectives</w:t>
            </w:r>
          </w:p>
        </w:tc>
      </w:tr>
      <w:tr w:rsidR="0017312D" w:rsidRPr="00D24429" w14:paraId="53B4F6A7" w14:textId="77777777" w:rsidTr="001842BB">
        <w:trPr>
          <w:trHeight w:val="378"/>
        </w:trPr>
        <w:tc>
          <w:tcPr>
            <w:tcW w:w="2880" w:type="dxa"/>
            <w:hideMark/>
          </w:tcPr>
          <w:p w14:paraId="2FE7F4A1" w14:textId="77777777" w:rsidR="0017312D" w:rsidRPr="001842BB" w:rsidRDefault="0017312D" w:rsidP="00C72F4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Just Ask: Equity and Diversity in Clinical Research</w:t>
            </w:r>
          </w:p>
          <w:p w14:paraId="70A08B72" w14:textId="77777777" w:rsidR="0017312D" w:rsidRPr="001842BB" w:rsidRDefault="0017312D" w:rsidP="00C72F4C">
            <w:pPr>
              <w:spacing w:after="160" w:line="259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842BB">
              <w:rPr>
                <w:rFonts w:ascii="Arial" w:hAnsi="Arial" w:cs="Arial"/>
                <w:i/>
                <w:sz w:val="18"/>
                <w:szCs w:val="18"/>
              </w:rPr>
              <w:t>Online Pre-Learning Module: Just Ask: Intro to Equity and Diversity in Clinical Research</w:t>
            </w:r>
          </w:p>
        </w:tc>
        <w:tc>
          <w:tcPr>
            <w:tcW w:w="7560" w:type="dxa"/>
            <w:gridSpan w:val="2"/>
          </w:tcPr>
          <w:p w14:paraId="5A127A47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="Times New Roman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 xml:space="preserve">Define health disparity </w:t>
            </w:r>
          </w:p>
          <w:p w14:paraId="11E9E092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 xml:space="preserve">Define health equity </w:t>
            </w:r>
          </w:p>
          <w:p w14:paraId="5458EE4B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 xml:space="preserve">Discuss what keeps diverse populations from accessing clinical research opportunities </w:t>
            </w:r>
          </w:p>
          <w:p w14:paraId="72BAA85B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rPr>
                <w:rFonts w:ascii="Arial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Describe your role in promoting diversity in clinical research</w:t>
            </w:r>
          </w:p>
          <w:p w14:paraId="7DD9A796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Identify your own implicit biases</w:t>
            </w:r>
          </w:p>
          <w:p w14:paraId="21FF2180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Recognize how bias impacts recruitment and engagement in clinical research</w:t>
            </w:r>
          </w:p>
        </w:tc>
      </w:tr>
      <w:tr w:rsidR="0017312D" w:rsidRPr="00D24429" w14:paraId="0C8397C5" w14:textId="77777777" w:rsidTr="00184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6"/>
        </w:trPr>
        <w:tc>
          <w:tcPr>
            <w:tcW w:w="2880" w:type="dxa"/>
            <w:hideMark/>
          </w:tcPr>
          <w:p w14:paraId="74E6E69C" w14:textId="3544FDB0" w:rsidR="0017312D" w:rsidRPr="001842BB" w:rsidRDefault="0017312D" w:rsidP="00C72F4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Clinical Research Recruitment, Regulations, Best Practices, and Tools</w:t>
            </w:r>
            <w:r w:rsidRPr="001842BB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7560" w:type="dxa"/>
            <w:gridSpan w:val="2"/>
          </w:tcPr>
          <w:p w14:paraId="5929E68E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="Times New Roman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Discuss Duke policies related to recruitment and engagement</w:t>
            </w:r>
          </w:p>
          <w:p w14:paraId="377EC767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rPr>
                <w:rFonts w:ascii="Arial" w:eastAsia="Times New Roman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Recognize the importance of planning for recruitment</w:t>
            </w:r>
          </w:p>
          <w:p w14:paraId="15B490E3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="Times New Roman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Recognize the process for obtaining IRB approval for recruitment plans and materials</w:t>
            </w:r>
          </w:p>
          <w:p w14:paraId="4B271F78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="Times New Roman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Recall Duke Health branding requirements for materials and ads</w:t>
            </w:r>
          </w:p>
          <w:p w14:paraId="36EF119D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="Times New Roman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Use Maestro Care tools to identify eligible participants</w:t>
            </w:r>
          </w:p>
        </w:tc>
      </w:tr>
      <w:tr w:rsidR="0017312D" w:rsidRPr="00D24429" w14:paraId="4B30C11F" w14:textId="77777777" w:rsidTr="001842BB">
        <w:trPr>
          <w:trHeight w:val="18"/>
        </w:trPr>
        <w:tc>
          <w:tcPr>
            <w:tcW w:w="2880" w:type="dxa"/>
            <w:hideMark/>
          </w:tcPr>
          <w:p w14:paraId="2F620AFA" w14:textId="77777777" w:rsidR="0017312D" w:rsidRPr="001842BB" w:rsidRDefault="0017312D" w:rsidP="00C72F4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Smarter to be Understood: Improving Readability</w:t>
            </w:r>
          </w:p>
          <w:p w14:paraId="5F4BEB51" w14:textId="210BEB6D" w:rsidR="0017312D" w:rsidRPr="001842BB" w:rsidRDefault="0017312D" w:rsidP="00C72F4C">
            <w:pPr>
              <w:spacing w:after="160" w:line="259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842BB">
              <w:rPr>
                <w:rFonts w:ascii="Arial" w:hAnsi="Arial" w:cs="Arial"/>
                <w:i/>
                <w:sz w:val="18"/>
                <w:szCs w:val="18"/>
              </w:rPr>
              <w:t>Online Pre-Learning Module: Readability Fundamentals + Participant Facing Engagement Materials</w:t>
            </w:r>
          </w:p>
        </w:tc>
        <w:tc>
          <w:tcPr>
            <w:tcW w:w="7560" w:type="dxa"/>
            <w:gridSpan w:val="2"/>
          </w:tcPr>
          <w:p w14:paraId="7E8F5BBD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Define readability and health literacy</w:t>
            </w:r>
          </w:p>
          <w:p w14:paraId="5CBF4F47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 xml:space="preserve">Apply readability foundations to produce materials potential participants can understand  </w:t>
            </w:r>
          </w:p>
          <w:p w14:paraId="32514D1B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Identify ways to assess readability and confirm understanding</w:t>
            </w:r>
          </w:p>
          <w:p w14:paraId="7407D760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Recognize the importance of health literacy, readability and inclusivity in today’s scientific climate </w:t>
            </w:r>
          </w:p>
          <w:p w14:paraId="6BDE8485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Use available tools to perform a readability analysis of engagement materials</w:t>
            </w:r>
          </w:p>
          <w:p w14:paraId="528ECBE4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Recognize tools at Duke to develop lay-friendly materials</w:t>
            </w:r>
          </w:p>
        </w:tc>
      </w:tr>
      <w:tr w:rsidR="0017312D" w:rsidRPr="00D24429" w14:paraId="51BD080C" w14:textId="77777777" w:rsidTr="00184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2880" w:type="dxa"/>
            <w:hideMark/>
          </w:tcPr>
          <w:p w14:paraId="286D8D31" w14:textId="77777777" w:rsidR="0017312D" w:rsidRPr="001842BB" w:rsidRDefault="0017312D" w:rsidP="00C72F4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Active Listening to Enhance Respect and Awareness of Participant Perspectives</w:t>
            </w:r>
          </w:p>
        </w:tc>
        <w:tc>
          <w:tcPr>
            <w:tcW w:w="7560" w:type="dxa"/>
            <w:gridSpan w:val="2"/>
          </w:tcPr>
          <w:p w14:paraId="0DCE5CDB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Define active listening</w:t>
            </w:r>
          </w:p>
          <w:p w14:paraId="40CCFF0C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 xml:space="preserve">Recognize the importance of active listening and how it can lead to both respectful and aware engagement and recruitment practices </w:t>
            </w:r>
          </w:p>
          <w:p w14:paraId="13613FC3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Identify strategies to build your capacity for hearing and respecting others</w:t>
            </w:r>
          </w:p>
          <w:p w14:paraId="14D7CB7F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Recognize why listening is an important patient-centered engagement approach</w:t>
            </w:r>
          </w:p>
          <w:p w14:paraId="35A68EB2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Identify ways to shift your lens and consider other perspectives</w:t>
            </w:r>
          </w:p>
        </w:tc>
      </w:tr>
      <w:tr w:rsidR="0017312D" w:rsidRPr="00D24429" w14:paraId="4807EAFB" w14:textId="77777777" w:rsidTr="001842BB">
        <w:trPr>
          <w:trHeight w:val="584"/>
        </w:trPr>
        <w:tc>
          <w:tcPr>
            <w:tcW w:w="2880" w:type="dxa"/>
            <w:hideMark/>
          </w:tcPr>
          <w:p w14:paraId="5BEA95D7" w14:textId="77777777" w:rsidR="0017312D" w:rsidRPr="001842BB" w:rsidRDefault="0017312D" w:rsidP="00C72F4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Using Social Marketing Principles to Design Your Engagement Strategy</w:t>
            </w:r>
          </w:p>
        </w:tc>
        <w:tc>
          <w:tcPr>
            <w:tcW w:w="7560" w:type="dxa"/>
            <w:gridSpan w:val="2"/>
          </w:tcPr>
          <w:p w14:paraId="51833F02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 xml:space="preserve">Define social marketing </w:t>
            </w:r>
          </w:p>
          <w:p w14:paraId="33150AC4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 xml:space="preserve">Describe how evidence-based social marketing can be used to develop engagement and recruitment materials and strategies </w:t>
            </w:r>
          </w:p>
          <w:p w14:paraId="494ACF47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Identify strategies to recognize your audience and recruitment strategies that will resonate with them</w:t>
            </w:r>
          </w:p>
          <w:p w14:paraId="55FEBAF9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spacing w:line="257" w:lineRule="auto"/>
              <w:ind w:left="255" w:hanging="180"/>
              <w:textAlignment w:val="baseline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Discuss how formative research can help reach your audience</w:t>
            </w:r>
          </w:p>
          <w:p w14:paraId="2857B6AE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eastAsiaTheme="minorEastAsia" w:hAnsi="Arial" w:cs="Arial"/>
                <w:color w:val="121212"/>
                <w:sz w:val="18"/>
                <w:szCs w:val="18"/>
              </w:rPr>
              <w:t>Describe the importance of tracking implementation and assessing outcomes of a recruitment strategy</w:t>
            </w:r>
          </w:p>
        </w:tc>
      </w:tr>
      <w:tr w:rsidR="0017312D" w:rsidRPr="00D24429" w14:paraId="02A89869" w14:textId="77777777" w:rsidTr="00184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2880" w:type="dxa"/>
            <w:hideMark/>
          </w:tcPr>
          <w:p w14:paraId="72CE7ABE" w14:textId="58424D45" w:rsidR="0017312D" w:rsidRPr="001842BB" w:rsidRDefault="0017312D" w:rsidP="00C72F4C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Building Trust and Partnerships</w:t>
            </w:r>
          </w:p>
          <w:p w14:paraId="7647C9E0" w14:textId="77777777" w:rsidR="0017312D" w:rsidRPr="001842BB" w:rsidRDefault="0017312D" w:rsidP="00C72F4C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  <w:p w14:paraId="3B188425" w14:textId="029B4050" w:rsidR="0017312D" w:rsidRPr="001842BB" w:rsidRDefault="0017312D" w:rsidP="00C72F4C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0" w:type="dxa"/>
            <w:gridSpan w:val="2"/>
          </w:tcPr>
          <w:p w14:paraId="36925D54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sz w:val="18"/>
                <w:szCs w:val="18"/>
              </w:rPr>
            </w:pPr>
            <w:r w:rsidRPr="001842BB">
              <w:rPr>
                <w:rFonts w:ascii="Arial" w:eastAsia="Calibri" w:hAnsi="Arial" w:cs="Arial"/>
                <w:color w:val="121212"/>
                <w:sz w:val="18"/>
                <w:szCs w:val="18"/>
              </w:rPr>
              <w:t xml:space="preserve">Define trust and trustworthiness </w:t>
            </w:r>
            <w:r w:rsidRPr="001842B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14:paraId="281329D9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sz w:val="18"/>
                <w:szCs w:val="18"/>
              </w:rPr>
            </w:pPr>
            <w:r w:rsidRPr="001842BB">
              <w:rPr>
                <w:rFonts w:ascii="Arial" w:eastAsia="Calibri" w:hAnsi="Arial" w:cs="Arial"/>
                <w:color w:val="121212"/>
                <w:sz w:val="18"/>
                <w:szCs w:val="18"/>
              </w:rPr>
              <w:t xml:space="preserve">Recognize the importance of trust between study team and participants  </w:t>
            </w:r>
            <w:r w:rsidRPr="001842B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14:paraId="02392481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textAlignment w:val="baseline"/>
              <w:rPr>
                <w:rFonts w:ascii="Arial" w:eastAsiaTheme="minorEastAsia" w:hAnsi="Arial" w:cs="Arial"/>
                <w:sz w:val="18"/>
                <w:szCs w:val="18"/>
              </w:rPr>
            </w:pPr>
            <w:r w:rsidRPr="001842BB">
              <w:rPr>
                <w:rFonts w:ascii="Arial" w:eastAsia="Calibri" w:hAnsi="Arial" w:cs="Arial"/>
                <w:color w:val="121212"/>
                <w:sz w:val="18"/>
                <w:szCs w:val="18"/>
              </w:rPr>
              <w:t>Discuss strategies for ensuring positive research interactions</w:t>
            </w:r>
            <w:r w:rsidRPr="001842B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Pr="001842B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14:paraId="653A24F4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eastAsia="Calibri" w:hAnsi="Arial" w:cs="Arial"/>
                <w:color w:val="121212"/>
                <w:sz w:val="18"/>
                <w:szCs w:val="18"/>
              </w:rPr>
              <w:t>Identify strategies for building trust with the community at large</w:t>
            </w:r>
          </w:p>
        </w:tc>
      </w:tr>
      <w:tr w:rsidR="0017312D" w:rsidRPr="00D24429" w14:paraId="7C627E93" w14:textId="77777777" w:rsidTr="001842BB">
        <w:trPr>
          <w:trHeight w:val="18"/>
        </w:trPr>
        <w:tc>
          <w:tcPr>
            <w:tcW w:w="2880" w:type="dxa"/>
            <w:hideMark/>
          </w:tcPr>
          <w:p w14:paraId="18EBB09D" w14:textId="77777777" w:rsidR="0017312D" w:rsidRPr="001842BB" w:rsidRDefault="0017312D" w:rsidP="00C72F4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Retention: Challenges and Opportunities</w:t>
            </w:r>
          </w:p>
          <w:p w14:paraId="24E340EB" w14:textId="604C10C3" w:rsidR="0017312D" w:rsidRPr="001842BB" w:rsidRDefault="0017312D" w:rsidP="00C72F4C">
            <w:pPr>
              <w:spacing w:after="160" w:line="259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842BB">
              <w:rPr>
                <w:rFonts w:ascii="Arial" w:hAnsi="Arial" w:cs="Arial"/>
                <w:i/>
                <w:sz w:val="18"/>
                <w:szCs w:val="18"/>
              </w:rPr>
              <w:t>Online Pre-Learning Module: Strategies to Support Retention of Clinical Research Participants</w:t>
            </w:r>
          </w:p>
        </w:tc>
        <w:tc>
          <w:tcPr>
            <w:tcW w:w="7560" w:type="dxa"/>
            <w:gridSpan w:val="2"/>
          </w:tcPr>
          <w:p w14:paraId="3D3E4599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255" w:hanging="180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hAnsi="Arial" w:cs="Arial"/>
                <w:color w:val="121212"/>
                <w:sz w:val="18"/>
                <w:szCs w:val="18"/>
              </w:rPr>
              <w:t>Describe the importance of strong retention practices</w:t>
            </w:r>
          </w:p>
          <w:p w14:paraId="1900CA56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rPr>
                <w:rFonts w:ascii="Arial" w:eastAsiaTheme="minorEastAsia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Set study expectations and explain them clearly to support retention</w:t>
            </w:r>
          </w:p>
          <w:p w14:paraId="4E5F1138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hAnsi="Arial" w:cs="Arial"/>
                <w:color w:val="121212"/>
                <w:sz w:val="18"/>
                <w:szCs w:val="18"/>
              </w:rPr>
              <w:t>Discuss strategies for relationship-building to support retention</w:t>
            </w:r>
            <w:r w:rsidRPr="001842B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024723A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rPr>
                <w:rFonts w:ascii="Arial" w:eastAsiaTheme="minorEastAsia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hAnsi="Arial" w:cs="Arial"/>
                <w:color w:val="121212"/>
                <w:sz w:val="18"/>
                <w:szCs w:val="18"/>
              </w:rPr>
              <w:t>Identify ways to assess continual participant interest in a study</w:t>
            </w:r>
          </w:p>
          <w:p w14:paraId="013EEF98" w14:textId="77777777" w:rsidR="0017312D" w:rsidRPr="001842BB" w:rsidRDefault="0017312D" w:rsidP="0017312D">
            <w:pPr>
              <w:pStyle w:val="ListParagraph"/>
              <w:numPr>
                <w:ilvl w:val="0"/>
                <w:numId w:val="2"/>
              </w:numPr>
              <w:ind w:left="255" w:hanging="180"/>
              <w:rPr>
                <w:rFonts w:ascii="Arial" w:eastAsiaTheme="minorEastAsia" w:hAnsi="Arial" w:cs="Arial"/>
                <w:sz w:val="18"/>
                <w:szCs w:val="18"/>
              </w:rPr>
            </w:pPr>
            <w:r w:rsidRPr="001842BB">
              <w:rPr>
                <w:rFonts w:ascii="Arial" w:eastAsia="Calibri" w:hAnsi="Arial" w:cs="Arial"/>
                <w:color w:val="121212"/>
                <w:sz w:val="18"/>
                <w:szCs w:val="18"/>
              </w:rPr>
              <w:t>Recognize ways to discuss the importance of study continuation without coercion</w:t>
            </w:r>
          </w:p>
          <w:p w14:paraId="667A497F" w14:textId="77777777" w:rsidR="0017312D" w:rsidRPr="001842BB" w:rsidRDefault="0017312D" w:rsidP="00C72F4C">
            <w:pPr>
              <w:ind w:left="255" w:hanging="18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3B6E53" w14:textId="03476A9E" w:rsidR="009E1053" w:rsidRDefault="009815CF"/>
    <w:tbl>
      <w:tblPr>
        <w:tblStyle w:val="PlainTable5"/>
        <w:tblW w:w="10440" w:type="dxa"/>
        <w:tblInd w:w="-540" w:type="dxa"/>
        <w:tblLook w:val="0420" w:firstRow="1" w:lastRow="0" w:firstColumn="0" w:lastColumn="0" w:noHBand="0" w:noVBand="1"/>
      </w:tblPr>
      <w:tblGrid>
        <w:gridCol w:w="2880"/>
        <w:gridCol w:w="7560"/>
      </w:tblGrid>
      <w:tr w:rsidR="001842BB" w:rsidRPr="001842BB" w14:paraId="2BE95251" w14:textId="77777777" w:rsidTr="002B6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"/>
        </w:trPr>
        <w:tc>
          <w:tcPr>
            <w:tcW w:w="10440" w:type="dxa"/>
            <w:gridSpan w:val="2"/>
            <w:hideMark/>
          </w:tcPr>
          <w:p w14:paraId="456C5799" w14:textId="77777777" w:rsidR="001842BB" w:rsidRPr="001842BB" w:rsidRDefault="001842BB" w:rsidP="001842BB">
            <w:pPr>
              <w:rPr>
                <w:rFonts w:ascii="Arial" w:hAnsi="Arial" w:cs="Arial"/>
                <w:b/>
                <w:bCs/>
                <w:i w:val="0"/>
                <w:iCs w:val="0"/>
              </w:rPr>
            </w:pPr>
          </w:p>
          <w:p w14:paraId="686954DB" w14:textId="77777777" w:rsidR="001842BB" w:rsidRPr="001842BB" w:rsidRDefault="001842BB" w:rsidP="002B665A">
            <w:pPr>
              <w:ind w:left="255" w:hanging="180"/>
              <w:rPr>
                <w:rFonts w:ascii="Arial" w:hAnsi="Arial" w:cs="Arial"/>
                <w:b/>
                <w:bCs/>
                <w:i w:val="0"/>
                <w:iCs w:val="0"/>
              </w:rPr>
            </w:pPr>
            <w:r w:rsidRPr="001842BB">
              <w:rPr>
                <w:rFonts w:ascii="Arial" w:hAnsi="Arial" w:cs="Arial"/>
                <w:b/>
                <w:bCs/>
              </w:rPr>
              <w:t>Elective Courses (Participants Choose 3)</w:t>
            </w:r>
          </w:p>
        </w:tc>
      </w:tr>
      <w:tr w:rsidR="001842BB" w:rsidRPr="001842BB" w14:paraId="0F2FD303" w14:textId="77777777" w:rsidTr="00184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tcW w:w="2880" w:type="dxa"/>
          </w:tcPr>
          <w:p w14:paraId="12416458" w14:textId="77777777" w:rsidR="001842BB" w:rsidRPr="001842BB" w:rsidRDefault="001842BB" w:rsidP="002B665A">
            <w:pPr>
              <w:ind w:left="255" w:hanging="180"/>
              <w:rPr>
                <w:rFonts w:ascii="Arial" w:eastAsiaTheme="majorEastAsia" w:hAnsi="Arial" w:cs="Arial"/>
                <w:b/>
                <w:bCs/>
                <w:i/>
                <w:iCs/>
                <w:sz w:val="26"/>
              </w:rPr>
            </w:pPr>
            <w:r w:rsidRPr="001842BB">
              <w:rPr>
                <w:rFonts w:ascii="Arial" w:hAnsi="Arial" w:cs="Arial"/>
                <w:b/>
                <w:bCs/>
              </w:rPr>
              <w:t>Course</w:t>
            </w:r>
          </w:p>
        </w:tc>
        <w:tc>
          <w:tcPr>
            <w:tcW w:w="7560" w:type="dxa"/>
          </w:tcPr>
          <w:p w14:paraId="3107B176" w14:textId="128F7642" w:rsidR="001842BB" w:rsidRPr="001842BB" w:rsidRDefault="001842BB" w:rsidP="002B665A">
            <w:pPr>
              <w:ind w:left="255" w:hanging="180"/>
              <w:rPr>
                <w:rFonts w:ascii="Arial" w:eastAsiaTheme="majorEastAsia" w:hAnsi="Arial" w:cs="Arial"/>
                <w:b/>
                <w:bCs/>
                <w:iCs/>
              </w:rPr>
            </w:pPr>
            <w:r w:rsidRPr="001842BB">
              <w:rPr>
                <w:rFonts w:ascii="Arial" w:eastAsiaTheme="majorEastAsia" w:hAnsi="Arial" w:cs="Arial"/>
                <w:b/>
                <w:bCs/>
                <w:iCs/>
              </w:rPr>
              <w:t>Objectives</w:t>
            </w:r>
          </w:p>
        </w:tc>
      </w:tr>
      <w:tr w:rsidR="001842BB" w:rsidRPr="001842BB" w14:paraId="37FB64F1" w14:textId="77777777" w:rsidTr="002B665A">
        <w:trPr>
          <w:trHeight w:val="18"/>
        </w:trPr>
        <w:tc>
          <w:tcPr>
            <w:tcW w:w="2880" w:type="dxa"/>
            <w:hideMark/>
          </w:tcPr>
          <w:p w14:paraId="38BED715" w14:textId="77777777" w:rsidR="001842BB" w:rsidRPr="001842BB" w:rsidRDefault="001842BB" w:rsidP="002B665A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Principles and Best Practices of Stakeholder Engagement</w:t>
            </w:r>
          </w:p>
          <w:p w14:paraId="0C4E14ED" w14:textId="77777777" w:rsidR="001842BB" w:rsidRPr="001842BB" w:rsidRDefault="001842BB" w:rsidP="002B665A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  <w:p w14:paraId="2A8588D6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i/>
                <w:sz w:val="18"/>
                <w:szCs w:val="18"/>
              </w:rPr>
              <w:t>Online Pre-Learning Module: Community &amp; Stakeholder Engagement</w:t>
            </w:r>
          </w:p>
        </w:tc>
        <w:tc>
          <w:tcPr>
            <w:tcW w:w="7560" w:type="dxa"/>
          </w:tcPr>
          <w:p w14:paraId="5FDF512F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lastRenderedPageBreak/>
              <w:t xml:space="preserve">Recognize fundamental principles and practices for clinical research stakeholder engagement </w:t>
            </w:r>
          </w:p>
          <w:p w14:paraId="153A50F1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lastRenderedPageBreak/>
              <w:t xml:space="preserve">Identify various stakeholder engagement strategies for clinical research </w:t>
            </w:r>
          </w:p>
          <w:p w14:paraId="793FF15C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Describe how to identify stakeholders for a given study</w:t>
            </w:r>
          </w:p>
          <w:p w14:paraId="251B3F06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Discuss stakeholder engagement in the design and implementation of engagement, recruitment and retention strategies and materials</w:t>
            </w:r>
          </w:p>
          <w:p w14:paraId="214D9289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Describe Duke tools and resources to help you identify and engage with stakeholders</w:t>
            </w:r>
          </w:p>
        </w:tc>
      </w:tr>
      <w:tr w:rsidR="001842BB" w:rsidRPr="001842BB" w14:paraId="65106989" w14:textId="77777777" w:rsidTr="002B6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tcW w:w="2880" w:type="dxa"/>
            <w:hideMark/>
          </w:tcPr>
          <w:p w14:paraId="425C3CDB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lastRenderedPageBreak/>
              <w:t>Social Media: Is it right for your research?</w:t>
            </w:r>
          </w:p>
          <w:p w14:paraId="67976616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i/>
                <w:sz w:val="18"/>
                <w:szCs w:val="18"/>
              </w:rPr>
              <w:t>Online Pre-Learning Module: Using Social Media for Study Recruitment: Questions to Consider</w:t>
            </w:r>
          </w:p>
        </w:tc>
        <w:tc>
          <w:tcPr>
            <w:tcW w:w="7560" w:type="dxa"/>
          </w:tcPr>
          <w:p w14:paraId="3634539A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textAlignment w:val="baseline"/>
              <w:rPr>
                <w:rFonts w:ascii="Arial" w:eastAsia="Times New Roman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Describe how social media is used for recruitment in research studies </w:t>
            </w:r>
          </w:p>
          <w:p w14:paraId="10780D38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Identify questions to determine whether social media is right for a study</w:t>
            </w:r>
          </w:p>
          <w:p w14:paraId="689FE1C0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 xml:space="preserve">Recognize different platforms and the benefits of using them as a recruitment option </w:t>
            </w:r>
          </w:p>
          <w:p w14:paraId="58A47CBB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textAlignment w:val="baseline"/>
              <w:rPr>
                <w:rFonts w:ascii="Arial" w:eastAsia="Times New Roman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Discuss how social media ad campaigns work and how to leverage existing Duke channels</w:t>
            </w:r>
          </w:p>
          <w:p w14:paraId="3952070C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textAlignment w:val="baseline"/>
              <w:rPr>
                <w:rFonts w:ascii="Arial" w:eastAsia="Times New Roman" w:hAnsi="Arial" w:cs="Arial"/>
                <w:color w:val="121212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 xml:space="preserve">Recognize the components of a social media marketing plan </w:t>
            </w:r>
          </w:p>
          <w:p w14:paraId="1AE52D88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eastAsia="Times New Roman" w:hAnsi="Arial" w:cs="Arial"/>
                <w:color w:val="121212"/>
                <w:sz w:val="18"/>
                <w:szCs w:val="18"/>
              </w:rPr>
              <w:t>Find Duke guidelines, policies, procedures, and resources for marketing studies on social media</w:t>
            </w:r>
          </w:p>
        </w:tc>
      </w:tr>
      <w:tr w:rsidR="001842BB" w:rsidRPr="001842BB" w14:paraId="1CCBD875" w14:textId="77777777" w:rsidTr="002B665A">
        <w:trPr>
          <w:trHeight w:val="18"/>
        </w:trPr>
        <w:tc>
          <w:tcPr>
            <w:tcW w:w="2880" w:type="dxa"/>
            <w:hideMark/>
          </w:tcPr>
          <w:p w14:paraId="41AD9046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Community Engaged Research Initiatives (CEnR)</w:t>
            </w:r>
            <w:r w:rsidRPr="001842BB">
              <w:rPr>
                <w:rFonts w:ascii="Arial" w:hAnsi="Arial" w:cs="Arial"/>
                <w:b/>
                <w:sz w:val="18"/>
                <w:szCs w:val="18"/>
              </w:rPr>
              <w:t>**</w:t>
            </w:r>
          </w:p>
          <w:p w14:paraId="3A84AFA9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i/>
                <w:sz w:val="18"/>
                <w:szCs w:val="18"/>
              </w:rPr>
              <w:t>Online Pre-Learning Module: Community &amp; Stakeholder Engagement</w:t>
            </w:r>
          </w:p>
        </w:tc>
        <w:tc>
          <w:tcPr>
            <w:tcW w:w="7560" w:type="dxa"/>
          </w:tcPr>
          <w:p w14:paraId="0F53C542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Define Community, Community Engagement, and Community Engaged Research (CEnR)</w:t>
            </w:r>
          </w:p>
          <w:p w14:paraId="1BC326CE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Describe the Principles of CEnR</w:t>
            </w:r>
          </w:p>
          <w:p w14:paraId="28B47EA9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 xml:space="preserve">Describe why CEnR is important to addressing local priorities and improving well-being </w:t>
            </w:r>
          </w:p>
          <w:p w14:paraId="2F6BDA5C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 xml:space="preserve">Describe how CEnR can address trust, increase diversity and inclusiveness, and improve equity </w:t>
            </w:r>
          </w:p>
          <w:p w14:paraId="57A4C167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Discuss the spectrum of community engagement in research</w:t>
            </w:r>
          </w:p>
          <w:p w14:paraId="669C7F48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 xml:space="preserve">Find tools and resources to help you engage with the community </w:t>
            </w:r>
          </w:p>
        </w:tc>
      </w:tr>
      <w:tr w:rsidR="001842BB" w:rsidRPr="001842BB" w14:paraId="29C68B37" w14:textId="77777777" w:rsidTr="002B6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tcW w:w="2880" w:type="dxa"/>
            <w:hideMark/>
          </w:tcPr>
          <w:p w14:paraId="533BB82D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Telling The Story of Your Research</w:t>
            </w:r>
          </w:p>
        </w:tc>
        <w:tc>
          <w:tcPr>
            <w:tcW w:w="7560" w:type="dxa"/>
          </w:tcPr>
          <w:p w14:paraId="35156E9D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Recognize opportunities to tell a story throughout different stages of a study</w:t>
            </w:r>
          </w:p>
          <w:p w14:paraId="124155D4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 xml:space="preserve">Recognize ways to communicate about research to a variety of audiences </w:t>
            </w:r>
          </w:p>
          <w:p w14:paraId="6F8662DB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 xml:space="preserve">Discuss strategies for making research inviting rather than overwhelming </w:t>
            </w:r>
          </w:p>
          <w:p w14:paraId="118B5848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Identify tools to develop lay summaries of study results</w:t>
            </w:r>
          </w:p>
        </w:tc>
      </w:tr>
      <w:tr w:rsidR="001842BB" w:rsidRPr="001842BB" w14:paraId="51A1191C" w14:textId="77777777" w:rsidTr="002B665A">
        <w:trPr>
          <w:trHeight w:val="18"/>
        </w:trPr>
        <w:tc>
          <w:tcPr>
            <w:tcW w:w="2880" w:type="dxa"/>
            <w:hideMark/>
          </w:tcPr>
          <w:p w14:paraId="40D77447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Engagement, Recruitment, and Retention on a Shoestring</w:t>
            </w:r>
          </w:p>
        </w:tc>
        <w:tc>
          <w:tcPr>
            <w:tcW w:w="7560" w:type="dxa"/>
          </w:tcPr>
          <w:p w14:paraId="2494A395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 xml:space="preserve">Identify and plan for the real costs of recruitment and retention </w:t>
            </w:r>
          </w:p>
          <w:p w14:paraId="75545228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Recognize ways to plan for recruitment and engagement with a limited budget</w:t>
            </w:r>
          </w:p>
          <w:p w14:paraId="3EE0D03A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Find tools and strategies for using your available recruitment budget</w:t>
            </w:r>
          </w:p>
        </w:tc>
      </w:tr>
      <w:tr w:rsidR="001842BB" w:rsidRPr="001842BB" w14:paraId="7F7D135C" w14:textId="77777777" w:rsidTr="002B6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tcW w:w="2880" w:type="dxa"/>
            <w:hideMark/>
          </w:tcPr>
          <w:p w14:paraId="2C4D316C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Remote Informed Consent: Design and Delivery Practices</w:t>
            </w:r>
          </w:p>
          <w:p w14:paraId="286DC571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i/>
                <w:sz w:val="18"/>
                <w:szCs w:val="18"/>
              </w:rPr>
              <w:t>Online Pre-Learning Module: Elements of Effective eConsent Design</w:t>
            </w:r>
          </w:p>
        </w:tc>
        <w:tc>
          <w:tcPr>
            <w:tcW w:w="7560" w:type="dxa"/>
          </w:tcPr>
          <w:p w14:paraId="163C454A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 xml:space="preserve">Recognize elements of effective eConsent design (cognitive load, multimedia, and interactivity) </w:t>
            </w:r>
          </w:p>
          <w:p w14:paraId="213AD511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 xml:space="preserve">Discuss components of user-centered design </w:t>
            </w:r>
          </w:p>
          <w:p w14:paraId="690CB4F4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Discuss social and cultural dynamics that are known to affect participant attitudes and preferences with respect to remote consent delivery</w:t>
            </w:r>
          </w:p>
          <w:p w14:paraId="2786F54B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Identify ways to effectively use REDCap to create an engaging, informative eConsent</w:t>
            </w:r>
          </w:p>
        </w:tc>
      </w:tr>
      <w:tr w:rsidR="001842BB" w:rsidRPr="001842BB" w14:paraId="0DDC2050" w14:textId="77777777" w:rsidTr="002B665A">
        <w:trPr>
          <w:trHeight w:val="18"/>
        </w:trPr>
        <w:tc>
          <w:tcPr>
            <w:tcW w:w="2880" w:type="dxa"/>
            <w:hideMark/>
          </w:tcPr>
          <w:p w14:paraId="7C5CBDCF" w14:textId="77777777" w:rsidR="001842BB" w:rsidRPr="001842BB" w:rsidRDefault="001842BB" w:rsidP="002B665A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5Ts: A Framework to Support Inclusion of Older Adults in Research</w:t>
            </w:r>
          </w:p>
        </w:tc>
        <w:tc>
          <w:tcPr>
            <w:tcW w:w="7560" w:type="dxa"/>
          </w:tcPr>
          <w:p w14:paraId="0CEAA51D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Discuss case examples related to recruiting older adults</w:t>
            </w:r>
          </w:p>
          <w:p w14:paraId="20CD0734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Recognize why it is difficult to recruit older adults and why they are a special population</w:t>
            </w:r>
          </w:p>
          <w:p w14:paraId="749A1C2C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Define a framework for supporting inclusion of older adults in research</w:t>
            </w:r>
          </w:p>
          <w:p w14:paraId="5737AC5C" w14:textId="77777777" w:rsidR="001842BB" w:rsidRPr="001842BB" w:rsidRDefault="001842BB" w:rsidP="002B665A">
            <w:pPr>
              <w:pStyle w:val="ListParagraph"/>
              <w:numPr>
                <w:ilvl w:val="0"/>
                <w:numId w:val="1"/>
              </w:numPr>
              <w:ind w:left="255" w:hanging="180"/>
              <w:rPr>
                <w:rFonts w:ascii="Arial" w:hAnsi="Arial" w:cs="Arial"/>
                <w:sz w:val="18"/>
                <w:szCs w:val="18"/>
              </w:rPr>
            </w:pPr>
            <w:r w:rsidRPr="001842BB">
              <w:rPr>
                <w:rFonts w:ascii="Arial" w:hAnsi="Arial" w:cs="Arial"/>
                <w:sz w:val="18"/>
                <w:szCs w:val="18"/>
              </w:rPr>
              <w:t>Identify ways to include older adults in your studies</w:t>
            </w:r>
          </w:p>
        </w:tc>
      </w:tr>
    </w:tbl>
    <w:p w14:paraId="65D1EA84" w14:textId="77777777" w:rsidR="001842BB" w:rsidRDefault="001842BB"/>
    <w:sectPr w:rsidR="00184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D870D" w14:textId="77777777" w:rsidR="009815CF" w:rsidRDefault="009815CF" w:rsidP="001842BB">
      <w:pPr>
        <w:spacing w:after="0" w:line="240" w:lineRule="auto"/>
      </w:pPr>
      <w:r>
        <w:separator/>
      </w:r>
    </w:p>
  </w:endnote>
  <w:endnote w:type="continuationSeparator" w:id="0">
    <w:p w14:paraId="24260087" w14:textId="77777777" w:rsidR="009815CF" w:rsidRDefault="009815CF" w:rsidP="00184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3165D" w14:textId="77777777" w:rsidR="009815CF" w:rsidRDefault="009815CF" w:rsidP="001842BB">
      <w:pPr>
        <w:spacing w:after="0" w:line="240" w:lineRule="auto"/>
      </w:pPr>
      <w:r>
        <w:separator/>
      </w:r>
    </w:p>
  </w:footnote>
  <w:footnote w:type="continuationSeparator" w:id="0">
    <w:p w14:paraId="684414C8" w14:textId="77777777" w:rsidR="009815CF" w:rsidRDefault="009815CF" w:rsidP="00184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5A8"/>
    <w:multiLevelType w:val="hybridMultilevel"/>
    <w:tmpl w:val="1034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025FEC"/>
    <w:multiLevelType w:val="hybridMultilevel"/>
    <w:tmpl w:val="6D945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2D"/>
    <w:rsid w:val="000C0EA9"/>
    <w:rsid w:val="0017312D"/>
    <w:rsid w:val="001842BB"/>
    <w:rsid w:val="00371FF6"/>
    <w:rsid w:val="0050682C"/>
    <w:rsid w:val="009815CF"/>
    <w:rsid w:val="009A73ED"/>
    <w:rsid w:val="00C06417"/>
    <w:rsid w:val="00E50EE9"/>
    <w:rsid w:val="00EF0932"/>
    <w:rsid w:val="00FD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59001"/>
  <w15:chartTrackingRefBased/>
  <w15:docId w15:val="{BDB4FEFB-6B46-405C-9A08-F117539A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1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1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7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31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312D"/>
    <w:rPr>
      <w:sz w:val="20"/>
      <w:szCs w:val="20"/>
    </w:rPr>
  </w:style>
  <w:style w:type="table" w:styleId="PlainTable5">
    <w:name w:val="Plain Table 5"/>
    <w:basedOn w:val="TableNormal"/>
    <w:uiPriority w:val="45"/>
    <w:rsid w:val="0017312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3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12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4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2BB"/>
  </w:style>
  <w:style w:type="paragraph" w:styleId="Footer">
    <w:name w:val="footer"/>
    <w:basedOn w:val="Normal"/>
    <w:link w:val="FooterChar"/>
    <w:uiPriority w:val="99"/>
    <w:unhideWhenUsed/>
    <w:rsid w:val="00184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Duke Health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Cranfill</dc:creator>
  <cp:keywords/>
  <dc:description/>
  <cp:lastModifiedBy>Jessica Cranfill</cp:lastModifiedBy>
  <cp:revision>5</cp:revision>
  <dcterms:created xsi:type="dcterms:W3CDTF">2022-03-22T13:15:00Z</dcterms:created>
  <dcterms:modified xsi:type="dcterms:W3CDTF">2022-04-29T16:15:00Z</dcterms:modified>
</cp:coreProperties>
</file>