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37134" w14:textId="0BB91548" w:rsidR="005607D0" w:rsidRPr="00507DB2" w:rsidRDefault="000425DF">
      <w:pPr>
        <w:rPr>
          <w:rFonts w:asciiTheme="majorBidi" w:hAnsiTheme="majorBidi" w:cstheme="majorBidi"/>
          <w:b/>
          <w:bCs/>
          <w:noProof w:val="0"/>
          <w:sz w:val="28"/>
          <w:szCs w:val="28"/>
          <w:lang w:val="en-GB"/>
        </w:rPr>
      </w:pPr>
      <w:r w:rsidRPr="00507DB2">
        <w:rPr>
          <w:rFonts w:asciiTheme="majorBidi" w:hAnsiTheme="majorBidi" w:cstheme="majorBidi"/>
          <w:b/>
          <w:bCs/>
          <w:noProof w:val="0"/>
          <w:sz w:val="28"/>
          <w:szCs w:val="28"/>
          <w:lang w:val="en-GB"/>
        </w:rPr>
        <w:t>Appendix</w:t>
      </w:r>
    </w:p>
    <w:p w14:paraId="5672127E" w14:textId="77777777" w:rsidR="00FF407A" w:rsidRPr="000034DD" w:rsidRDefault="00FF407A">
      <w:pPr>
        <w:rPr>
          <w:rFonts w:asciiTheme="majorBidi" w:hAnsiTheme="majorBidi" w:cstheme="majorBidi"/>
          <w:b/>
          <w:bCs/>
          <w:noProof w:val="0"/>
          <w:sz w:val="28"/>
          <w:szCs w:val="28"/>
          <w:lang w:val="en-GB"/>
        </w:rPr>
      </w:pPr>
    </w:p>
    <w:p w14:paraId="22AC5A64" w14:textId="4A045FA2" w:rsidR="000034DD" w:rsidRPr="000034DD" w:rsidRDefault="000034DD">
      <w:pPr>
        <w:rPr>
          <w:rFonts w:asciiTheme="majorBidi" w:hAnsiTheme="majorBidi" w:cstheme="majorBidi"/>
          <w:i/>
          <w:iCs/>
          <w:noProof w:val="0"/>
          <w:sz w:val="24"/>
          <w:szCs w:val="24"/>
          <w:lang w:val="en-GB"/>
        </w:rPr>
      </w:pPr>
      <w:r w:rsidRPr="000034DD">
        <w:rPr>
          <w:rFonts w:asciiTheme="majorBidi" w:hAnsiTheme="majorBidi" w:cstheme="majorBidi"/>
          <w:i/>
          <w:iCs/>
          <w:noProof w:val="0"/>
          <w:sz w:val="24"/>
          <w:szCs w:val="24"/>
          <w:lang w:val="en-GB"/>
        </w:rPr>
        <w:t>Table A1. Calculation of proportional care diamond circle areas and corresponding circle diameters.</w:t>
      </w:r>
    </w:p>
    <w:tbl>
      <w:tblPr>
        <w:tblStyle w:val="Tabellenraster"/>
        <w:tblW w:w="0" w:type="auto"/>
        <w:tblLayout w:type="fixed"/>
        <w:tblLook w:val="04A0" w:firstRow="1" w:lastRow="0" w:firstColumn="1" w:lastColumn="0" w:noHBand="0" w:noVBand="1"/>
      </w:tblPr>
      <w:tblGrid>
        <w:gridCol w:w="2263"/>
        <w:gridCol w:w="1843"/>
        <w:gridCol w:w="1418"/>
        <w:gridCol w:w="1984"/>
        <w:gridCol w:w="1276"/>
      </w:tblGrid>
      <w:tr w:rsidR="00273902" w:rsidRPr="000425DF" w14:paraId="39612BED" w14:textId="77777777" w:rsidTr="000034DD">
        <w:tc>
          <w:tcPr>
            <w:tcW w:w="2263" w:type="dxa"/>
            <w:shd w:val="clear" w:color="auto" w:fill="auto"/>
            <w:vAlign w:val="center"/>
          </w:tcPr>
          <w:p w14:paraId="41BCD186" w14:textId="77777777" w:rsidR="00273902" w:rsidRPr="000425DF" w:rsidRDefault="00273902" w:rsidP="003B63F6">
            <w:pPr>
              <w:jc w:val="center"/>
              <w:rPr>
                <w:rFonts w:asciiTheme="majorBidi" w:hAnsiTheme="majorBidi" w:cstheme="majorBidi"/>
                <w:b/>
                <w:bCs/>
                <w:noProof w:val="0"/>
                <w:sz w:val="24"/>
                <w:szCs w:val="24"/>
                <w:lang w:val="en-GB"/>
              </w:rPr>
            </w:pPr>
            <w:r w:rsidRPr="000425DF">
              <w:rPr>
                <w:rFonts w:asciiTheme="majorBidi" w:hAnsiTheme="majorBidi" w:cstheme="majorBidi"/>
                <w:b/>
                <w:bCs/>
                <w:noProof w:val="0"/>
                <w:sz w:val="24"/>
                <w:szCs w:val="24"/>
                <w:lang w:val="en-GB"/>
              </w:rPr>
              <w:t>Fuzzy-set membership score</w:t>
            </w:r>
          </w:p>
        </w:tc>
        <w:tc>
          <w:tcPr>
            <w:tcW w:w="3261" w:type="dxa"/>
            <w:gridSpan w:val="2"/>
          </w:tcPr>
          <w:p w14:paraId="03BED9B9" w14:textId="762475BA" w:rsidR="00273902" w:rsidRPr="000425DF" w:rsidRDefault="00273902" w:rsidP="000034DD">
            <w:pPr>
              <w:jc w:val="center"/>
              <w:rPr>
                <w:rFonts w:asciiTheme="majorBidi" w:hAnsiTheme="majorBidi" w:cstheme="majorBidi"/>
                <w:b/>
                <w:bCs/>
                <w:noProof w:val="0"/>
                <w:sz w:val="24"/>
                <w:szCs w:val="24"/>
                <w:lang w:val="en-GB"/>
              </w:rPr>
            </w:pPr>
            <w:r>
              <w:rPr>
                <w:rFonts w:asciiTheme="majorBidi" w:hAnsiTheme="majorBidi" w:cstheme="majorBidi"/>
                <w:b/>
                <w:bCs/>
                <w:noProof w:val="0"/>
                <w:sz w:val="24"/>
                <w:szCs w:val="24"/>
                <w:lang w:val="en-GB"/>
              </w:rPr>
              <w:t>Calculation</w:t>
            </w:r>
            <w:r w:rsidR="000034DD">
              <w:rPr>
                <w:rFonts w:asciiTheme="majorBidi" w:hAnsiTheme="majorBidi" w:cstheme="majorBidi"/>
                <w:b/>
                <w:bCs/>
                <w:noProof w:val="0"/>
                <w:sz w:val="24"/>
                <w:szCs w:val="24"/>
                <w:lang w:val="en-GB"/>
              </w:rPr>
              <w:t xml:space="preserve"> </w:t>
            </w:r>
            <w:r>
              <w:rPr>
                <w:rFonts w:asciiTheme="majorBidi" w:hAnsiTheme="majorBidi" w:cstheme="majorBidi"/>
                <w:b/>
                <w:bCs/>
                <w:noProof w:val="0"/>
                <w:sz w:val="24"/>
                <w:szCs w:val="24"/>
                <w:lang w:val="en-GB"/>
              </w:rPr>
              <w:t>c</w:t>
            </w:r>
            <w:r w:rsidRPr="000425DF">
              <w:rPr>
                <w:rFonts w:asciiTheme="majorBidi" w:hAnsiTheme="majorBidi" w:cstheme="majorBidi"/>
                <w:b/>
                <w:bCs/>
                <w:noProof w:val="0"/>
                <w:sz w:val="24"/>
                <w:szCs w:val="24"/>
                <w:lang w:val="en-GB"/>
              </w:rPr>
              <w:t>ircle area (cm²)</w:t>
            </w:r>
          </w:p>
        </w:tc>
        <w:tc>
          <w:tcPr>
            <w:tcW w:w="3260" w:type="dxa"/>
            <w:gridSpan w:val="2"/>
          </w:tcPr>
          <w:p w14:paraId="4BB35217" w14:textId="30C76F7B" w:rsidR="00273902" w:rsidRPr="000425DF" w:rsidRDefault="00273902" w:rsidP="003B63F6">
            <w:pPr>
              <w:jc w:val="center"/>
              <w:rPr>
                <w:rFonts w:asciiTheme="majorBidi" w:hAnsiTheme="majorBidi" w:cstheme="majorBidi"/>
                <w:b/>
                <w:bCs/>
                <w:noProof w:val="0"/>
                <w:sz w:val="24"/>
                <w:szCs w:val="24"/>
                <w:lang w:val="en-GB"/>
              </w:rPr>
            </w:pPr>
            <w:r>
              <w:rPr>
                <w:rFonts w:asciiTheme="majorBidi" w:hAnsiTheme="majorBidi" w:cstheme="majorBidi"/>
                <w:b/>
                <w:bCs/>
                <w:noProof w:val="0"/>
                <w:sz w:val="24"/>
                <w:szCs w:val="24"/>
                <w:lang w:val="en-GB"/>
              </w:rPr>
              <w:t>Calculation c</w:t>
            </w:r>
            <w:r w:rsidRPr="000425DF">
              <w:rPr>
                <w:rFonts w:asciiTheme="majorBidi" w:hAnsiTheme="majorBidi" w:cstheme="majorBidi"/>
                <w:b/>
                <w:bCs/>
                <w:noProof w:val="0"/>
                <w:sz w:val="24"/>
                <w:szCs w:val="24"/>
                <w:lang w:val="en-GB"/>
              </w:rPr>
              <w:t>ircle diameter</w:t>
            </w:r>
            <w:r>
              <w:rPr>
                <w:rFonts w:asciiTheme="majorBidi" w:hAnsiTheme="majorBidi" w:cstheme="majorBidi"/>
                <w:b/>
                <w:bCs/>
                <w:noProof w:val="0"/>
                <w:sz w:val="24"/>
                <w:szCs w:val="24"/>
                <w:lang w:val="en-GB"/>
              </w:rPr>
              <w:t xml:space="preserve"> based on area</w:t>
            </w:r>
            <w:r w:rsidRPr="000425DF">
              <w:rPr>
                <w:rFonts w:asciiTheme="majorBidi" w:hAnsiTheme="majorBidi" w:cstheme="majorBidi"/>
                <w:b/>
                <w:bCs/>
                <w:noProof w:val="0"/>
                <w:sz w:val="24"/>
                <w:szCs w:val="24"/>
                <w:lang w:val="en-GB"/>
              </w:rPr>
              <w:t xml:space="preserve"> (cm)</w:t>
            </w:r>
          </w:p>
        </w:tc>
      </w:tr>
      <w:tr w:rsidR="00273902" w:rsidRPr="000425DF" w14:paraId="19F98488" w14:textId="77777777" w:rsidTr="000034DD">
        <w:trPr>
          <w:trHeight w:val="300"/>
        </w:trPr>
        <w:tc>
          <w:tcPr>
            <w:tcW w:w="2263" w:type="dxa"/>
            <w:tcBorders>
              <w:right w:val="single" w:sz="4" w:space="0" w:color="auto"/>
            </w:tcBorders>
            <w:shd w:val="clear" w:color="auto" w:fill="auto"/>
            <w:noWrap/>
            <w:vAlign w:val="center"/>
            <w:hideMark/>
          </w:tcPr>
          <w:p w14:paraId="5FDEE854" w14:textId="77777777" w:rsidR="00273902" w:rsidRPr="000425DF" w:rsidRDefault="00273902" w:rsidP="003B63F6">
            <w:pPr>
              <w:jc w:val="center"/>
              <w:rPr>
                <w:rFonts w:asciiTheme="majorBidi" w:eastAsia="Times New Roman" w:hAnsiTheme="majorBidi" w:cstheme="majorBidi"/>
                <w:noProof w:val="0"/>
                <w:color w:val="000000"/>
                <w:sz w:val="24"/>
                <w:szCs w:val="24"/>
              </w:rPr>
            </w:pPr>
            <w:r w:rsidRPr="000425DF">
              <w:rPr>
                <w:rFonts w:asciiTheme="majorBidi" w:eastAsia="Times New Roman" w:hAnsiTheme="majorBidi" w:cstheme="majorBidi"/>
                <w:noProof w:val="0"/>
                <w:color w:val="000000"/>
                <w:sz w:val="24"/>
                <w:szCs w:val="24"/>
              </w:rPr>
              <w:t>1.00</w:t>
            </w:r>
          </w:p>
        </w:tc>
        <w:tc>
          <w:tcPr>
            <w:tcW w:w="1843" w:type="dxa"/>
            <w:tcBorders>
              <w:left w:val="single" w:sz="4" w:space="0" w:color="auto"/>
              <w:right w:val="nil"/>
            </w:tcBorders>
            <w:vAlign w:val="center"/>
          </w:tcPr>
          <w:p w14:paraId="43B4D05A" w14:textId="5EF1B7D3" w:rsidR="00273902" w:rsidRPr="000425DF" w:rsidRDefault="00273902" w:rsidP="00273902">
            <w:pPr>
              <w:jc w:val="right"/>
              <w:rPr>
                <w:rFonts w:asciiTheme="majorBidi" w:hAnsiTheme="majorBidi" w:cstheme="majorBidi"/>
                <w:color w:val="000000"/>
                <w:sz w:val="24"/>
                <w:szCs w:val="24"/>
              </w:rPr>
            </w:pPr>
            <w:r>
              <w:rPr>
                <w:rFonts w:asciiTheme="majorBidi" w:hAnsiTheme="majorBidi" w:cstheme="majorBidi"/>
                <w:color w:val="000000"/>
                <w:sz w:val="24"/>
                <w:szCs w:val="24"/>
              </w:rPr>
              <w:t xml:space="preserve">π * 4² = </w:t>
            </w:r>
          </w:p>
        </w:tc>
        <w:tc>
          <w:tcPr>
            <w:tcW w:w="1418" w:type="dxa"/>
            <w:tcBorders>
              <w:top w:val="single" w:sz="4" w:space="0" w:color="auto"/>
              <w:left w:val="nil"/>
              <w:bottom w:val="single" w:sz="4" w:space="0" w:color="auto"/>
            </w:tcBorders>
            <w:shd w:val="clear" w:color="auto" w:fill="auto"/>
            <w:vAlign w:val="center"/>
          </w:tcPr>
          <w:p w14:paraId="0583D86E" w14:textId="7F358824" w:rsidR="00273902" w:rsidRPr="000425DF" w:rsidRDefault="00273902" w:rsidP="00273902">
            <w:pPr>
              <w:rPr>
                <w:rFonts w:asciiTheme="majorBidi" w:eastAsia="Times New Roman" w:hAnsiTheme="majorBidi" w:cstheme="majorBidi"/>
                <w:noProof w:val="0"/>
                <w:color w:val="000000"/>
                <w:sz w:val="24"/>
                <w:szCs w:val="24"/>
              </w:rPr>
            </w:pPr>
            <w:r w:rsidRPr="000425DF">
              <w:rPr>
                <w:rFonts w:asciiTheme="majorBidi" w:hAnsiTheme="majorBidi" w:cstheme="majorBidi"/>
                <w:color w:val="000000"/>
                <w:sz w:val="24"/>
                <w:szCs w:val="24"/>
              </w:rPr>
              <w:t>50.27</w:t>
            </w:r>
          </w:p>
        </w:tc>
        <w:tc>
          <w:tcPr>
            <w:tcW w:w="1984" w:type="dxa"/>
            <w:tcBorders>
              <w:top w:val="single" w:sz="4" w:space="0" w:color="auto"/>
              <w:bottom w:val="single" w:sz="4" w:space="0" w:color="auto"/>
              <w:right w:val="nil"/>
            </w:tcBorders>
            <w:vAlign w:val="center"/>
          </w:tcPr>
          <w:p w14:paraId="18F1FABD" w14:textId="1A3E39DE" w:rsidR="00273902" w:rsidRPr="000425DF" w:rsidRDefault="00273902" w:rsidP="000034DD">
            <w:pPr>
              <w:jc w:val="right"/>
              <w:rPr>
                <w:rFonts w:asciiTheme="majorBidi" w:hAnsiTheme="majorBidi" w:cstheme="majorBidi"/>
                <w:color w:val="000000"/>
                <w:sz w:val="24"/>
                <w:szCs w:val="24"/>
              </w:rPr>
            </w:pPr>
            <w:r>
              <w:rPr>
                <w:rFonts w:asciiTheme="majorBidi" w:hAnsiTheme="majorBidi" w:cstheme="majorBidi"/>
                <w:color w:val="000000"/>
                <w:sz w:val="24"/>
                <w:szCs w:val="24"/>
              </w:rPr>
              <w:t>2(√50.27 / π) =</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129561" w14:textId="22AB1930" w:rsidR="00273902" w:rsidRPr="000425DF" w:rsidRDefault="00273902" w:rsidP="000034DD">
            <w:pPr>
              <w:rPr>
                <w:rFonts w:asciiTheme="majorBidi" w:hAnsiTheme="majorBidi" w:cstheme="majorBidi"/>
                <w:color w:val="000000"/>
                <w:sz w:val="24"/>
                <w:szCs w:val="24"/>
              </w:rPr>
            </w:pPr>
            <w:r w:rsidRPr="000425DF">
              <w:rPr>
                <w:rFonts w:asciiTheme="majorBidi" w:hAnsiTheme="majorBidi" w:cstheme="majorBidi"/>
                <w:color w:val="000000"/>
                <w:sz w:val="24"/>
                <w:szCs w:val="24"/>
              </w:rPr>
              <w:t>8.00</w:t>
            </w:r>
          </w:p>
        </w:tc>
      </w:tr>
      <w:tr w:rsidR="00273902" w:rsidRPr="000425DF" w14:paraId="4D723B64" w14:textId="77777777" w:rsidTr="000034DD">
        <w:trPr>
          <w:trHeight w:val="292"/>
        </w:trPr>
        <w:tc>
          <w:tcPr>
            <w:tcW w:w="2263" w:type="dxa"/>
            <w:tcBorders>
              <w:right w:val="single" w:sz="4" w:space="0" w:color="auto"/>
            </w:tcBorders>
            <w:shd w:val="clear" w:color="auto" w:fill="auto"/>
            <w:noWrap/>
            <w:vAlign w:val="center"/>
            <w:hideMark/>
          </w:tcPr>
          <w:p w14:paraId="145E042A" w14:textId="77777777" w:rsidR="00273902" w:rsidRPr="000425DF" w:rsidRDefault="00273902" w:rsidP="003B63F6">
            <w:pPr>
              <w:jc w:val="center"/>
              <w:rPr>
                <w:rFonts w:asciiTheme="majorBidi" w:eastAsia="Times New Roman" w:hAnsiTheme="majorBidi" w:cstheme="majorBidi"/>
                <w:noProof w:val="0"/>
                <w:color w:val="000000"/>
                <w:sz w:val="24"/>
                <w:szCs w:val="24"/>
              </w:rPr>
            </w:pPr>
            <w:r w:rsidRPr="000425DF">
              <w:rPr>
                <w:rFonts w:asciiTheme="majorBidi" w:eastAsia="Times New Roman" w:hAnsiTheme="majorBidi" w:cstheme="majorBidi"/>
                <w:noProof w:val="0"/>
                <w:color w:val="000000"/>
                <w:sz w:val="24"/>
                <w:szCs w:val="24"/>
              </w:rPr>
              <w:t>0.83</w:t>
            </w:r>
          </w:p>
        </w:tc>
        <w:tc>
          <w:tcPr>
            <w:tcW w:w="1843" w:type="dxa"/>
            <w:tcBorders>
              <w:left w:val="single" w:sz="4" w:space="0" w:color="auto"/>
              <w:right w:val="nil"/>
            </w:tcBorders>
            <w:vAlign w:val="center"/>
          </w:tcPr>
          <w:p w14:paraId="3456D7EC" w14:textId="4D24B400" w:rsidR="00273902" w:rsidRPr="000425DF" w:rsidRDefault="00273902" w:rsidP="00273902">
            <w:pPr>
              <w:jc w:val="right"/>
              <w:rPr>
                <w:rFonts w:asciiTheme="majorBidi" w:hAnsiTheme="majorBidi" w:cstheme="majorBidi"/>
                <w:color w:val="000000"/>
                <w:sz w:val="24"/>
                <w:szCs w:val="24"/>
              </w:rPr>
            </w:pPr>
            <w:r>
              <w:rPr>
                <w:rFonts w:asciiTheme="majorBidi" w:hAnsiTheme="majorBidi" w:cstheme="majorBidi"/>
                <w:color w:val="000000"/>
                <w:sz w:val="24"/>
                <w:szCs w:val="24"/>
              </w:rPr>
              <w:t xml:space="preserve">50.27 * 0.83 = </w:t>
            </w:r>
          </w:p>
        </w:tc>
        <w:tc>
          <w:tcPr>
            <w:tcW w:w="1418" w:type="dxa"/>
            <w:tcBorders>
              <w:top w:val="single" w:sz="4" w:space="0" w:color="auto"/>
              <w:left w:val="nil"/>
              <w:bottom w:val="single" w:sz="4" w:space="0" w:color="auto"/>
            </w:tcBorders>
            <w:shd w:val="clear" w:color="auto" w:fill="auto"/>
            <w:vAlign w:val="center"/>
          </w:tcPr>
          <w:p w14:paraId="75D27FEB" w14:textId="0AA9EF88" w:rsidR="00273902" w:rsidRPr="000425DF" w:rsidRDefault="00273902" w:rsidP="00273902">
            <w:pPr>
              <w:rPr>
                <w:rFonts w:asciiTheme="majorBidi" w:eastAsia="Times New Roman" w:hAnsiTheme="majorBidi" w:cstheme="majorBidi"/>
                <w:noProof w:val="0"/>
                <w:color w:val="000000"/>
                <w:sz w:val="24"/>
                <w:szCs w:val="24"/>
              </w:rPr>
            </w:pPr>
            <w:r w:rsidRPr="000425DF">
              <w:rPr>
                <w:rFonts w:asciiTheme="majorBidi" w:hAnsiTheme="majorBidi" w:cstheme="majorBidi"/>
                <w:color w:val="000000"/>
                <w:sz w:val="24"/>
                <w:szCs w:val="24"/>
              </w:rPr>
              <w:t>41.72</w:t>
            </w:r>
          </w:p>
        </w:tc>
        <w:tc>
          <w:tcPr>
            <w:tcW w:w="1984" w:type="dxa"/>
            <w:tcBorders>
              <w:top w:val="single" w:sz="4" w:space="0" w:color="auto"/>
              <w:bottom w:val="single" w:sz="4" w:space="0" w:color="auto"/>
              <w:right w:val="nil"/>
            </w:tcBorders>
            <w:vAlign w:val="center"/>
          </w:tcPr>
          <w:p w14:paraId="55F01466" w14:textId="7C7FA0D9" w:rsidR="00273902" w:rsidRPr="000425DF" w:rsidRDefault="00273902" w:rsidP="000034DD">
            <w:pPr>
              <w:jc w:val="right"/>
              <w:rPr>
                <w:rFonts w:asciiTheme="majorBidi" w:hAnsiTheme="majorBidi" w:cstheme="majorBidi"/>
                <w:color w:val="000000"/>
                <w:sz w:val="24"/>
                <w:szCs w:val="24"/>
              </w:rPr>
            </w:pPr>
            <w:r>
              <w:rPr>
                <w:rFonts w:asciiTheme="majorBidi" w:hAnsiTheme="majorBidi" w:cstheme="majorBidi"/>
                <w:color w:val="000000"/>
                <w:sz w:val="24"/>
                <w:szCs w:val="24"/>
              </w:rPr>
              <w:t>2(√41.72 / π) =</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825136" w14:textId="162CF643" w:rsidR="00273902" w:rsidRPr="000425DF" w:rsidRDefault="00273902" w:rsidP="000034DD">
            <w:pPr>
              <w:rPr>
                <w:rFonts w:asciiTheme="majorBidi" w:hAnsiTheme="majorBidi" w:cstheme="majorBidi"/>
                <w:color w:val="000000"/>
                <w:sz w:val="24"/>
                <w:szCs w:val="24"/>
              </w:rPr>
            </w:pPr>
            <w:r w:rsidRPr="000425DF">
              <w:rPr>
                <w:rFonts w:asciiTheme="majorBidi" w:hAnsiTheme="majorBidi" w:cstheme="majorBidi"/>
                <w:color w:val="000000"/>
                <w:sz w:val="24"/>
                <w:szCs w:val="24"/>
              </w:rPr>
              <w:t>7.29</w:t>
            </w:r>
          </w:p>
        </w:tc>
      </w:tr>
      <w:tr w:rsidR="00273902" w:rsidRPr="000425DF" w14:paraId="41CAC687" w14:textId="77777777" w:rsidTr="000034DD">
        <w:trPr>
          <w:trHeight w:val="292"/>
        </w:trPr>
        <w:tc>
          <w:tcPr>
            <w:tcW w:w="2263" w:type="dxa"/>
            <w:tcBorders>
              <w:right w:val="single" w:sz="4" w:space="0" w:color="auto"/>
            </w:tcBorders>
            <w:shd w:val="clear" w:color="auto" w:fill="auto"/>
            <w:noWrap/>
            <w:vAlign w:val="center"/>
            <w:hideMark/>
          </w:tcPr>
          <w:p w14:paraId="325D3CB4" w14:textId="77777777" w:rsidR="00273902" w:rsidRPr="000425DF" w:rsidRDefault="00273902" w:rsidP="003B63F6">
            <w:pPr>
              <w:jc w:val="center"/>
              <w:rPr>
                <w:rFonts w:asciiTheme="majorBidi" w:eastAsia="Times New Roman" w:hAnsiTheme="majorBidi" w:cstheme="majorBidi"/>
                <w:noProof w:val="0"/>
                <w:color w:val="000000"/>
                <w:sz w:val="24"/>
                <w:szCs w:val="24"/>
              </w:rPr>
            </w:pPr>
            <w:r w:rsidRPr="000425DF">
              <w:rPr>
                <w:rFonts w:asciiTheme="majorBidi" w:eastAsia="Times New Roman" w:hAnsiTheme="majorBidi" w:cstheme="majorBidi"/>
                <w:noProof w:val="0"/>
                <w:color w:val="000000"/>
                <w:sz w:val="24"/>
                <w:szCs w:val="24"/>
              </w:rPr>
              <w:t>0.67</w:t>
            </w:r>
          </w:p>
        </w:tc>
        <w:tc>
          <w:tcPr>
            <w:tcW w:w="1843" w:type="dxa"/>
            <w:tcBorders>
              <w:left w:val="single" w:sz="4" w:space="0" w:color="auto"/>
              <w:right w:val="nil"/>
            </w:tcBorders>
            <w:vAlign w:val="center"/>
          </w:tcPr>
          <w:p w14:paraId="424A5C9C" w14:textId="09AC9804" w:rsidR="00273902" w:rsidRPr="000425DF" w:rsidRDefault="00273902" w:rsidP="00273902">
            <w:pPr>
              <w:jc w:val="right"/>
              <w:rPr>
                <w:rFonts w:asciiTheme="majorBidi" w:hAnsiTheme="majorBidi" w:cstheme="majorBidi"/>
                <w:color w:val="000000"/>
                <w:sz w:val="24"/>
                <w:szCs w:val="24"/>
              </w:rPr>
            </w:pPr>
            <w:r>
              <w:rPr>
                <w:rFonts w:asciiTheme="majorBidi" w:hAnsiTheme="majorBidi" w:cstheme="majorBidi"/>
                <w:color w:val="000000"/>
                <w:sz w:val="24"/>
                <w:szCs w:val="24"/>
              </w:rPr>
              <w:t xml:space="preserve">50.27 * 0.67 = </w:t>
            </w:r>
          </w:p>
        </w:tc>
        <w:tc>
          <w:tcPr>
            <w:tcW w:w="1418" w:type="dxa"/>
            <w:tcBorders>
              <w:top w:val="single" w:sz="4" w:space="0" w:color="auto"/>
              <w:left w:val="nil"/>
              <w:bottom w:val="single" w:sz="4" w:space="0" w:color="auto"/>
            </w:tcBorders>
            <w:shd w:val="clear" w:color="auto" w:fill="auto"/>
            <w:vAlign w:val="center"/>
          </w:tcPr>
          <w:p w14:paraId="3DEE82E8" w14:textId="02A65653" w:rsidR="00273902" w:rsidRPr="000425DF" w:rsidRDefault="00273902" w:rsidP="00273902">
            <w:pPr>
              <w:rPr>
                <w:rFonts w:asciiTheme="majorBidi" w:eastAsia="Times New Roman" w:hAnsiTheme="majorBidi" w:cstheme="majorBidi"/>
                <w:noProof w:val="0"/>
                <w:color w:val="000000"/>
                <w:sz w:val="24"/>
                <w:szCs w:val="24"/>
              </w:rPr>
            </w:pPr>
            <w:r w:rsidRPr="000425DF">
              <w:rPr>
                <w:rFonts w:asciiTheme="majorBidi" w:hAnsiTheme="majorBidi" w:cstheme="majorBidi"/>
                <w:color w:val="000000"/>
                <w:sz w:val="24"/>
                <w:szCs w:val="24"/>
              </w:rPr>
              <w:t>33.68</w:t>
            </w:r>
          </w:p>
        </w:tc>
        <w:tc>
          <w:tcPr>
            <w:tcW w:w="1984" w:type="dxa"/>
            <w:tcBorders>
              <w:top w:val="single" w:sz="4" w:space="0" w:color="auto"/>
              <w:bottom w:val="single" w:sz="4" w:space="0" w:color="auto"/>
              <w:right w:val="nil"/>
            </w:tcBorders>
            <w:vAlign w:val="center"/>
          </w:tcPr>
          <w:p w14:paraId="4497BDCC" w14:textId="27BEE261" w:rsidR="00273902" w:rsidRPr="000425DF" w:rsidRDefault="00273902" w:rsidP="000034DD">
            <w:pPr>
              <w:jc w:val="right"/>
              <w:rPr>
                <w:rFonts w:asciiTheme="majorBidi" w:hAnsiTheme="majorBidi" w:cstheme="majorBidi"/>
                <w:color w:val="000000"/>
                <w:sz w:val="24"/>
                <w:szCs w:val="24"/>
              </w:rPr>
            </w:pPr>
            <w:r>
              <w:rPr>
                <w:rFonts w:asciiTheme="majorBidi" w:hAnsiTheme="majorBidi" w:cstheme="majorBidi"/>
                <w:color w:val="000000"/>
                <w:sz w:val="24"/>
                <w:szCs w:val="24"/>
              </w:rPr>
              <w:t>2(√33.68 / π) =</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20DCFF" w14:textId="764B5F66" w:rsidR="00273902" w:rsidRPr="000425DF" w:rsidRDefault="00273902" w:rsidP="000034DD">
            <w:pPr>
              <w:rPr>
                <w:rFonts w:asciiTheme="majorBidi" w:hAnsiTheme="majorBidi" w:cstheme="majorBidi"/>
                <w:color w:val="000000"/>
                <w:sz w:val="24"/>
                <w:szCs w:val="24"/>
              </w:rPr>
            </w:pPr>
            <w:r w:rsidRPr="000425DF">
              <w:rPr>
                <w:rFonts w:asciiTheme="majorBidi" w:hAnsiTheme="majorBidi" w:cstheme="majorBidi"/>
                <w:color w:val="000000"/>
                <w:sz w:val="24"/>
                <w:szCs w:val="24"/>
              </w:rPr>
              <w:t>6.55</w:t>
            </w:r>
          </w:p>
        </w:tc>
      </w:tr>
      <w:tr w:rsidR="00273902" w:rsidRPr="000425DF" w14:paraId="58F4C721" w14:textId="77777777" w:rsidTr="000034DD">
        <w:trPr>
          <w:trHeight w:val="300"/>
        </w:trPr>
        <w:tc>
          <w:tcPr>
            <w:tcW w:w="2263" w:type="dxa"/>
            <w:tcBorders>
              <w:right w:val="single" w:sz="4" w:space="0" w:color="auto"/>
            </w:tcBorders>
            <w:shd w:val="clear" w:color="auto" w:fill="auto"/>
            <w:noWrap/>
            <w:vAlign w:val="center"/>
            <w:hideMark/>
          </w:tcPr>
          <w:p w14:paraId="1B2F031D" w14:textId="77777777" w:rsidR="00273902" w:rsidRPr="000425DF" w:rsidRDefault="00273902" w:rsidP="003B63F6">
            <w:pPr>
              <w:jc w:val="center"/>
              <w:rPr>
                <w:rFonts w:asciiTheme="majorBidi" w:eastAsia="Times New Roman" w:hAnsiTheme="majorBidi" w:cstheme="majorBidi"/>
                <w:noProof w:val="0"/>
                <w:color w:val="000000"/>
                <w:sz w:val="24"/>
                <w:szCs w:val="24"/>
              </w:rPr>
            </w:pPr>
            <w:r w:rsidRPr="000425DF">
              <w:rPr>
                <w:rFonts w:asciiTheme="majorBidi" w:eastAsia="Times New Roman" w:hAnsiTheme="majorBidi" w:cstheme="majorBidi"/>
                <w:noProof w:val="0"/>
                <w:color w:val="000000"/>
                <w:sz w:val="24"/>
                <w:szCs w:val="24"/>
              </w:rPr>
              <w:t>0.50</w:t>
            </w:r>
          </w:p>
        </w:tc>
        <w:tc>
          <w:tcPr>
            <w:tcW w:w="1843" w:type="dxa"/>
            <w:tcBorders>
              <w:left w:val="single" w:sz="4" w:space="0" w:color="auto"/>
              <w:right w:val="nil"/>
            </w:tcBorders>
            <w:vAlign w:val="center"/>
          </w:tcPr>
          <w:p w14:paraId="6C00719C" w14:textId="05005055" w:rsidR="00273902" w:rsidRPr="000425DF" w:rsidRDefault="00273902" w:rsidP="00273902">
            <w:pPr>
              <w:jc w:val="right"/>
              <w:rPr>
                <w:rFonts w:asciiTheme="majorBidi" w:hAnsiTheme="majorBidi" w:cstheme="majorBidi"/>
                <w:color w:val="000000"/>
                <w:sz w:val="24"/>
                <w:szCs w:val="24"/>
              </w:rPr>
            </w:pPr>
            <w:r>
              <w:rPr>
                <w:rFonts w:asciiTheme="majorBidi" w:hAnsiTheme="majorBidi" w:cstheme="majorBidi"/>
                <w:color w:val="000000"/>
                <w:sz w:val="24"/>
                <w:szCs w:val="24"/>
              </w:rPr>
              <w:t xml:space="preserve">50.27 * 0.50 = </w:t>
            </w:r>
          </w:p>
        </w:tc>
        <w:tc>
          <w:tcPr>
            <w:tcW w:w="1418" w:type="dxa"/>
            <w:tcBorders>
              <w:top w:val="single" w:sz="4" w:space="0" w:color="auto"/>
              <w:left w:val="nil"/>
              <w:bottom w:val="single" w:sz="4" w:space="0" w:color="auto"/>
            </w:tcBorders>
            <w:shd w:val="clear" w:color="auto" w:fill="auto"/>
            <w:vAlign w:val="center"/>
          </w:tcPr>
          <w:p w14:paraId="75972063" w14:textId="39CF97D4" w:rsidR="00273902" w:rsidRPr="000425DF" w:rsidRDefault="00273902" w:rsidP="00273902">
            <w:pPr>
              <w:rPr>
                <w:rFonts w:asciiTheme="majorBidi" w:eastAsia="Times New Roman" w:hAnsiTheme="majorBidi" w:cstheme="majorBidi"/>
                <w:noProof w:val="0"/>
                <w:color w:val="000000"/>
                <w:sz w:val="24"/>
                <w:szCs w:val="24"/>
              </w:rPr>
            </w:pPr>
            <w:r w:rsidRPr="000425DF">
              <w:rPr>
                <w:rFonts w:asciiTheme="majorBidi" w:hAnsiTheme="majorBidi" w:cstheme="majorBidi"/>
                <w:color w:val="000000"/>
                <w:sz w:val="24"/>
                <w:szCs w:val="24"/>
              </w:rPr>
              <w:t>25.13</w:t>
            </w:r>
          </w:p>
        </w:tc>
        <w:tc>
          <w:tcPr>
            <w:tcW w:w="1984" w:type="dxa"/>
            <w:tcBorders>
              <w:top w:val="single" w:sz="4" w:space="0" w:color="auto"/>
              <w:bottom w:val="single" w:sz="4" w:space="0" w:color="auto"/>
              <w:right w:val="nil"/>
            </w:tcBorders>
            <w:vAlign w:val="center"/>
          </w:tcPr>
          <w:p w14:paraId="4EFE9189" w14:textId="50A7898B" w:rsidR="00273902" w:rsidRPr="000425DF" w:rsidRDefault="00273902" w:rsidP="000034DD">
            <w:pPr>
              <w:jc w:val="right"/>
              <w:rPr>
                <w:rFonts w:asciiTheme="majorBidi" w:hAnsiTheme="majorBidi" w:cstheme="majorBidi"/>
                <w:color w:val="000000"/>
                <w:sz w:val="24"/>
                <w:szCs w:val="24"/>
              </w:rPr>
            </w:pPr>
            <w:r>
              <w:rPr>
                <w:rFonts w:asciiTheme="majorBidi" w:hAnsiTheme="majorBidi" w:cstheme="majorBidi"/>
                <w:color w:val="000000"/>
                <w:sz w:val="24"/>
                <w:szCs w:val="24"/>
              </w:rPr>
              <w:t>2(√25.13 / π) =</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C2604A" w14:textId="0C590AC3" w:rsidR="00273902" w:rsidRPr="000425DF" w:rsidRDefault="00273902" w:rsidP="000034DD">
            <w:pPr>
              <w:rPr>
                <w:rFonts w:asciiTheme="majorBidi" w:hAnsiTheme="majorBidi" w:cstheme="majorBidi"/>
                <w:color w:val="000000"/>
                <w:sz w:val="24"/>
                <w:szCs w:val="24"/>
              </w:rPr>
            </w:pPr>
            <w:r w:rsidRPr="000425DF">
              <w:rPr>
                <w:rFonts w:asciiTheme="majorBidi" w:hAnsiTheme="majorBidi" w:cstheme="majorBidi"/>
                <w:color w:val="000000"/>
                <w:sz w:val="24"/>
                <w:szCs w:val="24"/>
              </w:rPr>
              <w:t>5.66</w:t>
            </w:r>
          </w:p>
        </w:tc>
      </w:tr>
      <w:tr w:rsidR="00273902" w:rsidRPr="000425DF" w14:paraId="3B617581" w14:textId="77777777" w:rsidTr="000034DD">
        <w:trPr>
          <w:trHeight w:val="292"/>
        </w:trPr>
        <w:tc>
          <w:tcPr>
            <w:tcW w:w="2263" w:type="dxa"/>
            <w:tcBorders>
              <w:right w:val="single" w:sz="4" w:space="0" w:color="auto"/>
            </w:tcBorders>
            <w:shd w:val="clear" w:color="auto" w:fill="auto"/>
            <w:noWrap/>
            <w:vAlign w:val="center"/>
            <w:hideMark/>
          </w:tcPr>
          <w:p w14:paraId="41882B6F" w14:textId="77777777" w:rsidR="00273902" w:rsidRPr="000425DF" w:rsidRDefault="00273902" w:rsidP="003B63F6">
            <w:pPr>
              <w:jc w:val="center"/>
              <w:rPr>
                <w:rFonts w:asciiTheme="majorBidi" w:eastAsia="Times New Roman" w:hAnsiTheme="majorBidi" w:cstheme="majorBidi"/>
                <w:noProof w:val="0"/>
                <w:color w:val="000000"/>
                <w:sz w:val="24"/>
                <w:szCs w:val="24"/>
              </w:rPr>
            </w:pPr>
            <w:r w:rsidRPr="000425DF">
              <w:rPr>
                <w:rFonts w:asciiTheme="majorBidi" w:eastAsia="Times New Roman" w:hAnsiTheme="majorBidi" w:cstheme="majorBidi"/>
                <w:noProof w:val="0"/>
                <w:color w:val="000000"/>
                <w:sz w:val="24"/>
                <w:szCs w:val="24"/>
              </w:rPr>
              <w:t>0.33</w:t>
            </w:r>
          </w:p>
        </w:tc>
        <w:tc>
          <w:tcPr>
            <w:tcW w:w="1843" w:type="dxa"/>
            <w:tcBorders>
              <w:left w:val="single" w:sz="4" w:space="0" w:color="auto"/>
              <w:right w:val="nil"/>
            </w:tcBorders>
            <w:vAlign w:val="center"/>
          </w:tcPr>
          <w:p w14:paraId="4B4E68DA" w14:textId="76615F51" w:rsidR="00273902" w:rsidRPr="000425DF" w:rsidRDefault="00273902" w:rsidP="00273902">
            <w:pPr>
              <w:jc w:val="right"/>
              <w:rPr>
                <w:rFonts w:asciiTheme="majorBidi" w:hAnsiTheme="majorBidi" w:cstheme="majorBidi"/>
                <w:color w:val="000000"/>
                <w:sz w:val="24"/>
                <w:szCs w:val="24"/>
              </w:rPr>
            </w:pPr>
            <w:r>
              <w:rPr>
                <w:rFonts w:asciiTheme="majorBidi" w:hAnsiTheme="majorBidi" w:cstheme="majorBidi"/>
                <w:color w:val="000000"/>
                <w:sz w:val="24"/>
                <w:szCs w:val="24"/>
              </w:rPr>
              <w:t xml:space="preserve">50.27 * 0.33 = </w:t>
            </w:r>
          </w:p>
        </w:tc>
        <w:tc>
          <w:tcPr>
            <w:tcW w:w="1418" w:type="dxa"/>
            <w:tcBorders>
              <w:top w:val="single" w:sz="4" w:space="0" w:color="auto"/>
              <w:left w:val="nil"/>
              <w:bottom w:val="single" w:sz="4" w:space="0" w:color="auto"/>
            </w:tcBorders>
            <w:shd w:val="clear" w:color="auto" w:fill="auto"/>
            <w:vAlign w:val="center"/>
          </w:tcPr>
          <w:p w14:paraId="1FF71120" w14:textId="68136674" w:rsidR="00273902" w:rsidRPr="000425DF" w:rsidRDefault="00273902" w:rsidP="00273902">
            <w:pPr>
              <w:rPr>
                <w:rFonts w:asciiTheme="majorBidi" w:eastAsia="Times New Roman" w:hAnsiTheme="majorBidi" w:cstheme="majorBidi"/>
                <w:noProof w:val="0"/>
                <w:color w:val="000000"/>
                <w:sz w:val="24"/>
                <w:szCs w:val="24"/>
              </w:rPr>
            </w:pPr>
            <w:r w:rsidRPr="000425DF">
              <w:rPr>
                <w:rFonts w:asciiTheme="majorBidi" w:hAnsiTheme="majorBidi" w:cstheme="majorBidi"/>
                <w:color w:val="000000"/>
                <w:sz w:val="24"/>
                <w:szCs w:val="24"/>
              </w:rPr>
              <w:t>16.59</w:t>
            </w:r>
          </w:p>
        </w:tc>
        <w:tc>
          <w:tcPr>
            <w:tcW w:w="1984" w:type="dxa"/>
            <w:tcBorders>
              <w:top w:val="single" w:sz="4" w:space="0" w:color="auto"/>
              <w:bottom w:val="single" w:sz="4" w:space="0" w:color="auto"/>
              <w:right w:val="nil"/>
            </w:tcBorders>
            <w:vAlign w:val="center"/>
          </w:tcPr>
          <w:p w14:paraId="1406E0C6" w14:textId="52BA4618" w:rsidR="00273902" w:rsidRPr="000425DF" w:rsidRDefault="00273902" w:rsidP="000034DD">
            <w:pPr>
              <w:jc w:val="right"/>
              <w:rPr>
                <w:rFonts w:asciiTheme="majorBidi" w:hAnsiTheme="majorBidi" w:cstheme="majorBidi"/>
                <w:color w:val="000000"/>
                <w:sz w:val="24"/>
                <w:szCs w:val="24"/>
              </w:rPr>
            </w:pPr>
            <w:r>
              <w:rPr>
                <w:rFonts w:asciiTheme="majorBidi" w:hAnsiTheme="majorBidi" w:cstheme="majorBidi"/>
                <w:color w:val="000000"/>
                <w:sz w:val="24"/>
                <w:szCs w:val="24"/>
              </w:rPr>
              <w:t>2(√16.59 / π) =</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58BD42" w14:textId="1722258A" w:rsidR="00273902" w:rsidRPr="000425DF" w:rsidRDefault="00273902" w:rsidP="000034DD">
            <w:pPr>
              <w:rPr>
                <w:rFonts w:asciiTheme="majorBidi" w:hAnsiTheme="majorBidi" w:cstheme="majorBidi"/>
                <w:color w:val="000000"/>
                <w:sz w:val="24"/>
                <w:szCs w:val="24"/>
              </w:rPr>
            </w:pPr>
            <w:r w:rsidRPr="000425DF">
              <w:rPr>
                <w:rFonts w:asciiTheme="majorBidi" w:hAnsiTheme="majorBidi" w:cstheme="majorBidi"/>
                <w:color w:val="000000"/>
                <w:sz w:val="24"/>
                <w:szCs w:val="24"/>
              </w:rPr>
              <w:t>4.60</w:t>
            </w:r>
          </w:p>
        </w:tc>
      </w:tr>
      <w:tr w:rsidR="00273902" w:rsidRPr="000425DF" w14:paraId="38FC3AA7" w14:textId="77777777" w:rsidTr="000034DD">
        <w:trPr>
          <w:trHeight w:val="300"/>
        </w:trPr>
        <w:tc>
          <w:tcPr>
            <w:tcW w:w="2263" w:type="dxa"/>
            <w:tcBorders>
              <w:right w:val="single" w:sz="4" w:space="0" w:color="auto"/>
            </w:tcBorders>
            <w:shd w:val="clear" w:color="auto" w:fill="auto"/>
            <w:noWrap/>
            <w:vAlign w:val="center"/>
            <w:hideMark/>
          </w:tcPr>
          <w:p w14:paraId="24E59840" w14:textId="77777777" w:rsidR="00273902" w:rsidRPr="000425DF" w:rsidRDefault="00273902" w:rsidP="003B63F6">
            <w:pPr>
              <w:jc w:val="center"/>
              <w:rPr>
                <w:rFonts w:asciiTheme="majorBidi" w:eastAsia="Times New Roman" w:hAnsiTheme="majorBidi" w:cstheme="majorBidi"/>
                <w:noProof w:val="0"/>
                <w:color w:val="000000"/>
                <w:sz w:val="24"/>
                <w:szCs w:val="24"/>
              </w:rPr>
            </w:pPr>
            <w:r w:rsidRPr="000425DF">
              <w:rPr>
                <w:rFonts w:asciiTheme="majorBidi" w:eastAsia="Times New Roman" w:hAnsiTheme="majorBidi" w:cstheme="majorBidi"/>
                <w:noProof w:val="0"/>
                <w:color w:val="000000"/>
                <w:sz w:val="24"/>
                <w:szCs w:val="24"/>
              </w:rPr>
              <w:t>0.17</w:t>
            </w:r>
          </w:p>
        </w:tc>
        <w:tc>
          <w:tcPr>
            <w:tcW w:w="1843" w:type="dxa"/>
            <w:tcBorders>
              <w:left w:val="single" w:sz="4" w:space="0" w:color="auto"/>
              <w:right w:val="nil"/>
            </w:tcBorders>
            <w:vAlign w:val="center"/>
          </w:tcPr>
          <w:p w14:paraId="55825CE6" w14:textId="4C30E4AD" w:rsidR="00273902" w:rsidRPr="000425DF" w:rsidRDefault="00273902" w:rsidP="00273902">
            <w:pPr>
              <w:jc w:val="right"/>
              <w:rPr>
                <w:rFonts w:asciiTheme="majorBidi" w:hAnsiTheme="majorBidi" w:cstheme="majorBidi"/>
                <w:color w:val="000000"/>
                <w:sz w:val="24"/>
                <w:szCs w:val="24"/>
              </w:rPr>
            </w:pPr>
            <w:r>
              <w:rPr>
                <w:rFonts w:asciiTheme="majorBidi" w:hAnsiTheme="majorBidi" w:cstheme="majorBidi"/>
                <w:color w:val="000000"/>
                <w:sz w:val="24"/>
                <w:szCs w:val="24"/>
              </w:rPr>
              <w:t xml:space="preserve">50.27 * 0.17 = </w:t>
            </w:r>
          </w:p>
        </w:tc>
        <w:tc>
          <w:tcPr>
            <w:tcW w:w="1418" w:type="dxa"/>
            <w:tcBorders>
              <w:top w:val="single" w:sz="4" w:space="0" w:color="auto"/>
              <w:left w:val="nil"/>
              <w:bottom w:val="single" w:sz="4" w:space="0" w:color="auto"/>
            </w:tcBorders>
            <w:shd w:val="clear" w:color="auto" w:fill="auto"/>
            <w:vAlign w:val="center"/>
          </w:tcPr>
          <w:p w14:paraId="170EA68B" w14:textId="1A193E93" w:rsidR="00273902" w:rsidRPr="000425DF" w:rsidRDefault="00273902" w:rsidP="00273902">
            <w:pPr>
              <w:rPr>
                <w:rFonts w:asciiTheme="majorBidi" w:eastAsia="Times New Roman" w:hAnsiTheme="majorBidi" w:cstheme="majorBidi"/>
                <w:noProof w:val="0"/>
                <w:color w:val="000000"/>
                <w:sz w:val="24"/>
                <w:szCs w:val="24"/>
              </w:rPr>
            </w:pPr>
            <w:r w:rsidRPr="000425DF">
              <w:rPr>
                <w:rFonts w:asciiTheme="majorBidi" w:hAnsiTheme="majorBidi" w:cstheme="majorBidi"/>
                <w:color w:val="000000"/>
                <w:sz w:val="24"/>
                <w:szCs w:val="24"/>
              </w:rPr>
              <w:t>8.55</w:t>
            </w:r>
          </w:p>
        </w:tc>
        <w:tc>
          <w:tcPr>
            <w:tcW w:w="1984" w:type="dxa"/>
            <w:tcBorders>
              <w:top w:val="single" w:sz="4" w:space="0" w:color="auto"/>
              <w:bottom w:val="single" w:sz="4" w:space="0" w:color="auto"/>
              <w:right w:val="nil"/>
            </w:tcBorders>
            <w:vAlign w:val="center"/>
          </w:tcPr>
          <w:p w14:paraId="310D42B2" w14:textId="5AF11015" w:rsidR="00273902" w:rsidRPr="000425DF" w:rsidRDefault="00273902" w:rsidP="000034DD">
            <w:pPr>
              <w:jc w:val="right"/>
              <w:rPr>
                <w:rFonts w:asciiTheme="majorBidi" w:hAnsiTheme="majorBidi" w:cstheme="majorBidi"/>
                <w:color w:val="000000"/>
                <w:sz w:val="24"/>
                <w:szCs w:val="24"/>
              </w:rPr>
            </w:pPr>
            <w:r>
              <w:rPr>
                <w:rFonts w:asciiTheme="majorBidi" w:hAnsiTheme="majorBidi" w:cstheme="majorBidi"/>
                <w:color w:val="000000"/>
                <w:sz w:val="24"/>
                <w:szCs w:val="24"/>
              </w:rPr>
              <w:t>2(√</w:t>
            </w:r>
            <w:r w:rsidR="000034DD">
              <w:rPr>
                <w:rFonts w:asciiTheme="majorBidi" w:hAnsiTheme="majorBidi" w:cstheme="majorBidi"/>
                <w:color w:val="000000"/>
                <w:sz w:val="24"/>
                <w:szCs w:val="24"/>
              </w:rPr>
              <w:t>8.55</w:t>
            </w:r>
            <w:r>
              <w:rPr>
                <w:rFonts w:asciiTheme="majorBidi" w:hAnsiTheme="majorBidi" w:cstheme="majorBidi"/>
                <w:color w:val="000000"/>
                <w:sz w:val="24"/>
                <w:szCs w:val="24"/>
              </w:rPr>
              <w:t xml:space="preserve"> / π) =</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17ED6D" w14:textId="66E9C3E6" w:rsidR="00273902" w:rsidRPr="000425DF" w:rsidRDefault="00273902" w:rsidP="000034DD">
            <w:pPr>
              <w:rPr>
                <w:rFonts w:asciiTheme="majorBidi" w:hAnsiTheme="majorBidi" w:cstheme="majorBidi"/>
                <w:color w:val="000000"/>
                <w:sz w:val="24"/>
                <w:szCs w:val="24"/>
              </w:rPr>
            </w:pPr>
            <w:r w:rsidRPr="000425DF">
              <w:rPr>
                <w:rFonts w:asciiTheme="majorBidi" w:hAnsiTheme="majorBidi" w:cstheme="majorBidi"/>
                <w:color w:val="000000"/>
                <w:sz w:val="24"/>
                <w:szCs w:val="24"/>
              </w:rPr>
              <w:t>3.30</w:t>
            </w:r>
          </w:p>
        </w:tc>
      </w:tr>
      <w:tr w:rsidR="00273902" w:rsidRPr="000425DF" w14:paraId="29D5B63E" w14:textId="77777777" w:rsidTr="000034DD">
        <w:trPr>
          <w:trHeight w:val="292"/>
        </w:trPr>
        <w:tc>
          <w:tcPr>
            <w:tcW w:w="2263" w:type="dxa"/>
            <w:tcBorders>
              <w:right w:val="single" w:sz="4" w:space="0" w:color="auto"/>
            </w:tcBorders>
            <w:shd w:val="clear" w:color="auto" w:fill="auto"/>
            <w:noWrap/>
            <w:vAlign w:val="center"/>
            <w:hideMark/>
          </w:tcPr>
          <w:p w14:paraId="3F62DA28" w14:textId="77777777" w:rsidR="00273902" w:rsidRPr="000425DF" w:rsidRDefault="00273902" w:rsidP="003B63F6">
            <w:pPr>
              <w:jc w:val="center"/>
              <w:rPr>
                <w:rFonts w:asciiTheme="majorBidi" w:eastAsia="Times New Roman" w:hAnsiTheme="majorBidi" w:cstheme="majorBidi"/>
                <w:noProof w:val="0"/>
                <w:color w:val="000000"/>
                <w:sz w:val="24"/>
                <w:szCs w:val="24"/>
              </w:rPr>
            </w:pPr>
            <w:r w:rsidRPr="000425DF">
              <w:rPr>
                <w:rFonts w:asciiTheme="majorBidi" w:eastAsia="Times New Roman" w:hAnsiTheme="majorBidi" w:cstheme="majorBidi"/>
                <w:noProof w:val="0"/>
                <w:color w:val="000000"/>
                <w:sz w:val="24"/>
                <w:szCs w:val="24"/>
              </w:rPr>
              <w:t>0.00</w:t>
            </w:r>
          </w:p>
        </w:tc>
        <w:tc>
          <w:tcPr>
            <w:tcW w:w="1843" w:type="dxa"/>
            <w:tcBorders>
              <w:left w:val="single" w:sz="4" w:space="0" w:color="auto"/>
              <w:right w:val="nil"/>
            </w:tcBorders>
            <w:vAlign w:val="center"/>
          </w:tcPr>
          <w:p w14:paraId="0ABD4DA5" w14:textId="5F1B13F7" w:rsidR="00273902" w:rsidRPr="000425DF" w:rsidRDefault="00273902" w:rsidP="00273902">
            <w:pPr>
              <w:jc w:val="right"/>
              <w:rPr>
                <w:rFonts w:asciiTheme="majorBidi" w:hAnsiTheme="majorBidi" w:cstheme="majorBidi"/>
                <w:color w:val="000000"/>
                <w:sz w:val="24"/>
                <w:szCs w:val="24"/>
              </w:rPr>
            </w:pPr>
            <w:r>
              <w:rPr>
                <w:rFonts w:asciiTheme="majorBidi" w:hAnsiTheme="majorBidi" w:cstheme="majorBidi"/>
                <w:color w:val="000000"/>
                <w:sz w:val="24"/>
                <w:szCs w:val="24"/>
              </w:rPr>
              <w:t xml:space="preserve">50.27 * 0.00 = </w:t>
            </w:r>
          </w:p>
        </w:tc>
        <w:tc>
          <w:tcPr>
            <w:tcW w:w="1418" w:type="dxa"/>
            <w:tcBorders>
              <w:top w:val="single" w:sz="4" w:space="0" w:color="auto"/>
              <w:left w:val="nil"/>
              <w:bottom w:val="single" w:sz="4" w:space="0" w:color="auto"/>
            </w:tcBorders>
            <w:shd w:val="clear" w:color="auto" w:fill="auto"/>
            <w:vAlign w:val="center"/>
          </w:tcPr>
          <w:p w14:paraId="4E5800EE" w14:textId="0532D90C" w:rsidR="00273902" w:rsidRPr="000425DF" w:rsidRDefault="00273902" w:rsidP="00273902">
            <w:pPr>
              <w:rPr>
                <w:rFonts w:asciiTheme="majorBidi" w:eastAsia="Times New Roman" w:hAnsiTheme="majorBidi" w:cstheme="majorBidi"/>
                <w:noProof w:val="0"/>
                <w:color w:val="000000"/>
                <w:sz w:val="24"/>
                <w:szCs w:val="24"/>
              </w:rPr>
            </w:pPr>
            <w:r w:rsidRPr="000425DF">
              <w:rPr>
                <w:rFonts w:asciiTheme="majorBidi" w:hAnsiTheme="majorBidi" w:cstheme="majorBidi"/>
                <w:color w:val="000000"/>
                <w:sz w:val="24"/>
                <w:szCs w:val="24"/>
              </w:rPr>
              <w:t>0.00</w:t>
            </w:r>
          </w:p>
        </w:tc>
        <w:tc>
          <w:tcPr>
            <w:tcW w:w="1984" w:type="dxa"/>
            <w:tcBorders>
              <w:top w:val="single" w:sz="4" w:space="0" w:color="auto"/>
              <w:bottom w:val="single" w:sz="4" w:space="0" w:color="auto"/>
              <w:right w:val="nil"/>
            </w:tcBorders>
            <w:vAlign w:val="center"/>
          </w:tcPr>
          <w:p w14:paraId="5EE204CC" w14:textId="350DF4D3" w:rsidR="00273902" w:rsidRPr="000425DF" w:rsidRDefault="00273902" w:rsidP="000034DD">
            <w:pPr>
              <w:jc w:val="right"/>
              <w:rPr>
                <w:rFonts w:asciiTheme="majorBidi" w:hAnsiTheme="majorBidi" w:cstheme="majorBidi"/>
                <w:color w:val="000000"/>
                <w:sz w:val="24"/>
                <w:szCs w:val="24"/>
              </w:rPr>
            </w:pPr>
            <w:r>
              <w:rPr>
                <w:rFonts w:asciiTheme="majorBidi" w:hAnsiTheme="majorBidi" w:cstheme="majorBidi"/>
                <w:color w:val="000000"/>
                <w:sz w:val="24"/>
                <w:szCs w:val="24"/>
              </w:rPr>
              <w:t>2(√</w:t>
            </w:r>
            <w:r w:rsidR="000034DD">
              <w:rPr>
                <w:rFonts w:asciiTheme="majorBidi" w:hAnsiTheme="majorBidi" w:cstheme="majorBidi"/>
                <w:color w:val="000000"/>
                <w:sz w:val="24"/>
                <w:szCs w:val="24"/>
              </w:rPr>
              <w:t>0.00</w:t>
            </w:r>
            <w:r>
              <w:rPr>
                <w:rFonts w:asciiTheme="majorBidi" w:hAnsiTheme="majorBidi" w:cstheme="majorBidi"/>
                <w:color w:val="000000"/>
                <w:sz w:val="24"/>
                <w:szCs w:val="24"/>
              </w:rPr>
              <w:t xml:space="preserve"> / π) =</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28807B" w14:textId="64C46EF8" w:rsidR="00273902" w:rsidRPr="000425DF" w:rsidRDefault="00273902" w:rsidP="000034DD">
            <w:pPr>
              <w:rPr>
                <w:rFonts w:asciiTheme="majorBidi" w:hAnsiTheme="majorBidi" w:cstheme="majorBidi"/>
                <w:color w:val="000000"/>
                <w:sz w:val="24"/>
                <w:szCs w:val="24"/>
              </w:rPr>
            </w:pPr>
            <w:r w:rsidRPr="000425DF">
              <w:rPr>
                <w:rFonts w:asciiTheme="majorBidi" w:hAnsiTheme="majorBidi" w:cstheme="majorBidi"/>
                <w:color w:val="000000"/>
                <w:sz w:val="24"/>
                <w:szCs w:val="24"/>
              </w:rPr>
              <w:t>0.00</w:t>
            </w:r>
          </w:p>
        </w:tc>
      </w:tr>
    </w:tbl>
    <w:p w14:paraId="5974E69A" w14:textId="67808E73" w:rsidR="00FF407A" w:rsidRDefault="00FF407A">
      <w:pPr>
        <w:rPr>
          <w:rFonts w:asciiTheme="majorBidi" w:hAnsiTheme="majorBidi" w:cstheme="majorBidi"/>
          <w:b/>
          <w:bCs/>
          <w:noProof w:val="0"/>
          <w:sz w:val="24"/>
          <w:szCs w:val="24"/>
          <w:lang w:val="en-GB"/>
        </w:rPr>
      </w:pPr>
    </w:p>
    <w:p w14:paraId="49E5B0B6" w14:textId="77777777" w:rsidR="00FF407A" w:rsidRDefault="00FF407A">
      <w:pPr>
        <w:rPr>
          <w:rFonts w:asciiTheme="majorBidi" w:hAnsiTheme="majorBidi" w:cstheme="majorBidi"/>
          <w:b/>
          <w:bCs/>
          <w:noProof w:val="0"/>
          <w:sz w:val="24"/>
          <w:szCs w:val="24"/>
          <w:lang w:val="en-GB"/>
        </w:rPr>
      </w:pPr>
      <w:r>
        <w:rPr>
          <w:rFonts w:asciiTheme="majorBidi" w:hAnsiTheme="majorBidi" w:cstheme="majorBidi"/>
          <w:b/>
          <w:bCs/>
          <w:noProof w:val="0"/>
          <w:sz w:val="24"/>
          <w:szCs w:val="24"/>
          <w:lang w:val="en-GB"/>
        </w:rPr>
        <w:br w:type="page"/>
      </w:r>
    </w:p>
    <w:p w14:paraId="5609E1CC" w14:textId="26B9DE4D" w:rsidR="000075B4" w:rsidRDefault="00722B6A">
      <w:pPr>
        <w:rPr>
          <w:rFonts w:asciiTheme="majorBidi" w:hAnsiTheme="majorBidi" w:cstheme="majorBidi"/>
          <w:i/>
          <w:iCs/>
          <w:noProof w:val="0"/>
          <w:sz w:val="24"/>
          <w:szCs w:val="24"/>
          <w:lang w:val="en-GB"/>
        </w:rPr>
      </w:pPr>
      <w:r w:rsidRPr="00722B6A">
        <w:rPr>
          <w:rFonts w:asciiTheme="majorBidi" w:hAnsiTheme="majorBidi" w:cstheme="majorBidi"/>
          <w:i/>
          <w:iCs/>
          <w:noProof w:val="0"/>
          <w:sz w:val="24"/>
          <w:szCs w:val="24"/>
          <w:lang w:val="en-GB"/>
        </w:rPr>
        <w:lastRenderedPageBreak/>
        <w:t xml:space="preserve">Table A2. Data and fuzzy-set membership scores for </w:t>
      </w:r>
      <w:r w:rsidR="006B3247">
        <w:rPr>
          <w:rFonts w:asciiTheme="majorBidi" w:hAnsiTheme="majorBidi" w:cstheme="majorBidi"/>
          <w:i/>
          <w:iCs/>
          <w:noProof w:val="0"/>
          <w:sz w:val="24"/>
          <w:szCs w:val="24"/>
          <w:lang w:val="en-GB"/>
        </w:rPr>
        <w:t xml:space="preserve">the </w:t>
      </w:r>
      <w:r w:rsidRPr="00722B6A">
        <w:rPr>
          <w:rFonts w:asciiTheme="majorBidi" w:hAnsiTheme="majorBidi" w:cstheme="majorBidi"/>
          <w:i/>
          <w:iCs/>
          <w:noProof w:val="0"/>
          <w:sz w:val="24"/>
          <w:szCs w:val="24"/>
          <w:lang w:val="en-GB"/>
        </w:rPr>
        <w:t>financing dimension</w:t>
      </w:r>
      <w:r w:rsidR="00FF407A">
        <w:rPr>
          <w:rFonts w:asciiTheme="majorBidi" w:hAnsiTheme="majorBidi" w:cstheme="majorBidi"/>
          <w:i/>
          <w:iCs/>
          <w:noProof w:val="0"/>
          <w:sz w:val="24"/>
          <w:szCs w:val="24"/>
          <w:lang w:val="en-GB"/>
        </w:rPr>
        <w:t>.</w:t>
      </w:r>
    </w:p>
    <w:p w14:paraId="06ACA5EB" w14:textId="34884A6B" w:rsidR="006B3247" w:rsidRPr="00722B6A" w:rsidRDefault="006B3247">
      <w:pPr>
        <w:rPr>
          <w:rFonts w:asciiTheme="majorBidi" w:hAnsiTheme="majorBidi" w:cstheme="majorBidi"/>
          <w:i/>
          <w:iCs/>
          <w:noProof w:val="0"/>
          <w:sz w:val="24"/>
          <w:szCs w:val="24"/>
          <w:lang w:val="en-GB"/>
        </w:rPr>
      </w:pPr>
      <w:r>
        <w:rPr>
          <w:rFonts w:asciiTheme="majorBidi" w:hAnsiTheme="majorBidi" w:cstheme="majorBidi"/>
          <w:i/>
          <w:iCs/>
          <w:noProof w:val="0"/>
          <w:sz w:val="24"/>
          <w:szCs w:val="24"/>
          <w:lang w:val="en-GB"/>
        </w:rPr>
        <w:t>Note: Data for system introduction refers, if available, to a time span of three years after de jure implementation date. Data for the system ‘today’ refers to the latest data available, generally for the 2010s (with exception of the Netherlands where data refers to the situation before 2015).</w:t>
      </w:r>
    </w:p>
    <w:tbl>
      <w:tblPr>
        <w:tblStyle w:val="Tabellenraster"/>
        <w:tblW w:w="14737" w:type="dxa"/>
        <w:tblLook w:val="04A0" w:firstRow="1" w:lastRow="0" w:firstColumn="1" w:lastColumn="0" w:noHBand="0" w:noVBand="1"/>
      </w:tblPr>
      <w:tblGrid>
        <w:gridCol w:w="1551"/>
        <w:gridCol w:w="6205"/>
        <w:gridCol w:w="2787"/>
        <w:gridCol w:w="1376"/>
        <w:gridCol w:w="703"/>
        <w:gridCol w:w="704"/>
        <w:gridCol w:w="707"/>
        <w:gridCol w:w="704"/>
      </w:tblGrid>
      <w:tr w:rsidR="00B336D3" w:rsidRPr="000425DF" w14:paraId="24D64930" w14:textId="77777777" w:rsidTr="00DD2461">
        <w:tc>
          <w:tcPr>
            <w:tcW w:w="1271" w:type="dxa"/>
            <w:shd w:val="clear" w:color="auto" w:fill="auto"/>
          </w:tcPr>
          <w:p w14:paraId="542834F0" w14:textId="6A541238" w:rsidR="00FB56F6" w:rsidRPr="00722B6A" w:rsidRDefault="00DD2461" w:rsidP="00FB56F6">
            <w:pPr>
              <w:spacing w:after="160" w:line="259" w:lineRule="auto"/>
              <w:rPr>
                <w:rFonts w:asciiTheme="majorBidi" w:hAnsiTheme="majorBidi" w:cstheme="majorBidi"/>
                <w:b/>
                <w:bCs/>
                <w:noProof w:val="0"/>
                <w:sz w:val="24"/>
                <w:szCs w:val="24"/>
                <w:lang w:val="en-GB"/>
              </w:rPr>
            </w:pPr>
            <w:r w:rsidRPr="00722B6A">
              <w:rPr>
                <w:rFonts w:asciiTheme="majorBidi" w:hAnsiTheme="majorBidi" w:cstheme="majorBidi"/>
                <w:b/>
                <w:bCs/>
                <w:noProof w:val="0"/>
                <w:sz w:val="24"/>
                <w:szCs w:val="24"/>
                <w:lang w:val="en-GB"/>
              </w:rPr>
              <w:t>Country</w:t>
            </w:r>
            <w:r w:rsidR="00803C4A" w:rsidRPr="00722B6A">
              <w:rPr>
                <w:rFonts w:asciiTheme="majorBidi" w:hAnsiTheme="majorBidi" w:cstheme="majorBidi"/>
                <w:b/>
                <w:bCs/>
                <w:noProof w:val="0"/>
                <w:sz w:val="24"/>
                <w:szCs w:val="24"/>
                <w:lang w:val="en-GB"/>
              </w:rPr>
              <w:t xml:space="preserve"> </w:t>
            </w:r>
            <w:r w:rsidR="00722B6A">
              <w:rPr>
                <w:rFonts w:asciiTheme="majorBidi" w:hAnsiTheme="majorBidi" w:cstheme="majorBidi"/>
                <w:b/>
                <w:bCs/>
                <w:noProof w:val="0"/>
                <w:sz w:val="24"/>
                <w:szCs w:val="24"/>
                <w:lang w:val="en-GB"/>
              </w:rPr>
              <w:t>(time)</w:t>
            </w:r>
          </w:p>
        </w:tc>
        <w:tc>
          <w:tcPr>
            <w:tcW w:w="6521" w:type="dxa"/>
            <w:shd w:val="clear" w:color="auto" w:fill="auto"/>
          </w:tcPr>
          <w:p w14:paraId="2583AF42" w14:textId="77777777" w:rsidR="00FB56F6" w:rsidRPr="00722B6A" w:rsidRDefault="00FB56F6" w:rsidP="00FB56F6">
            <w:pPr>
              <w:spacing w:after="160" w:line="259" w:lineRule="auto"/>
              <w:rPr>
                <w:rFonts w:asciiTheme="majorBidi" w:hAnsiTheme="majorBidi" w:cstheme="majorBidi"/>
                <w:b/>
                <w:bCs/>
                <w:noProof w:val="0"/>
                <w:sz w:val="24"/>
                <w:szCs w:val="24"/>
                <w:lang w:val="en-GB"/>
              </w:rPr>
            </w:pPr>
            <w:r w:rsidRPr="00722B6A">
              <w:rPr>
                <w:rFonts w:asciiTheme="majorBidi" w:hAnsiTheme="majorBidi" w:cstheme="majorBidi"/>
                <w:b/>
                <w:bCs/>
                <w:noProof w:val="0"/>
                <w:sz w:val="24"/>
                <w:szCs w:val="24"/>
                <w:lang w:val="en-GB"/>
              </w:rPr>
              <w:t>Raw data</w:t>
            </w:r>
          </w:p>
        </w:tc>
        <w:tc>
          <w:tcPr>
            <w:tcW w:w="2835" w:type="dxa"/>
            <w:shd w:val="clear" w:color="auto" w:fill="auto"/>
          </w:tcPr>
          <w:p w14:paraId="47E7492C" w14:textId="77777777" w:rsidR="00FB56F6" w:rsidRPr="00722B6A" w:rsidRDefault="00FB56F6" w:rsidP="00FB56F6">
            <w:pPr>
              <w:spacing w:after="160" w:line="259" w:lineRule="auto"/>
              <w:rPr>
                <w:rFonts w:asciiTheme="majorBidi" w:hAnsiTheme="majorBidi" w:cstheme="majorBidi"/>
                <w:b/>
                <w:bCs/>
                <w:noProof w:val="0"/>
                <w:sz w:val="24"/>
                <w:szCs w:val="24"/>
                <w:lang w:val="en-GB"/>
              </w:rPr>
            </w:pPr>
            <w:r w:rsidRPr="00722B6A">
              <w:rPr>
                <w:rFonts w:asciiTheme="majorBidi" w:hAnsiTheme="majorBidi" w:cstheme="majorBidi"/>
                <w:b/>
                <w:bCs/>
                <w:noProof w:val="0"/>
                <w:sz w:val="24"/>
                <w:szCs w:val="24"/>
                <w:lang w:val="en-GB"/>
              </w:rPr>
              <w:t>Sources</w:t>
            </w:r>
          </w:p>
        </w:tc>
        <w:tc>
          <w:tcPr>
            <w:tcW w:w="1275" w:type="dxa"/>
            <w:shd w:val="clear" w:color="auto" w:fill="auto"/>
          </w:tcPr>
          <w:p w14:paraId="0EEF00CB" w14:textId="77777777" w:rsidR="00FB56F6" w:rsidRPr="00722B6A" w:rsidRDefault="00FB56F6" w:rsidP="00FB56F6">
            <w:pPr>
              <w:rPr>
                <w:rFonts w:asciiTheme="majorBidi" w:hAnsiTheme="majorBidi" w:cstheme="majorBidi"/>
                <w:b/>
                <w:bCs/>
                <w:noProof w:val="0"/>
                <w:sz w:val="24"/>
                <w:szCs w:val="24"/>
                <w:lang w:val="en-GB"/>
              </w:rPr>
            </w:pPr>
            <w:r w:rsidRPr="00722B6A">
              <w:rPr>
                <w:rFonts w:asciiTheme="majorBidi" w:hAnsiTheme="majorBidi" w:cstheme="majorBidi"/>
                <w:b/>
                <w:bCs/>
                <w:noProof w:val="0"/>
                <w:sz w:val="24"/>
                <w:szCs w:val="24"/>
                <w:lang w:val="en-GB"/>
              </w:rPr>
              <w:t>Confidence</w:t>
            </w:r>
          </w:p>
        </w:tc>
        <w:tc>
          <w:tcPr>
            <w:tcW w:w="708" w:type="dxa"/>
            <w:shd w:val="clear" w:color="auto" w:fill="auto"/>
          </w:tcPr>
          <w:p w14:paraId="01FE1D21" w14:textId="77777777" w:rsidR="00FB56F6" w:rsidRPr="00722B6A" w:rsidRDefault="00FB56F6" w:rsidP="00B336D3">
            <w:pPr>
              <w:jc w:val="center"/>
              <w:rPr>
                <w:rFonts w:asciiTheme="majorBidi" w:hAnsiTheme="majorBidi" w:cstheme="majorBidi"/>
                <w:b/>
                <w:bCs/>
                <w:noProof w:val="0"/>
                <w:sz w:val="24"/>
                <w:szCs w:val="24"/>
                <w:lang w:val="en-GB"/>
              </w:rPr>
            </w:pPr>
            <w:r w:rsidRPr="00722B6A">
              <w:rPr>
                <w:rFonts w:asciiTheme="majorBidi" w:hAnsiTheme="majorBidi" w:cstheme="majorBidi"/>
                <w:b/>
                <w:bCs/>
                <w:noProof w:val="0"/>
                <w:sz w:val="24"/>
                <w:szCs w:val="24"/>
                <w:lang w:val="en-GB"/>
              </w:rPr>
              <w:t>ST</w:t>
            </w:r>
          </w:p>
        </w:tc>
        <w:tc>
          <w:tcPr>
            <w:tcW w:w="709" w:type="dxa"/>
            <w:shd w:val="clear" w:color="auto" w:fill="auto"/>
          </w:tcPr>
          <w:p w14:paraId="0CB02301" w14:textId="77777777" w:rsidR="00FB56F6" w:rsidRPr="00722B6A" w:rsidRDefault="00FB56F6" w:rsidP="00B336D3">
            <w:pPr>
              <w:spacing w:after="160" w:line="259" w:lineRule="auto"/>
              <w:jc w:val="center"/>
              <w:rPr>
                <w:rFonts w:asciiTheme="majorBidi" w:hAnsiTheme="majorBidi" w:cstheme="majorBidi"/>
                <w:b/>
                <w:bCs/>
                <w:noProof w:val="0"/>
                <w:sz w:val="24"/>
                <w:szCs w:val="24"/>
                <w:lang w:val="en-GB"/>
              </w:rPr>
            </w:pPr>
            <w:r w:rsidRPr="00722B6A">
              <w:rPr>
                <w:rFonts w:asciiTheme="majorBidi" w:hAnsiTheme="majorBidi" w:cstheme="majorBidi"/>
                <w:b/>
                <w:bCs/>
                <w:noProof w:val="0"/>
                <w:sz w:val="24"/>
                <w:szCs w:val="24"/>
                <w:lang w:val="en-GB"/>
              </w:rPr>
              <w:t>SA</w:t>
            </w:r>
          </w:p>
        </w:tc>
        <w:tc>
          <w:tcPr>
            <w:tcW w:w="709" w:type="dxa"/>
            <w:shd w:val="clear" w:color="auto" w:fill="auto"/>
          </w:tcPr>
          <w:p w14:paraId="5C3B90B1" w14:textId="77777777" w:rsidR="00FB56F6" w:rsidRPr="00722B6A" w:rsidRDefault="00FB56F6" w:rsidP="00B336D3">
            <w:pPr>
              <w:jc w:val="center"/>
              <w:rPr>
                <w:rFonts w:asciiTheme="majorBidi" w:hAnsiTheme="majorBidi" w:cstheme="majorBidi"/>
                <w:b/>
                <w:bCs/>
                <w:noProof w:val="0"/>
                <w:sz w:val="24"/>
                <w:szCs w:val="24"/>
                <w:lang w:val="en-GB"/>
              </w:rPr>
            </w:pPr>
            <w:r w:rsidRPr="00722B6A">
              <w:rPr>
                <w:rFonts w:asciiTheme="majorBidi" w:hAnsiTheme="majorBidi" w:cstheme="majorBidi"/>
                <w:b/>
                <w:bCs/>
                <w:noProof w:val="0"/>
                <w:sz w:val="24"/>
                <w:szCs w:val="24"/>
                <w:lang w:val="en-GB"/>
              </w:rPr>
              <w:t>PPA</w:t>
            </w:r>
          </w:p>
        </w:tc>
        <w:tc>
          <w:tcPr>
            <w:tcW w:w="709" w:type="dxa"/>
            <w:shd w:val="clear" w:color="auto" w:fill="auto"/>
          </w:tcPr>
          <w:p w14:paraId="742AB107" w14:textId="77777777" w:rsidR="00FB56F6" w:rsidRPr="00722B6A" w:rsidRDefault="00FB56F6" w:rsidP="00B336D3">
            <w:pPr>
              <w:jc w:val="center"/>
              <w:rPr>
                <w:rFonts w:asciiTheme="majorBidi" w:hAnsiTheme="majorBidi" w:cstheme="majorBidi"/>
                <w:b/>
                <w:bCs/>
                <w:noProof w:val="0"/>
                <w:sz w:val="24"/>
                <w:szCs w:val="24"/>
                <w:lang w:val="en-GB"/>
              </w:rPr>
            </w:pPr>
            <w:r w:rsidRPr="00722B6A">
              <w:rPr>
                <w:rFonts w:asciiTheme="majorBidi" w:hAnsiTheme="majorBidi" w:cstheme="majorBidi"/>
                <w:b/>
                <w:bCs/>
                <w:noProof w:val="0"/>
                <w:sz w:val="24"/>
                <w:szCs w:val="24"/>
                <w:lang w:val="en-GB"/>
              </w:rPr>
              <w:t>PIA</w:t>
            </w:r>
          </w:p>
        </w:tc>
      </w:tr>
      <w:tr w:rsidR="00B336D3" w:rsidRPr="000425DF" w14:paraId="05D4F837" w14:textId="77777777" w:rsidTr="00DD2461">
        <w:tc>
          <w:tcPr>
            <w:tcW w:w="1271" w:type="dxa"/>
            <w:shd w:val="clear" w:color="auto" w:fill="auto"/>
          </w:tcPr>
          <w:p w14:paraId="4BC282CA" w14:textId="71010B99" w:rsidR="00FB56F6" w:rsidRPr="000425DF" w:rsidRDefault="00FB56F6" w:rsidP="00FB56F6">
            <w:pPr>
              <w:spacing w:after="160" w:line="259" w:lineRule="auto"/>
              <w:rPr>
                <w:rFonts w:asciiTheme="majorBidi" w:hAnsiTheme="majorBidi" w:cstheme="majorBidi"/>
                <w:noProof w:val="0"/>
                <w:sz w:val="24"/>
                <w:szCs w:val="24"/>
                <w:lang w:val="en-GB"/>
              </w:rPr>
            </w:pPr>
            <w:r w:rsidRPr="000425DF">
              <w:rPr>
                <w:rFonts w:asciiTheme="majorBidi" w:hAnsiTheme="majorBidi" w:cstheme="majorBidi"/>
                <w:noProof w:val="0"/>
                <w:sz w:val="24"/>
                <w:szCs w:val="24"/>
                <w:lang w:val="en-GB"/>
              </w:rPr>
              <w:t>Germany</w:t>
            </w:r>
            <w:r w:rsidR="008C3258" w:rsidRPr="000425DF">
              <w:rPr>
                <w:rFonts w:asciiTheme="majorBidi" w:hAnsiTheme="majorBidi" w:cstheme="majorBidi"/>
                <w:noProof w:val="0"/>
                <w:sz w:val="24"/>
                <w:szCs w:val="24"/>
                <w:lang w:val="en-GB"/>
              </w:rPr>
              <w:t xml:space="preserve"> </w:t>
            </w:r>
            <w:r w:rsidR="00722B6A">
              <w:rPr>
                <w:rFonts w:asciiTheme="majorBidi" w:hAnsiTheme="majorBidi" w:cstheme="majorBidi"/>
                <w:noProof w:val="0"/>
                <w:sz w:val="24"/>
                <w:szCs w:val="24"/>
                <w:lang w:val="en-GB"/>
              </w:rPr>
              <w:t>(</w:t>
            </w:r>
            <w:r w:rsidR="008C3258" w:rsidRPr="000425DF">
              <w:rPr>
                <w:rFonts w:asciiTheme="majorBidi" w:hAnsiTheme="majorBidi" w:cstheme="majorBidi"/>
                <w:noProof w:val="0"/>
                <w:sz w:val="24"/>
                <w:szCs w:val="24"/>
                <w:lang w:val="en-GB"/>
              </w:rPr>
              <w:t>intro</w:t>
            </w:r>
            <w:r w:rsidR="00722B6A">
              <w:rPr>
                <w:rFonts w:asciiTheme="majorBidi" w:hAnsiTheme="majorBidi" w:cstheme="majorBidi"/>
                <w:noProof w:val="0"/>
                <w:sz w:val="24"/>
                <w:szCs w:val="24"/>
                <w:lang w:val="en-GB"/>
              </w:rPr>
              <w:t>duction)</w:t>
            </w:r>
          </w:p>
        </w:tc>
        <w:tc>
          <w:tcPr>
            <w:tcW w:w="6521" w:type="dxa"/>
            <w:shd w:val="clear" w:color="auto" w:fill="auto"/>
          </w:tcPr>
          <w:p w14:paraId="00205CBF" w14:textId="4D6AA8EF" w:rsidR="00FB56F6" w:rsidRPr="000425DF" w:rsidRDefault="00175B3A" w:rsidP="00FB56F6">
            <w:pPr>
              <w:rPr>
                <w:rFonts w:asciiTheme="majorBidi" w:hAnsiTheme="majorBidi" w:cstheme="majorBidi"/>
                <w:noProof w:val="0"/>
                <w:color w:val="000000"/>
                <w:sz w:val="24"/>
                <w:szCs w:val="24"/>
                <w:lang w:val="en-GB"/>
              </w:rPr>
            </w:pPr>
            <w:r w:rsidRPr="000425DF">
              <w:rPr>
                <w:rFonts w:asciiTheme="majorBidi" w:hAnsiTheme="majorBidi" w:cstheme="majorBidi"/>
                <w:noProof w:val="0"/>
                <w:color w:val="000000"/>
                <w:sz w:val="24"/>
                <w:szCs w:val="24"/>
                <w:lang w:val="en-GB"/>
              </w:rPr>
              <w:t xml:space="preserve">The </w:t>
            </w:r>
            <w:r w:rsidR="00FB56F6" w:rsidRPr="000425DF">
              <w:rPr>
                <w:rFonts w:asciiTheme="majorBidi" w:hAnsiTheme="majorBidi" w:cstheme="majorBidi"/>
                <w:noProof w:val="0"/>
                <w:color w:val="000000"/>
                <w:sz w:val="24"/>
                <w:szCs w:val="24"/>
                <w:lang w:val="en-GB"/>
              </w:rPr>
              <w:t xml:space="preserve">SLTCI </w:t>
            </w:r>
            <w:r w:rsidRPr="000425DF">
              <w:rPr>
                <w:rFonts w:asciiTheme="majorBidi" w:hAnsiTheme="majorBidi" w:cstheme="majorBidi"/>
                <w:noProof w:val="0"/>
                <w:color w:val="000000"/>
                <w:sz w:val="24"/>
                <w:szCs w:val="24"/>
                <w:lang w:val="en-GB"/>
              </w:rPr>
              <w:t xml:space="preserve">is </w:t>
            </w:r>
            <w:r w:rsidR="00FB56F6" w:rsidRPr="000425DF">
              <w:rPr>
                <w:rFonts w:asciiTheme="majorBidi" w:hAnsiTheme="majorBidi" w:cstheme="majorBidi"/>
                <w:noProof w:val="0"/>
                <w:color w:val="000000"/>
                <w:sz w:val="24"/>
                <w:szCs w:val="24"/>
                <w:lang w:val="en-GB"/>
              </w:rPr>
              <w:t>financed almost exclusively from insurance contributions (</w:t>
            </w:r>
            <w:r w:rsidR="00412FBA" w:rsidRPr="000425DF">
              <w:rPr>
                <w:rFonts w:asciiTheme="majorBidi" w:hAnsiTheme="majorBidi" w:cstheme="majorBidi"/>
                <w:noProof w:val="0"/>
                <w:color w:val="000000"/>
                <w:sz w:val="24"/>
                <w:szCs w:val="24"/>
                <w:lang w:val="en-GB"/>
              </w:rPr>
              <w:t xml:space="preserve">mostly </w:t>
            </w:r>
            <w:r w:rsidR="00FB56F6" w:rsidRPr="000425DF">
              <w:rPr>
                <w:rFonts w:asciiTheme="majorBidi" w:hAnsiTheme="majorBidi" w:cstheme="majorBidi"/>
                <w:noProof w:val="0"/>
                <w:color w:val="000000"/>
                <w:sz w:val="24"/>
                <w:szCs w:val="24"/>
                <w:lang w:val="en-GB"/>
              </w:rPr>
              <w:t>payed by employees and employers)</w:t>
            </w:r>
            <w:r w:rsidRPr="000425DF">
              <w:rPr>
                <w:rFonts w:asciiTheme="majorBidi" w:hAnsiTheme="majorBidi" w:cstheme="majorBidi"/>
                <w:noProof w:val="0"/>
                <w:color w:val="000000"/>
                <w:sz w:val="24"/>
                <w:szCs w:val="24"/>
                <w:lang w:val="en-GB"/>
              </w:rPr>
              <w:t>.</w:t>
            </w:r>
            <w:r w:rsidR="00B336D3" w:rsidRPr="000425DF">
              <w:rPr>
                <w:rFonts w:asciiTheme="majorBidi" w:hAnsiTheme="majorBidi" w:cstheme="majorBidi"/>
                <w:noProof w:val="0"/>
                <w:color w:val="000000"/>
                <w:sz w:val="24"/>
                <w:szCs w:val="24"/>
                <w:lang w:val="en-GB"/>
              </w:rPr>
              <w:t xml:space="preserve"> No individual co-payments or state co-financing shares are foreseen.</w:t>
            </w:r>
          </w:p>
        </w:tc>
        <w:tc>
          <w:tcPr>
            <w:tcW w:w="2835" w:type="dxa"/>
            <w:shd w:val="clear" w:color="auto" w:fill="auto"/>
          </w:tcPr>
          <w:p w14:paraId="7492CB4C" w14:textId="56AF6929" w:rsidR="00FB56F6" w:rsidRPr="000425DF" w:rsidRDefault="00F63F5D" w:rsidP="00E4334B">
            <w:pPr>
              <w:rPr>
                <w:rFonts w:asciiTheme="majorBidi" w:hAnsiTheme="majorBidi" w:cstheme="majorBidi"/>
                <w:noProof w:val="0"/>
                <w:sz w:val="24"/>
                <w:szCs w:val="24"/>
                <w:lang w:val="en-GB"/>
              </w:rPr>
            </w:pPr>
            <w:r>
              <w:rPr>
                <w:rFonts w:asciiTheme="majorBidi" w:hAnsiTheme="majorBidi" w:cstheme="majorBidi"/>
                <w:sz w:val="24"/>
                <w:szCs w:val="24"/>
                <w:lang w:val="en-GB"/>
              </w:rPr>
              <w:t>Mager, 1999; Rothgang, 2010</w:t>
            </w:r>
            <w:r w:rsidR="00E4334B" w:rsidRPr="000425DF">
              <w:rPr>
                <w:rFonts w:asciiTheme="majorBidi" w:hAnsiTheme="majorBidi" w:cstheme="majorBidi"/>
                <w:noProof w:val="0"/>
                <w:sz w:val="24"/>
                <w:szCs w:val="24"/>
                <w:lang w:val="en-GB"/>
              </w:rPr>
              <w:t xml:space="preserve">; </w:t>
            </w:r>
            <w:proofErr w:type="spellStart"/>
            <w:r w:rsidR="00E4334B" w:rsidRPr="000425DF">
              <w:rPr>
                <w:rFonts w:asciiTheme="majorBidi" w:hAnsiTheme="majorBidi" w:cstheme="majorBidi"/>
                <w:noProof w:val="0"/>
                <w:sz w:val="24"/>
                <w:szCs w:val="24"/>
                <w:lang w:val="en-GB"/>
              </w:rPr>
              <w:t>PflegeVG</w:t>
            </w:r>
            <w:proofErr w:type="spellEnd"/>
          </w:p>
        </w:tc>
        <w:tc>
          <w:tcPr>
            <w:tcW w:w="1275" w:type="dxa"/>
            <w:shd w:val="clear" w:color="auto" w:fill="auto"/>
          </w:tcPr>
          <w:p w14:paraId="3E8E207E" w14:textId="77777777" w:rsidR="00FB56F6" w:rsidRPr="000425DF" w:rsidRDefault="00FB56F6" w:rsidP="00FB56F6">
            <w:pPr>
              <w:rPr>
                <w:rFonts w:asciiTheme="majorBidi" w:hAnsiTheme="majorBidi" w:cstheme="majorBidi"/>
                <w:noProof w:val="0"/>
                <w:color w:val="000000"/>
                <w:sz w:val="24"/>
                <w:szCs w:val="24"/>
                <w:lang w:val="en-GB"/>
              </w:rPr>
            </w:pPr>
            <w:r w:rsidRPr="000425DF">
              <w:rPr>
                <w:rFonts w:asciiTheme="majorBidi" w:hAnsiTheme="majorBidi" w:cstheme="majorBidi"/>
                <w:noProof w:val="0"/>
                <w:color w:val="000000"/>
                <w:sz w:val="24"/>
                <w:szCs w:val="24"/>
                <w:lang w:val="en-GB"/>
              </w:rPr>
              <w:t>High</w:t>
            </w:r>
          </w:p>
        </w:tc>
        <w:tc>
          <w:tcPr>
            <w:tcW w:w="708" w:type="dxa"/>
            <w:shd w:val="clear" w:color="auto" w:fill="auto"/>
          </w:tcPr>
          <w:p w14:paraId="6D8149A1" w14:textId="77777777" w:rsidR="00FB56F6" w:rsidRPr="000425DF" w:rsidRDefault="00FB56F6" w:rsidP="00B336D3">
            <w:pPr>
              <w:jc w:val="center"/>
              <w:rPr>
                <w:rFonts w:asciiTheme="majorBidi" w:hAnsiTheme="majorBidi" w:cstheme="majorBidi"/>
                <w:noProof w:val="0"/>
                <w:color w:val="000000"/>
                <w:sz w:val="24"/>
                <w:szCs w:val="24"/>
                <w:lang w:val="en-GB"/>
              </w:rPr>
            </w:pPr>
            <w:r w:rsidRPr="000425DF">
              <w:rPr>
                <w:rFonts w:asciiTheme="majorBidi" w:hAnsiTheme="majorBidi" w:cstheme="majorBidi"/>
                <w:noProof w:val="0"/>
                <w:color w:val="000000"/>
                <w:sz w:val="24"/>
                <w:szCs w:val="24"/>
                <w:lang w:val="en-GB"/>
              </w:rPr>
              <w:t>0.0</w:t>
            </w:r>
          </w:p>
        </w:tc>
        <w:tc>
          <w:tcPr>
            <w:tcW w:w="709" w:type="dxa"/>
            <w:shd w:val="clear" w:color="auto" w:fill="auto"/>
          </w:tcPr>
          <w:p w14:paraId="13F286C0" w14:textId="77777777" w:rsidR="00FB56F6" w:rsidRPr="00722B6A" w:rsidRDefault="00FB56F6" w:rsidP="00B336D3">
            <w:pPr>
              <w:jc w:val="center"/>
              <w:rPr>
                <w:rFonts w:asciiTheme="majorBidi" w:hAnsiTheme="majorBidi" w:cstheme="majorBidi"/>
                <w:noProof w:val="0"/>
                <w:color w:val="000000"/>
                <w:sz w:val="24"/>
                <w:szCs w:val="24"/>
                <w:lang w:val="en-GB"/>
              </w:rPr>
            </w:pPr>
            <w:r w:rsidRPr="00722B6A">
              <w:rPr>
                <w:rFonts w:asciiTheme="majorBidi" w:hAnsiTheme="majorBidi" w:cstheme="majorBidi"/>
                <w:noProof w:val="0"/>
                <w:color w:val="000000"/>
                <w:sz w:val="24"/>
                <w:szCs w:val="24"/>
                <w:lang w:val="en-GB"/>
              </w:rPr>
              <w:t>1.0</w:t>
            </w:r>
          </w:p>
          <w:p w14:paraId="5A281E88" w14:textId="77777777" w:rsidR="00B031E3" w:rsidRPr="00722B6A" w:rsidRDefault="00B031E3" w:rsidP="00B031E3">
            <w:pPr>
              <w:rPr>
                <w:rFonts w:asciiTheme="majorBidi" w:hAnsiTheme="majorBidi" w:cstheme="majorBidi"/>
                <w:noProof w:val="0"/>
                <w:color w:val="000000"/>
                <w:sz w:val="24"/>
                <w:szCs w:val="24"/>
                <w:lang w:val="en-GB"/>
              </w:rPr>
            </w:pPr>
          </w:p>
        </w:tc>
        <w:tc>
          <w:tcPr>
            <w:tcW w:w="709" w:type="dxa"/>
            <w:shd w:val="clear" w:color="auto" w:fill="auto"/>
          </w:tcPr>
          <w:p w14:paraId="50283CBE" w14:textId="77777777" w:rsidR="00FB56F6" w:rsidRPr="000425DF" w:rsidRDefault="00FB56F6" w:rsidP="00B336D3">
            <w:pPr>
              <w:jc w:val="center"/>
              <w:rPr>
                <w:rFonts w:asciiTheme="majorBidi" w:hAnsiTheme="majorBidi" w:cstheme="majorBidi"/>
                <w:noProof w:val="0"/>
                <w:color w:val="000000"/>
                <w:sz w:val="24"/>
                <w:szCs w:val="24"/>
                <w:lang w:val="en-GB"/>
              </w:rPr>
            </w:pPr>
            <w:r w:rsidRPr="000425DF">
              <w:rPr>
                <w:rFonts w:asciiTheme="majorBidi" w:hAnsiTheme="majorBidi" w:cstheme="majorBidi"/>
                <w:noProof w:val="0"/>
                <w:color w:val="000000"/>
                <w:sz w:val="24"/>
                <w:szCs w:val="24"/>
                <w:lang w:val="en-GB"/>
              </w:rPr>
              <w:t>0.0</w:t>
            </w:r>
          </w:p>
        </w:tc>
        <w:tc>
          <w:tcPr>
            <w:tcW w:w="709" w:type="dxa"/>
            <w:shd w:val="clear" w:color="auto" w:fill="auto"/>
          </w:tcPr>
          <w:p w14:paraId="32AF3019" w14:textId="77777777" w:rsidR="00FB56F6" w:rsidRPr="000425DF" w:rsidRDefault="00FB56F6" w:rsidP="00B336D3">
            <w:pPr>
              <w:jc w:val="center"/>
              <w:rPr>
                <w:rFonts w:asciiTheme="majorBidi" w:hAnsiTheme="majorBidi" w:cstheme="majorBidi"/>
                <w:noProof w:val="0"/>
                <w:color w:val="000000"/>
                <w:sz w:val="24"/>
                <w:szCs w:val="24"/>
                <w:lang w:val="en-GB"/>
              </w:rPr>
            </w:pPr>
            <w:r w:rsidRPr="000425DF">
              <w:rPr>
                <w:rFonts w:asciiTheme="majorBidi" w:hAnsiTheme="majorBidi" w:cstheme="majorBidi"/>
                <w:noProof w:val="0"/>
                <w:color w:val="000000"/>
                <w:sz w:val="24"/>
                <w:szCs w:val="24"/>
                <w:lang w:val="en-GB"/>
              </w:rPr>
              <w:t>0.0</w:t>
            </w:r>
          </w:p>
        </w:tc>
      </w:tr>
      <w:tr w:rsidR="008C3258" w:rsidRPr="000425DF" w14:paraId="7A8021FF" w14:textId="77777777" w:rsidTr="00DD2461">
        <w:tc>
          <w:tcPr>
            <w:tcW w:w="1271" w:type="dxa"/>
            <w:shd w:val="clear" w:color="auto" w:fill="auto"/>
          </w:tcPr>
          <w:p w14:paraId="672E54CF" w14:textId="00A4495B" w:rsidR="008C3258" w:rsidRPr="000425DF" w:rsidRDefault="008C3258" w:rsidP="00FB56F6">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 xml:space="preserve">Germany </w:t>
            </w:r>
            <w:r w:rsidR="00722B6A">
              <w:rPr>
                <w:rFonts w:asciiTheme="majorBidi" w:hAnsiTheme="majorBidi" w:cstheme="majorBidi"/>
                <w:noProof w:val="0"/>
                <w:color w:val="1F3864" w:themeColor="accent1" w:themeShade="80"/>
                <w:sz w:val="24"/>
                <w:szCs w:val="24"/>
                <w:lang w:val="en-GB"/>
              </w:rPr>
              <w:t>(today)</w:t>
            </w:r>
          </w:p>
        </w:tc>
        <w:tc>
          <w:tcPr>
            <w:tcW w:w="6521" w:type="dxa"/>
            <w:shd w:val="clear" w:color="auto" w:fill="auto"/>
          </w:tcPr>
          <w:p w14:paraId="777871DF" w14:textId="4E87AE9E" w:rsidR="008C3258" w:rsidRPr="000425DF" w:rsidRDefault="00412FBA" w:rsidP="00FB56F6">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The SLTCI is financed almost exclusively from insurance contributions (mostly payed by employees and employers). No individual co-payments or state co-financing shares are foreseen.</w:t>
            </w:r>
          </w:p>
        </w:tc>
        <w:tc>
          <w:tcPr>
            <w:tcW w:w="2835" w:type="dxa"/>
            <w:shd w:val="clear" w:color="auto" w:fill="auto"/>
          </w:tcPr>
          <w:p w14:paraId="62B56EB2" w14:textId="39709450" w:rsidR="008C3258" w:rsidRPr="00507DB2" w:rsidRDefault="00F63F5D" w:rsidP="00D2333B">
            <w:pPr>
              <w:rPr>
                <w:rFonts w:asciiTheme="majorBidi" w:hAnsiTheme="majorBidi" w:cstheme="majorBidi"/>
                <w:noProof w:val="0"/>
                <w:color w:val="1F3864" w:themeColor="accent1" w:themeShade="80"/>
                <w:sz w:val="24"/>
                <w:szCs w:val="24"/>
                <w:lang w:val="de-DE"/>
              </w:rPr>
            </w:pPr>
            <w:r w:rsidRPr="00507DB2">
              <w:rPr>
                <w:rFonts w:asciiTheme="majorBidi" w:hAnsiTheme="majorBidi" w:cstheme="majorBidi"/>
                <w:color w:val="1F3864" w:themeColor="accent1" w:themeShade="80"/>
                <w:sz w:val="24"/>
                <w:szCs w:val="24"/>
                <w:lang w:val="de-DE"/>
              </w:rPr>
              <w:t>Bundesministerium für Gesundheit [BMG], 2021</w:t>
            </w:r>
            <w:r w:rsidR="00D2333B" w:rsidRPr="00507DB2">
              <w:rPr>
                <w:rFonts w:asciiTheme="majorBidi" w:hAnsiTheme="majorBidi" w:cstheme="majorBidi"/>
                <w:noProof w:val="0"/>
                <w:color w:val="1F3864" w:themeColor="accent1" w:themeShade="80"/>
                <w:sz w:val="24"/>
                <w:szCs w:val="24"/>
                <w:lang w:val="de-DE"/>
              </w:rPr>
              <w:t>; PflegeVG</w:t>
            </w:r>
          </w:p>
        </w:tc>
        <w:tc>
          <w:tcPr>
            <w:tcW w:w="1275" w:type="dxa"/>
            <w:shd w:val="clear" w:color="auto" w:fill="auto"/>
          </w:tcPr>
          <w:p w14:paraId="65649813" w14:textId="57BA0B75" w:rsidR="008C3258" w:rsidRPr="000425DF" w:rsidRDefault="00412FBA" w:rsidP="00FB56F6">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High</w:t>
            </w:r>
          </w:p>
        </w:tc>
        <w:tc>
          <w:tcPr>
            <w:tcW w:w="708" w:type="dxa"/>
            <w:shd w:val="clear" w:color="auto" w:fill="auto"/>
          </w:tcPr>
          <w:p w14:paraId="5F2B02F1" w14:textId="3D0EED1D" w:rsidR="008C3258" w:rsidRPr="000425DF" w:rsidRDefault="00412FBA" w:rsidP="00B336D3">
            <w:pPr>
              <w:jc w:val="cente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0.0</w:t>
            </w:r>
          </w:p>
        </w:tc>
        <w:tc>
          <w:tcPr>
            <w:tcW w:w="709" w:type="dxa"/>
            <w:shd w:val="clear" w:color="auto" w:fill="auto"/>
          </w:tcPr>
          <w:p w14:paraId="101CC2ED" w14:textId="6B8C98E8" w:rsidR="008C3258" w:rsidRPr="00722B6A" w:rsidRDefault="00412FBA" w:rsidP="00B336D3">
            <w:pPr>
              <w:jc w:val="center"/>
              <w:rPr>
                <w:rFonts w:asciiTheme="majorBidi" w:hAnsiTheme="majorBidi" w:cstheme="majorBidi"/>
                <w:noProof w:val="0"/>
                <w:color w:val="1F3864" w:themeColor="accent1" w:themeShade="80"/>
                <w:sz w:val="24"/>
                <w:szCs w:val="24"/>
                <w:lang w:val="en-GB"/>
              </w:rPr>
            </w:pPr>
            <w:r w:rsidRPr="00722B6A">
              <w:rPr>
                <w:rFonts w:asciiTheme="majorBidi" w:hAnsiTheme="majorBidi" w:cstheme="majorBidi"/>
                <w:noProof w:val="0"/>
                <w:color w:val="1F3864" w:themeColor="accent1" w:themeShade="80"/>
                <w:sz w:val="24"/>
                <w:szCs w:val="24"/>
                <w:lang w:val="en-GB"/>
              </w:rPr>
              <w:t>1.0</w:t>
            </w:r>
          </w:p>
        </w:tc>
        <w:tc>
          <w:tcPr>
            <w:tcW w:w="709" w:type="dxa"/>
            <w:shd w:val="clear" w:color="auto" w:fill="auto"/>
          </w:tcPr>
          <w:p w14:paraId="3A6EBCBD" w14:textId="31CE8E99" w:rsidR="008C3258" w:rsidRPr="000425DF" w:rsidRDefault="00412FBA" w:rsidP="00B336D3">
            <w:pPr>
              <w:jc w:val="cente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0.0</w:t>
            </w:r>
          </w:p>
        </w:tc>
        <w:tc>
          <w:tcPr>
            <w:tcW w:w="709" w:type="dxa"/>
            <w:shd w:val="clear" w:color="auto" w:fill="auto"/>
          </w:tcPr>
          <w:p w14:paraId="454B72CE" w14:textId="06891022" w:rsidR="008C3258" w:rsidRPr="000425DF" w:rsidRDefault="00412FBA" w:rsidP="00B336D3">
            <w:pPr>
              <w:jc w:val="cente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0.0</w:t>
            </w:r>
          </w:p>
        </w:tc>
      </w:tr>
      <w:tr w:rsidR="00B336D3" w:rsidRPr="000425DF" w14:paraId="2D764BB6" w14:textId="77777777" w:rsidTr="00DD2461">
        <w:tc>
          <w:tcPr>
            <w:tcW w:w="1271" w:type="dxa"/>
            <w:shd w:val="clear" w:color="auto" w:fill="auto"/>
          </w:tcPr>
          <w:p w14:paraId="5643143F" w14:textId="1B312CC9" w:rsidR="00FB56F6" w:rsidRPr="000425DF" w:rsidRDefault="00FB56F6" w:rsidP="00FB56F6">
            <w:pPr>
              <w:spacing w:after="160" w:line="259" w:lineRule="auto"/>
              <w:rPr>
                <w:rFonts w:asciiTheme="majorBidi" w:hAnsiTheme="majorBidi" w:cstheme="majorBidi"/>
                <w:noProof w:val="0"/>
                <w:sz w:val="24"/>
                <w:szCs w:val="24"/>
                <w:lang w:val="en-GB"/>
              </w:rPr>
            </w:pPr>
            <w:r w:rsidRPr="000425DF">
              <w:rPr>
                <w:rFonts w:asciiTheme="majorBidi" w:hAnsiTheme="majorBidi" w:cstheme="majorBidi"/>
                <w:noProof w:val="0"/>
                <w:sz w:val="24"/>
                <w:szCs w:val="24"/>
                <w:lang w:val="en-GB"/>
              </w:rPr>
              <w:t>Israel</w:t>
            </w:r>
            <w:r w:rsidR="00722B6A">
              <w:rPr>
                <w:rFonts w:asciiTheme="majorBidi" w:hAnsiTheme="majorBidi" w:cstheme="majorBidi"/>
                <w:noProof w:val="0"/>
                <w:sz w:val="24"/>
                <w:szCs w:val="24"/>
                <w:lang w:val="en-GB"/>
              </w:rPr>
              <w:t xml:space="preserve"> (introduction)</w:t>
            </w:r>
          </w:p>
        </w:tc>
        <w:tc>
          <w:tcPr>
            <w:tcW w:w="6521" w:type="dxa"/>
            <w:shd w:val="clear" w:color="auto" w:fill="auto"/>
          </w:tcPr>
          <w:p w14:paraId="666C8C8D" w14:textId="40FEA9AB" w:rsidR="00121EC6" w:rsidRPr="000425DF" w:rsidRDefault="00FB56F6" w:rsidP="00FB56F6">
            <w:pPr>
              <w:rPr>
                <w:rFonts w:asciiTheme="majorBidi" w:hAnsiTheme="majorBidi" w:cstheme="majorBidi"/>
                <w:noProof w:val="0"/>
                <w:color w:val="000000"/>
                <w:sz w:val="24"/>
                <w:szCs w:val="24"/>
                <w:lang w:val="en-GB"/>
              </w:rPr>
            </w:pPr>
            <w:r w:rsidRPr="000425DF">
              <w:rPr>
                <w:rFonts w:asciiTheme="majorBidi" w:hAnsiTheme="majorBidi" w:cstheme="majorBidi"/>
                <w:noProof w:val="0"/>
                <w:color w:val="000000"/>
                <w:sz w:val="24"/>
                <w:szCs w:val="24"/>
                <w:lang w:val="en-GB"/>
              </w:rPr>
              <w:t>The LTCI scheme is financed by wage contributions of in total 0.2%, initially (until 1990), split between employees (0.1%) and employers (0.1%). From April 1990, the employer contribution was reduced to 0.04% with the state taking over funding of the remaining 0.06% (Schmid 2005).</w:t>
            </w:r>
            <w:r w:rsidRPr="000425DF">
              <w:rPr>
                <w:rFonts w:asciiTheme="majorBidi" w:hAnsiTheme="majorBidi" w:cstheme="majorBidi"/>
                <w:noProof w:val="0"/>
                <w:color w:val="000000"/>
                <w:sz w:val="24"/>
                <w:szCs w:val="24"/>
                <w:lang w:val="en-GB"/>
              </w:rPr>
              <w:br/>
              <w:t>For 1994, (</w:t>
            </w:r>
            <w:proofErr w:type="spellStart"/>
            <w:r w:rsidRPr="000425DF">
              <w:rPr>
                <w:rFonts w:asciiTheme="majorBidi" w:hAnsiTheme="majorBidi" w:cstheme="majorBidi"/>
                <w:noProof w:val="0"/>
                <w:color w:val="000000"/>
                <w:sz w:val="24"/>
                <w:szCs w:val="24"/>
                <w:lang w:val="en-GB"/>
              </w:rPr>
              <w:t>Asiskovitch</w:t>
            </w:r>
            <w:proofErr w:type="spellEnd"/>
            <w:r w:rsidRPr="000425DF">
              <w:rPr>
                <w:rFonts w:asciiTheme="majorBidi" w:hAnsiTheme="majorBidi" w:cstheme="majorBidi"/>
                <w:noProof w:val="0"/>
                <w:color w:val="000000"/>
                <w:sz w:val="24"/>
                <w:szCs w:val="24"/>
                <w:lang w:val="en-GB"/>
              </w:rPr>
              <w:t xml:space="preserve"> 2013) reports the following financing shares of the LTCI:</w:t>
            </w:r>
            <w:r w:rsidRPr="000425DF">
              <w:rPr>
                <w:rFonts w:asciiTheme="majorBidi" w:hAnsiTheme="majorBidi" w:cstheme="majorBidi"/>
                <w:noProof w:val="0"/>
                <w:color w:val="000000"/>
                <w:sz w:val="24"/>
                <w:szCs w:val="24"/>
                <w:lang w:val="en-GB"/>
              </w:rPr>
              <w:br/>
              <w:t>Insurance fees for LTCI: 27.8%</w:t>
            </w:r>
            <w:r w:rsidRPr="000425DF">
              <w:rPr>
                <w:rFonts w:asciiTheme="majorBidi" w:hAnsiTheme="majorBidi" w:cstheme="majorBidi"/>
                <w:noProof w:val="0"/>
                <w:color w:val="000000"/>
                <w:sz w:val="24"/>
                <w:szCs w:val="24"/>
                <w:lang w:val="en-GB"/>
              </w:rPr>
              <w:br/>
              <w:t>Ministry of financing contributions: 15.3%</w:t>
            </w:r>
            <w:r w:rsidRPr="000425DF">
              <w:rPr>
                <w:rFonts w:asciiTheme="majorBidi" w:hAnsiTheme="majorBidi" w:cstheme="majorBidi"/>
                <w:noProof w:val="0"/>
                <w:color w:val="000000"/>
                <w:sz w:val="24"/>
                <w:szCs w:val="24"/>
                <w:lang w:val="en-GB"/>
              </w:rPr>
              <w:br/>
              <w:t>Share of N</w:t>
            </w:r>
            <w:r w:rsidR="00B336D3" w:rsidRPr="000425DF">
              <w:rPr>
                <w:rFonts w:asciiTheme="majorBidi" w:hAnsiTheme="majorBidi" w:cstheme="majorBidi"/>
                <w:noProof w:val="0"/>
                <w:color w:val="000000"/>
                <w:sz w:val="24"/>
                <w:szCs w:val="24"/>
                <w:lang w:val="en-GB"/>
              </w:rPr>
              <w:t>ational Insurance Institute (NII)</w:t>
            </w:r>
            <w:r w:rsidRPr="000425DF">
              <w:rPr>
                <w:rFonts w:asciiTheme="majorBidi" w:hAnsiTheme="majorBidi" w:cstheme="majorBidi"/>
                <w:noProof w:val="0"/>
                <w:color w:val="000000"/>
                <w:sz w:val="24"/>
                <w:szCs w:val="24"/>
                <w:lang w:val="en-GB"/>
              </w:rPr>
              <w:t xml:space="preserve"> in financing LTCI (transfers to the LTCI of surpluses from other branches of the NII, mainly from the children branch): 57%</w:t>
            </w:r>
            <w:r w:rsidRPr="000425DF">
              <w:rPr>
                <w:rFonts w:asciiTheme="majorBidi" w:hAnsiTheme="majorBidi" w:cstheme="majorBidi"/>
                <w:noProof w:val="0"/>
                <w:color w:val="000000"/>
                <w:sz w:val="24"/>
                <w:szCs w:val="24"/>
                <w:lang w:val="en-GB"/>
              </w:rPr>
              <w:br/>
            </w:r>
          </w:p>
          <w:p w14:paraId="6D58EAFD" w14:textId="77777777" w:rsidR="00FB56F6" w:rsidRPr="000425DF" w:rsidRDefault="00B336D3" w:rsidP="00FB56F6">
            <w:pPr>
              <w:rPr>
                <w:rFonts w:asciiTheme="majorBidi" w:hAnsiTheme="majorBidi" w:cstheme="majorBidi"/>
                <w:noProof w:val="0"/>
                <w:color w:val="000000"/>
                <w:sz w:val="24"/>
                <w:szCs w:val="24"/>
                <w:lang w:val="en-GB"/>
              </w:rPr>
            </w:pPr>
            <w:r w:rsidRPr="000425DF">
              <w:rPr>
                <w:rFonts w:asciiTheme="majorBidi" w:hAnsiTheme="majorBidi" w:cstheme="majorBidi"/>
                <w:noProof w:val="0"/>
                <w:color w:val="000000"/>
                <w:sz w:val="24"/>
                <w:szCs w:val="24"/>
                <w:lang w:val="en-GB"/>
              </w:rPr>
              <w:t xml:space="preserve">It is unclear if the 57% of general NII co-financing can be attributed to the state or societal actors, as they are social contributions but not earmarked specifically for LTC. Therefore, we split the 57% between both actor types, leading </w:t>
            </w:r>
            <w:r w:rsidRPr="000425DF">
              <w:rPr>
                <w:rFonts w:asciiTheme="majorBidi" w:hAnsiTheme="majorBidi" w:cstheme="majorBidi"/>
                <w:noProof w:val="0"/>
                <w:color w:val="000000"/>
                <w:sz w:val="24"/>
                <w:szCs w:val="24"/>
                <w:lang w:val="en-GB"/>
              </w:rPr>
              <w:lastRenderedPageBreak/>
              <w:t xml:space="preserve">to an assumed financing mix of appr. </w:t>
            </w:r>
            <w:r w:rsidR="00FB56F6" w:rsidRPr="000425DF">
              <w:rPr>
                <w:rFonts w:asciiTheme="majorBidi" w:hAnsiTheme="majorBidi" w:cstheme="majorBidi"/>
                <w:noProof w:val="0"/>
                <w:color w:val="000000"/>
                <w:sz w:val="24"/>
                <w:szCs w:val="24"/>
                <w:lang w:val="en-GB"/>
              </w:rPr>
              <w:t>56.3%</w:t>
            </w:r>
            <w:r w:rsidRPr="000425DF">
              <w:rPr>
                <w:rFonts w:asciiTheme="majorBidi" w:hAnsiTheme="majorBidi" w:cstheme="majorBidi"/>
                <w:noProof w:val="0"/>
                <w:color w:val="000000"/>
                <w:sz w:val="24"/>
                <w:szCs w:val="24"/>
                <w:lang w:val="en-GB"/>
              </w:rPr>
              <w:t xml:space="preserve"> societal actors financing and </w:t>
            </w:r>
            <w:r w:rsidR="00FB56F6" w:rsidRPr="000425DF">
              <w:rPr>
                <w:rFonts w:asciiTheme="majorBidi" w:hAnsiTheme="majorBidi" w:cstheme="majorBidi"/>
                <w:noProof w:val="0"/>
                <w:color w:val="000000"/>
                <w:sz w:val="24"/>
                <w:szCs w:val="24"/>
                <w:lang w:val="en-GB"/>
              </w:rPr>
              <w:t>43.8%</w:t>
            </w:r>
            <w:r w:rsidRPr="000425DF">
              <w:rPr>
                <w:rFonts w:asciiTheme="majorBidi" w:hAnsiTheme="majorBidi" w:cstheme="majorBidi"/>
                <w:noProof w:val="0"/>
                <w:color w:val="000000"/>
                <w:sz w:val="24"/>
                <w:szCs w:val="24"/>
                <w:lang w:val="en-GB"/>
              </w:rPr>
              <w:t xml:space="preserve"> state financing.</w:t>
            </w:r>
          </w:p>
        </w:tc>
        <w:tc>
          <w:tcPr>
            <w:tcW w:w="2835" w:type="dxa"/>
            <w:shd w:val="clear" w:color="auto" w:fill="auto"/>
          </w:tcPr>
          <w:p w14:paraId="073BF016" w14:textId="2026CF0B" w:rsidR="00FB56F6" w:rsidRPr="000425DF" w:rsidRDefault="00F63F5D" w:rsidP="00D2333B">
            <w:pPr>
              <w:rPr>
                <w:rFonts w:asciiTheme="majorBidi" w:hAnsiTheme="majorBidi" w:cstheme="majorBidi"/>
                <w:noProof w:val="0"/>
                <w:color w:val="000000"/>
                <w:sz w:val="24"/>
                <w:szCs w:val="24"/>
                <w:lang w:val="en-GB"/>
              </w:rPr>
            </w:pPr>
            <w:r>
              <w:rPr>
                <w:rFonts w:asciiTheme="majorBidi" w:hAnsiTheme="majorBidi" w:cstheme="majorBidi"/>
                <w:color w:val="000000"/>
                <w:sz w:val="24"/>
                <w:szCs w:val="24"/>
                <w:lang w:val="en-GB"/>
              </w:rPr>
              <w:lastRenderedPageBreak/>
              <w:t>Asiskovitch, 2013; Borowski &amp; Schmid, 2001; Schmid, 2005</w:t>
            </w:r>
          </w:p>
        </w:tc>
        <w:tc>
          <w:tcPr>
            <w:tcW w:w="1275" w:type="dxa"/>
            <w:shd w:val="clear" w:color="auto" w:fill="auto"/>
          </w:tcPr>
          <w:p w14:paraId="21763F5B" w14:textId="77777777" w:rsidR="00FB56F6" w:rsidRPr="000425DF" w:rsidRDefault="00B336D3" w:rsidP="00FB56F6">
            <w:pPr>
              <w:rPr>
                <w:rFonts w:asciiTheme="majorBidi" w:hAnsiTheme="majorBidi" w:cstheme="majorBidi"/>
                <w:noProof w:val="0"/>
                <w:color w:val="000000"/>
                <w:sz w:val="24"/>
                <w:szCs w:val="24"/>
                <w:lang w:val="en-GB"/>
              </w:rPr>
            </w:pPr>
            <w:r w:rsidRPr="000425DF">
              <w:rPr>
                <w:rFonts w:asciiTheme="majorBidi" w:hAnsiTheme="majorBidi" w:cstheme="majorBidi"/>
                <w:noProof w:val="0"/>
                <w:color w:val="000000"/>
                <w:sz w:val="24"/>
                <w:szCs w:val="24"/>
                <w:lang w:val="en-GB"/>
              </w:rPr>
              <w:t>Low</w:t>
            </w:r>
          </w:p>
        </w:tc>
        <w:tc>
          <w:tcPr>
            <w:tcW w:w="708" w:type="dxa"/>
            <w:shd w:val="clear" w:color="auto" w:fill="auto"/>
          </w:tcPr>
          <w:p w14:paraId="506944D9" w14:textId="77777777" w:rsidR="00FB56F6" w:rsidRPr="000425DF" w:rsidRDefault="00B336D3" w:rsidP="00B336D3">
            <w:pPr>
              <w:jc w:val="center"/>
              <w:rPr>
                <w:rFonts w:asciiTheme="majorBidi" w:hAnsiTheme="majorBidi" w:cstheme="majorBidi"/>
                <w:noProof w:val="0"/>
                <w:color w:val="000000"/>
                <w:sz w:val="24"/>
                <w:szCs w:val="24"/>
                <w:lang w:val="en-GB"/>
              </w:rPr>
            </w:pPr>
            <w:r w:rsidRPr="000425DF">
              <w:rPr>
                <w:rFonts w:asciiTheme="majorBidi" w:hAnsiTheme="majorBidi" w:cstheme="majorBidi"/>
                <w:noProof w:val="0"/>
                <w:color w:val="000000"/>
                <w:sz w:val="24"/>
                <w:szCs w:val="24"/>
                <w:lang w:val="en-GB"/>
              </w:rPr>
              <w:t>0.33</w:t>
            </w:r>
          </w:p>
        </w:tc>
        <w:tc>
          <w:tcPr>
            <w:tcW w:w="709" w:type="dxa"/>
            <w:shd w:val="clear" w:color="auto" w:fill="auto"/>
          </w:tcPr>
          <w:p w14:paraId="71831AE9" w14:textId="77777777" w:rsidR="00FB56F6" w:rsidRPr="00722B6A" w:rsidRDefault="00B336D3" w:rsidP="00B336D3">
            <w:pPr>
              <w:jc w:val="center"/>
              <w:rPr>
                <w:rFonts w:asciiTheme="majorBidi" w:hAnsiTheme="majorBidi" w:cstheme="majorBidi"/>
                <w:noProof w:val="0"/>
                <w:color w:val="000000"/>
                <w:sz w:val="24"/>
                <w:szCs w:val="24"/>
                <w:lang w:val="en-GB"/>
              </w:rPr>
            </w:pPr>
            <w:r w:rsidRPr="00722B6A">
              <w:rPr>
                <w:rFonts w:asciiTheme="majorBidi" w:hAnsiTheme="majorBidi" w:cstheme="majorBidi"/>
                <w:noProof w:val="0"/>
                <w:color w:val="000000"/>
                <w:sz w:val="24"/>
                <w:szCs w:val="24"/>
                <w:lang w:val="en-GB"/>
              </w:rPr>
              <w:t>0.67</w:t>
            </w:r>
          </w:p>
          <w:p w14:paraId="4DAC53EE" w14:textId="77777777" w:rsidR="00B031E3" w:rsidRPr="00722B6A" w:rsidRDefault="00B031E3" w:rsidP="00B336D3">
            <w:pPr>
              <w:jc w:val="center"/>
              <w:rPr>
                <w:rFonts w:asciiTheme="majorBidi" w:hAnsiTheme="majorBidi" w:cstheme="majorBidi"/>
                <w:noProof w:val="0"/>
                <w:color w:val="000000"/>
                <w:sz w:val="24"/>
                <w:szCs w:val="24"/>
                <w:lang w:val="en-GB"/>
              </w:rPr>
            </w:pPr>
          </w:p>
        </w:tc>
        <w:tc>
          <w:tcPr>
            <w:tcW w:w="709" w:type="dxa"/>
            <w:shd w:val="clear" w:color="auto" w:fill="auto"/>
          </w:tcPr>
          <w:p w14:paraId="671CB1E4" w14:textId="77777777" w:rsidR="00FB56F6" w:rsidRPr="000425DF" w:rsidRDefault="00B336D3" w:rsidP="00B336D3">
            <w:pPr>
              <w:jc w:val="center"/>
              <w:rPr>
                <w:rFonts w:asciiTheme="majorBidi" w:hAnsiTheme="majorBidi" w:cstheme="majorBidi"/>
                <w:noProof w:val="0"/>
                <w:color w:val="000000"/>
                <w:sz w:val="24"/>
                <w:szCs w:val="24"/>
                <w:lang w:val="en-GB"/>
              </w:rPr>
            </w:pPr>
            <w:r w:rsidRPr="000425DF">
              <w:rPr>
                <w:rFonts w:asciiTheme="majorBidi" w:hAnsiTheme="majorBidi" w:cstheme="majorBidi"/>
                <w:noProof w:val="0"/>
                <w:color w:val="000000"/>
                <w:sz w:val="24"/>
                <w:szCs w:val="24"/>
                <w:lang w:val="en-GB"/>
              </w:rPr>
              <w:t>0.0</w:t>
            </w:r>
          </w:p>
        </w:tc>
        <w:tc>
          <w:tcPr>
            <w:tcW w:w="709" w:type="dxa"/>
            <w:shd w:val="clear" w:color="auto" w:fill="auto"/>
          </w:tcPr>
          <w:p w14:paraId="52E16F43" w14:textId="77777777" w:rsidR="00FB56F6" w:rsidRPr="000425DF" w:rsidRDefault="00B336D3" w:rsidP="00B336D3">
            <w:pPr>
              <w:jc w:val="center"/>
              <w:rPr>
                <w:rFonts w:asciiTheme="majorBidi" w:hAnsiTheme="majorBidi" w:cstheme="majorBidi"/>
                <w:noProof w:val="0"/>
                <w:color w:val="000000"/>
                <w:sz w:val="24"/>
                <w:szCs w:val="24"/>
                <w:lang w:val="en-GB"/>
              </w:rPr>
            </w:pPr>
            <w:r w:rsidRPr="000425DF">
              <w:rPr>
                <w:rFonts w:asciiTheme="majorBidi" w:hAnsiTheme="majorBidi" w:cstheme="majorBidi"/>
                <w:noProof w:val="0"/>
                <w:color w:val="000000"/>
                <w:sz w:val="24"/>
                <w:szCs w:val="24"/>
                <w:lang w:val="en-GB"/>
              </w:rPr>
              <w:t>0.0</w:t>
            </w:r>
          </w:p>
        </w:tc>
      </w:tr>
      <w:tr w:rsidR="00B72E4A" w:rsidRPr="000425DF" w14:paraId="667A885D" w14:textId="77777777" w:rsidTr="00DD2461">
        <w:tc>
          <w:tcPr>
            <w:tcW w:w="1271" w:type="dxa"/>
            <w:shd w:val="clear" w:color="auto" w:fill="auto"/>
          </w:tcPr>
          <w:p w14:paraId="1DA8A42B" w14:textId="2C80D8C0" w:rsidR="00B72E4A" w:rsidRPr="000425DF" w:rsidRDefault="00EA20D5" w:rsidP="00FB56F6">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 xml:space="preserve">Israel </w:t>
            </w:r>
            <w:r w:rsidR="00722B6A">
              <w:rPr>
                <w:rFonts w:asciiTheme="majorBidi" w:hAnsiTheme="majorBidi" w:cstheme="majorBidi"/>
                <w:noProof w:val="0"/>
                <w:color w:val="1F3864" w:themeColor="accent1" w:themeShade="80"/>
                <w:sz w:val="24"/>
                <w:szCs w:val="24"/>
                <w:lang w:val="en-GB"/>
              </w:rPr>
              <w:t>(today)</w:t>
            </w:r>
          </w:p>
        </w:tc>
        <w:tc>
          <w:tcPr>
            <w:tcW w:w="6521" w:type="dxa"/>
            <w:shd w:val="clear" w:color="auto" w:fill="auto"/>
          </w:tcPr>
          <w:p w14:paraId="0AE28527" w14:textId="7BF66D55" w:rsidR="00EA20D5" w:rsidRPr="000425DF" w:rsidRDefault="00EA20D5" w:rsidP="00FB56F6">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Today, the contribution shares to the LTCI are 0.13% for employers, 0.14% for employees and 0.02% for state co-financing (Borowski 2015).</w:t>
            </w:r>
          </w:p>
          <w:p w14:paraId="2602A955" w14:textId="4A5C9988" w:rsidR="00EA20D5" w:rsidRPr="000425DF" w:rsidRDefault="00EA20D5" w:rsidP="00FB56F6">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Since the inception of the scheme, the share covered by earmarked contributions has declined. The share covered by the general NII budget is even higher today than in 1994.</w:t>
            </w:r>
          </w:p>
          <w:p w14:paraId="26FC29FC" w14:textId="04BFCA95" w:rsidR="00402114" w:rsidRPr="000425DF" w:rsidRDefault="00EA20D5" w:rsidP="00FB56F6">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 xml:space="preserve">In </w:t>
            </w:r>
            <w:r w:rsidR="00402114" w:rsidRPr="000425DF">
              <w:rPr>
                <w:rFonts w:asciiTheme="majorBidi" w:hAnsiTheme="majorBidi" w:cstheme="majorBidi"/>
                <w:noProof w:val="0"/>
                <w:color w:val="1F3864" w:themeColor="accent1" w:themeShade="80"/>
                <w:sz w:val="24"/>
                <w:szCs w:val="24"/>
                <w:lang w:val="en-GB"/>
              </w:rPr>
              <w:t>2011</w:t>
            </w:r>
            <w:r w:rsidRPr="000425DF">
              <w:rPr>
                <w:rFonts w:asciiTheme="majorBidi" w:hAnsiTheme="majorBidi" w:cstheme="majorBidi"/>
                <w:noProof w:val="0"/>
                <w:color w:val="1F3864" w:themeColor="accent1" w:themeShade="80"/>
                <w:sz w:val="24"/>
                <w:szCs w:val="24"/>
                <w:lang w:val="en-GB"/>
              </w:rPr>
              <w:t>, the shares were the following</w:t>
            </w:r>
            <w:r w:rsidR="00402114" w:rsidRPr="000425DF">
              <w:rPr>
                <w:rFonts w:asciiTheme="majorBidi" w:hAnsiTheme="majorBidi" w:cstheme="majorBidi"/>
                <w:noProof w:val="0"/>
                <w:color w:val="1F3864" w:themeColor="accent1" w:themeShade="80"/>
                <w:sz w:val="24"/>
                <w:szCs w:val="24"/>
                <w:lang w:val="en-GB"/>
              </w:rPr>
              <w:t xml:space="preserve"> (</w:t>
            </w:r>
            <w:proofErr w:type="spellStart"/>
            <w:r w:rsidR="00402114" w:rsidRPr="000425DF">
              <w:rPr>
                <w:rFonts w:asciiTheme="majorBidi" w:hAnsiTheme="majorBidi" w:cstheme="majorBidi"/>
                <w:noProof w:val="0"/>
                <w:color w:val="1F3864" w:themeColor="accent1" w:themeShade="80"/>
                <w:sz w:val="24"/>
                <w:szCs w:val="24"/>
                <w:lang w:val="en-GB"/>
              </w:rPr>
              <w:t>Asiskovitch</w:t>
            </w:r>
            <w:proofErr w:type="spellEnd"/>
            <w:r w:rsidR="00402114" w:rsidRPr="000425DF">
              <w:rPr>
                <w:rFonts w:asciiTheme="majorBidi" w:hAnsiTheme="majorBidi" w:cstheme="majorBidi"/>
                <w:noProof w:val="0"/>
                <w:color w:val="1F3864" w:themeColor="accent1" w:themeShade="80"/>
                <w:sz w:val="24"/>
                <w:szCs w:val="24"/>
                <w:lang w:val="en-GB"/>
              </w:rPr>
              <w:t xml:space="preserve"> 2013)</w:t>
            </w:r>
            <w:r w:rsidRPr="000425DF">
              <w:rPr>
                <w:rFonts w:asciiTheme="majorBidi" w:hAnsiTheme="majorBidi" w:cstheme="majorBidi"/>
                <w:noProof w:val="0"/>
                <w:color w:val="1F3864" w:themeColor="accent1" w:themeShade="80"/>
                <w:sz w:val="24"/>
                <w:szCs w:val="24"/>
                <w:lang w:val="en-GB"/>
              </w:rPr>
              <w:t>:</w:t>
            </w:r>
          </w:p>
          <w:p w14:paraId="66D35732" w14:textId="17F26AFE" w:rsidR="00B72E4A" w:rsidRPr="000425DF" w:rsidRDefault="00EA20D5" w:rsidP="00FB56F6">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I</w:t>
            </w:r>
            <w:r w:rsidR="00402114" w:rsidRPr="000425DF">
              <w:rPr>
                <w:rFonts w:asciiTheme="majorBidi" w:hAnsiTheme="majorBidi" w:cstheme="majorBidi"/>
                <w:noProof w:val="0"/>
                <w:color w:val="1F3864" w:themeColor="accent1" w:themeShade="80"/>
                <w:sz w:val="24"/>
                <w:szCs w:val="24"/>
                <w:lang w:val="en-GB"/>
              </w:rPr>
              <w:t xml:space="preserve">nsurance fees </w:t>
            </w:r>
            <w:r w:rsidRPr="000425DF">
              <w:rPr>
                <w:rFonts w:asciiTheme="majorBidi" w:hAnsiTheme="majorBidi" w:cstheme="majorBidi"/>
                <w:noProof w:val="0"/>
                <w:color w:val="1F3864" w:themeColor="accent1" w:themeShade="80"/>
                <w:sz w:val="24"/>
                <w:szCs w:val="24"/>
                <w:lang w:val="en-GB"/>
              </w:rPr>
              <w:t xml:space="preserve">for LTCI: </w:t>
            </w:r>
            <w:r w:rsidR="00402114" w:rsidRPr="000425DF">
              <w:rPr>
                <w:rFonts w:asciiTheme="majorBidi" w:hAnsiTheme="majorBidi" w:cstheme="majorBidi"/>
                <w:noProof w:val="0"/>
                <w:color w:val="1F3864" w:themeColor="accent1" w:themeShade="80"/>
                <w:sz w:val="24"/>
                <w:szCs w:val="24"/>
                <w:lang w:val="en-GB"/>
              </w:rPr>
              <w:t>14.1%</w:t>
            </w:r>
          </w:p>
          <w:p w14:paraId="58E0C738" w14:textId="3A1EA062" w:rsidR="00402114" w:rsidRPr="000425DF" w:rsidRDefault="00EA20D5" w:rsidP="00FB56F6">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 xml:space="preserve">Ministry of financing contributions: </w:t>
            </w:r>
            <w:r w:rsidR="00402114" w:rsidRPr="000425DF">
              <w:rPr>
                <w:rFonts w:asciiTheme="majorBidi" w:hAnsiTheme="majorBidi" w:cstheme="majorBidi"/>
                <w:noProof w:val="0"/>
                <w:color w:val="1F3864" w:themeColor="accent1" w:themeShade="80"/>
                <w:sz w:val="24"/>
                <w:szCs w:val="24"/>
                <w:lang w:val="en-GB"/>
              </w:rPr>
              <w:t>20.6%</w:t>
            </w:r>
          </w:p>
          <w:p w14:paraId="707B4DC2" w14:textId="5D7AD0D8" w:rsidR="00402114" w:rsidRPr="000425DF" w:rsidRDefault="00402114" w:rsidP="00FB56F6">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Share of National Insurance Institute (NII) in financing LTCI (transfers to the LTCI of surpluses from other branches of the NII, mainly from the children branch): 65.3%</w:t>
            </w:r>
          </w:p>
          <w:p w14:paraId="4BAAD186" w14:textId="59E3008C" w:rsidR="00EA20D5" w:rsidRPr="000425DF" w:rsidRDefault="00EA20D5" w:rsidP="00FB56F6">
            <w:pPr>
              <w:rPr>
                <w:rFonts w:asciiTheme="majorBidi" w:hAnsiTheme="majorBidi" w:cstheme="majorBidi"/>
                <w:noProof w:val="0"/>
                <w:color w:val="1F3864" w:themeColor="accent1" w:themeShade="80"/>
                <w:sz w:val="24"/>
                <w:szCs w:val="24"/>
                <w:lang w:val="en-GB"/>
              </w:rPr>
            </w:pPr>
          </w:p>
          <w:p w14:paraId="69AEBB7E" w14:textId="1281447B" w:rsidR="00402114" w:rsidRPr="000425DF" w:rsidRDefault="00CC4C98" w:rsidP="00CC4C98">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It is unclear if the 65% of general NII co-financing can be attributed to the state or societal actors, as they are social contributions but not earmarked specifically for LTC. Therefore, we split the 65.3% between both actor types, leading to an assumed financing mix of appr. 46.75% societal actors financing and 53.25% state financing.</w:t>
            </w:r>
          </w:p>
        </w:tc>
        <w:tc>
          <w:tcPr>
            <w:tcW w:w="2835" w:type="dxa"/>
            <w:shd w:val="clear" w:color="auto" w:fill="auto"/>
          </w:tcPr>
          <w:p w14:paraId="6F5BC19D" w14:textId="1E20B05B" w:rsidR="00B72E4A" w:rsidRPr="000425DF" w:rsidRDefault="00F63F5D" w:rsidP="00D2333B">
            <w:pPr>
              <w:rPr>
                <w:rFonts w:asciiTheme="majorBidi" w:hAnsiTheme="majorBidi" w:cstheme="majorBidi"/>
                <w:noProof w:val="0"/>
                <w:color w:val="1F3864" w:themeColor="accent1" w:themeShade="80"/>
                <w:sz w:val="24"/>
                <w:szCs w:val="24"/>
                <w:lang w:val="en-GB"/>
              </w:rPr>
            </w:pPr>
            <w:r>
              <w:rPr>
                <w:rFonts w:asciiTheme="majorBidi" w:hAnsiTheme="majorBidi" w:cstheme="majorBidi"/>
                <w:color w:val="1F3864" w:themeColor="accent1" w:themeShade="80"/>
                <w:sz w:val="24"/>
                <w:szCs w:val="24"/>
                <w:lang w:val="en-GB"/>
              </w:rPr>
              <w:t>Asiskovitch, 2013; Borowski, 2015</w:t>
            </w:r>
          </w:p>
        </w:tc>
        <w:tc>
          <w:tcPr>
            <w:tcW w:w="1275" w:type="dxa"/>
            <w:shd w:val="clear" w:color="auto" w:fill="auto"/>
          </w:tcPr>
          <w:p w14:paraId="2E1F9301" w14:textId="33A1DB6A" w:rsidR="00B72E4A" w:rsidRPr="000425DF" w:rsidRDefault="00EA20D5" w:rsidP="00FB56F6">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Low</w:t>
            </w:r>
          </w:p>
        </w:tc>
        <w:tc>
          <w:tcPr>
            <w:tcW w:w="708" w:type="dxa"/>
            <w:shd w:val="clear" w:color="auto" w:fill="auto"/>
          </w:tcPr>
          <w:p w14:paraId="0C5767A8" w14:textId="5270461D" w:rsidR="00B72E4A" w:rsidRPr="000425DF" w:rsidRDefault="00CC4C98" w:rsidP="00B336D3">
            <w:pPr>
              <w:jc w:val="cente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0.67</w:t>
            </w:r>
          </w:p>
        </w:tc>
        <w:tc>
          <w:tcPr>
            <w:tcW w:w="709" w:type="dxa"/>
            <w:shd w:val="clear" w:color="auto" w:fill="auto"/>
          </w:tcPr>
          <w:p w14:paraId="103046CA" w14:textId="1F498E2E" w:rsidR="00B72E4A" w:rsidRPr="00722B6A" w:rsidRDefault="00CC4C98" w:rsidP="00B336D3">
            <w:pPr>
              <w:jc w:val="center"/>
              <w:rPr>
                <w:rFonts w:asciiTheme="majorBidi" w:hAnsiTheme="majorBidi" w:cstheme="majorBidi"/>
                <w:noProof w:val="0"/>
                <w:color w:val="1F3864" w:themeColor="accent1" w:themeShade="80"/>
                <w:sz w:val="24"/>
                <w:szCs w:val="24"/>
                <w:lang w:val="en-GB"/>
              </w:rPr>
            </w:pPr>
            <w:r w:rsidRPr="00722B6A">
              <w:rPr>
                <w:rFonts w:asciiTheme="majorBidi" w:hAnsiTheme="majorBidi" w:cstheme="majorBidi"/>
                <w:noProof w:val="0"/>
                <w:color w:val="1F3864" w:themeColor="accent1" w:themeShade="80"/>
                <w:sz w:val="24"/>
                <w:szCs w:val="24"/>
                <w:lang w:val="en-GB"/>
              </w:rPr>
              <w:t>0.33</w:t>
            </w:r>
          </w:p>
        </w:tc>
        <w:tc>
          <w:tcPr>
            <w:tcW w:w="709" w:type="dxa"/>
            <w:shd w:val="clear" w:color="auto" w:fill="auto"/>
          </w:tcPr>
          <w:p w14:paraId="2718740C" w14:textId="6464888D" w:rsidR="00B72E4A" w:rsidRPr="000425DF" w:rsidRDefault="00CC4C98" w:rsidP="00B336D3">
            <w:pPr>
              <w:jc w:val="cente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0.0</w:t>
            </w:r>
          </w:p>
        </w:tc>
        <w:tc>
          <w:tcPr>
            <w:tcW w:w="709" w:type="dxa"/>
            <w:shd w:val="clear" w:color="auto" w:fill="auto"/>
          </w:tcPr>
          <w:p w14:paraId="7028C0D4" w14:textId="56EE4E68" w:rsidR="00B72E4A" w:rsidRPr="000425DF" w:rsidRDefault="00CC4C98" w:rsidP="00B336D3">
            <w:pPr>
              <w:jc w:val="cente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0.0</w:t>
            </w:r>
          </w:p>
        </w:tc>
      </w:tr>
      <w:tr w:rsidR="00B336D3" w:rsidRPr="000425DF" w14:paraId="56122A97" w14:textId="77777777" w:rsidTr="00DD2461">
        <w:tc>
          <w:tcPr>
            <w:tcW w:w="1271" w:type="dxa"/>
            <w:shd w:val="clear" w:color="auto" w:fill="auto"/>
          </w:tcPr>
          <w:p w14:paraId="2E434DF3" w14:textId="51652D73" w:rsidR="00FB56F6" w:rsidRPr="000425DF" w:rsidRDefault="00FB56F6" w:rsidP="00FB56F6">
            <w:pPr>
              <w:spacing w:after="160" w:line="259" w:lineRule="auto"/>
              <w:rPr>
                <w:rFonts w:asciiTheme="majorBidi" w:hAnsiTheme="majorBidi" w:cstheme="majorBidi"/>
                <w:noProof w:val="0"/>
                <w:sz w:val="24"/>
                <w:szCs w:val="24"/>
                <w:lang w:val="en-GB"/>
              </w:rPr>
            </w:pPr>
            <w:r w:rsidRPr="000425DF">
              <w:rPr>
                <w:rFonts w:asciiTheme="majorBidi" w:hAnsiTheme="majorBidi" w:cstheme="majorBidi"/>
                <w:noProof w:val="0"/>
                <w:sz w:val="24"/>
                <w:szCs w:val="24"/>
                <w:lang w:val="en-GB"/>
              </w:rPr>
              <w:t>Japan</w:t>
            </w:r>
            <w:r w:rsidR="00A90014" w:rsidRPr="000425DF">
              <w:rPr>
                <w:rFonts w:asciiTheme="majorBidi" w:hAnsiTheme="majorBidi" w:cstheme="majorBidi"/>
                <w:noProof w:val="0"/>
                <w:sz w:val="24"/>
                <w:szCs w:val="24"/>
                <w:lang w:val="en-GB"/>
              </w:rPr>
              <w:t xml:space="preserve"> </w:t>
            </w:r>
            <w:r w:rsidR="00722B6A">
              <w:rPr>
                <w:rFonts w:asciiTheme="majorBidi" w:hAnsiTheme="majorBidi" w:cstheme="majorBidi"/>
                <w:noProof w:val="0"/>
                <w:sz w:val="24"/>
                <w:szCs w:val="24"/>
                <w:lang w:val="en-GB"/>
              </w:rPr>
              <w:t>(</w:t>
            </w:r>
            <w:r w:rsidR="00A90014" w:rsidRPr="000425DF">
              <w:rPr>
                <w:rFonts w:asciiTheme="majorBidi" w:hAnsiTheme="majorBidi" w:cstheme="majorBidi"/>
                <w:noProof w:val="0"/>
                <w:sz w:val="24"/>
                <w:szCs w:val="24"/>
                <w:lang w:val="en-GB"/>
              </w:rPr>
              <w:t>intro</w:t>
            </w:r>
            <w:r w:rsidR="00722B6A">
              <w:rPr>
                <w:rFonts w:asciiTheme="majorBidi" w:hAnsiTheme="majorBidi" w:cstheme="majorBidi"/>
                <w:noProof w:val="0"/>
                <w:sz w:val="24"/>
                <w:szCs w:val="24"/>
                <w:lang w:val="en-GB"/>
              </w:rPr>
              <w:t>duction)</w:t>
            </w:r>
          </w:p>
        </w:tc>
        <w:tc>
          <w:tcPr>
            <w:tcW w:w="6521" w:type="dxa"/>
            <w:shd w:val="clear" w:color="auto" w:fill="auto"/>
          </w:tcPr>
          <w:p w14:paraId="67122C08" w14:textId="77777777" w:rsidR="00FB56F6" w:rsidRPr="000425DF" w:rsidRDefault="00FB56F6" w:rsidP="00FB56F6">
            <w:pPr>
              <w:rPr>
                <w:rFonts w:asciiTheme="majorBidi" w:hAnsiTheme="majorBidi" w:cstheme="majorBidi"/>
                <w:noProof w:val="0"/>
                <w:color w:val="000000"/>
                <w:sz w:val="24"/>
                <w:szCs w:val="24"/>
                <w:lang w:val="en-GB"/>
              </w:rPr>
            </w:pPr>
            <w:r w:rsidRPr="000425DF">
              <w:rPr>
                <w:rFonts w:asciiTheme="majorBidi" w:hAnsiTheme="majorBidi" w:cstheme="majorBidi"/>
                <w:noProof w:val="0"/>
                <w:color w:val="000000"/>
                <w:sz w:val="24"/>
                <w:szCs w:val="24"/>
                <w:lang w:val="en-GB"/>
              </w:rPr>
              <w:t>Social insurance contributions (different types of premia for persons aged 40-64 and 65+) and state funding (from central, regional and local level) each make out 45% of total SLTC</w:t>
            </w:r>
            <w:r w:rsidR="00175B3A" w:rsidRPr="000425DF">
              <w:rPr>
                <w:rFonts w:asciiTheme="majorBidi" w:hAnsiTheme="majorBidi" w:cstheme="majorBidi"/>
                <w:noProof w:val="0"/>
                <w:color w:val="000000"/>
                <w:sz w:val="24"/>
                <w:szCs w:val="24"/>
                <w:lang w:val="en-GB"/>
              </w:rPr>
              <w:t xml:space="preserve">I </w:t>
            </w:r>
            <w:r w:rsidRPr="000425DF">
              <w:rPr>
                <w:rFonts w:asciiTheme="majorBidi" w:hAnsiTheme="majorBidi" w:cstheme="majorBidi"/>
                <w:noProof w:val="0"/>
                <w:color w:val="000000"/>
                <w:sz w:val="24"/>
                <w:szCs w:val="24"/>
                <w:lang w:val="en-GB"/>
              </w:rPr>
              <w:t>funding. The remaining 10% are OOP co-payments by recipients.</w:t>
            </w:r>
          </w:p>
        </w:tc>
        <w:tc>
          <w:tcPr>
            <w:tcW w:w="2835" w:type="dxa"/>
            <w:shd w:val="clear" w:color="auto" w:fill="auto"/>
          </w:tcPr>
          <w:p w14:paraId="3F30170F" w14:textId="5AE5C8F7" w:rsidR="00FB56F6" w:rsidRPr="000425DF" w:rsidRDefault="00F63F5D" w:rsidP="00D2333B">
            <w:pPr>
              <w:rPr>
                <w:rFonts w:asciiTheme="majorBidi" w:hAnsiTheme="majorBidi" w:cstheme="majorBidi"/>
                <w:noProof w:val="0"/>
                <w:color w:val="000000"/>
                <w:sz w:val="24"/>
                <w:szCs w:val="24"/>
                <w:lang w:val="en-GB"/>
              </w:rPr>
            </w:pPr>
            <w:r>
              <w:rPr>
                <w:rFonts w:asciiTheme="majorBidi" w:hAnsiTheme="majorBidi" w:cstheme="majorBidi"/>
                <w:color w:val="000000"/>
                <w:sz w:val="24"/>
                <w:szCs w:val="24"/>
                <w:lang w:val="en-GB"/>
              </w:rPr>
              <w:t>Campbell &amp; Ikegami, 2000; Ozawa &amp; Nakayama, 2005</w:t>
            </w:r>
          </w:p>
        </w:tc>
        <w:tc>
          <w:tcPr>
            <w:tcW w:w="1275" w:type="dxa"/>
            <w:shd w:val="clear" w:color="auto" w:fill="auto"/>
          </w:tcPr>
          <w:p w14:paraId="32F1605C" w14:textId="77777777" w:rsidR="00FB56F6" w:rsidRPr="000425DF" w:rsidRDefault="00FB56F6" w:rsidP="00FB56F6">
            <w:pPr>
              <w:rPr>
                <w:rFonts w:asciiTheme="majorBidi" w:hAnsiTheme="majorBidi" w:cstheme="majorBidi"/>
                <w:noProof w:val="0"/>
                <w:color w:val="000000"/>
                <w:sz w:val="24"/>
                <w:szCs w:val="24"/>
                <w:lang w:val="en-GB"/>
              </w:rPr>
            </w:pPr>
            <w:r w:rsidRPr="000425DF">
              <w:rPr>
                <w:rFonts w:asciiTheme="majorBidi" w:hAnsiTheme="majorBidi" w:cstheme="majorBidi"/>
                <w:noProof w:val="0"/>
                <w:color w:val="000000"/>
                <w:sz w:val="24"/>
                <w:szCs w:val="24"/>
                <w:lang w:val="en-GB"/>
              </w:rPr>
              <w:t>High</w:t>
            </w:r>
          </w:p>
        </w:tc>
        <w:tc>
          <w:tcPr>
            <w:tcW w:w="708" w:type="dxa"/>
            <w:shd w:val="clear" w:color="auto" w:fill="auto"/>
          </w:tcPr>
          <w:p w14:paraId="710A6EF4" w14:textId="77777777" w:rsidR="00FB56F6" w:rsidRPr="000425DF" w:rsidRDefault="00B336D3" w:rsidP="00B336D3">
            <w:pPr>
              <w:jc w:val="center"/>
              <w:rPr>
                <w:rFonts w:asciiTheme="majorBidi" w:hAnsiTheme="majorBidi" w:cstheme="majorBidi"/>
                <w:noProof w:val="0"/>
                <w:sz w:val="24"/>
                <w:szCs w:val="24"/>
                <w:lang w:val="en-GB"/>
              </w:rPr>
            </w:pPr>
            <w:r w:rsidRPr="000425DF">
              <w:rPr>
                <w:rFonts w:asciiTheme="majorBidi" w:hAnsiTheme="majorBidi" w:cstheme="majorBidi"/>
                <w:noProof w:val="0"/>
                <w:sz w:val="24"/>
                <w:szCs w:val="24"/>
                <w:lang w:val="en-GB"/>
              </w:rPr>
              <w:t>0.33</w:t>
            </w:r>
          </w:p>
        </w:tc>
        <w:tc>
          <w:tcPr>
            <w:tcW w:w="709" w:type="dxa"/>
            <w:shd w:val="clear" w:color="auto" w:fill="auto"/>
          </w:tcPr>
          <w:p w14:paraId="384F760F" w14:textId="77777777" w:rsidR="00FB56F6" w:rsidRPr="00722B6A" w:rsidRDefault="00B336D3" w:rsidP="00B336D3">
            <w:pPr>
              <w:jc w:val="center"/>
              <w:rPr>
                <w:rFonts w:asciiTheme="majorBidi" w:hAnsiTheme="majorBidi" w:cstheme="majorBidi"/>
                <w:noProof w:val="0"/>
                <w:sz w:val="24"/>
                <w:szCs w:val="24"/>
                <w:lang w:val="en-GB"/>
              </w:rPr>
            </w:pPr>
            <w:r w:rsidRPr="00722B6A">
              <w:rPr>
                <w:rFonts w:asciiTheme="majorBidi" w:hAnsiTheme="majorBidi" w:cstheme="majorBidi"/>
                <w:noProof w:val="0"/>
                <w:sz w:val="24"/>
                <w:szCs w:val="24"/>
                <w:lang w:val="en-GB"/>
              </w:rPr>
              <w:t>0.33</w:t>
            </w:r>
          </w:p>
          <w:p w14:paraId="5B70FB2F" w14:textId="77777777" w:rsidR="00B031E3" w:rsidRPr="00722B6A" w:rsidRDefault="00B031E3" w:rsidP="00B031E3">
            <w:pPr>
              <w:rPr>
                <w:rFonts w:asciiTheme="majorBidi" w:hAnsiTheme="majorBidi" w:cstheme="majorBidi"/>
                <w:noProof w:val="0"/>
                <w:sz w:val="24"/>
                <w:szCs w:val="24"/>
                <w:lang w:val="en-GB"/>
              </w:rPr>
            </w:pPr>
          </w:p>
        </w:tc>
        <w:tc>
          <w:tcPr>
            <w:tcW w:w="709" w:type="dxa"/>
            <w:shd w:val="clear" w:color="auto" w:fill="auto"/>
          </w:tcPr>
          <w:p w14:paraId="18611CD5" w14:textId="77777777" w:rsidR="00FB56F6" w:rsidRPr="000425DF" w:rsidRDefault="00B336D3" w:rsidP="00B336D3">
            <w:pPr>
              <w:jc w:val="center"/>
              <w:rPr>
                <w:rFonts w:asciiTheme="majorBidi" w:hAnsiTheme="majorBidi" w:cstheme="majorBidi"/>
                <w:noProof w:val="0"/>
                <w:sz w:val="24"/>
                <w:szCs w:val="24"/>
                <w:lang w:val="en-GB"/>
              </w:rPr>
            </w:pPr>
            <w:r w:rsidRPr="000425DF">
              <w:rPr>
                <w:rFonts w:asciiTheme="majorBidi" w:hAnsiTheme="majorBidi" w:cstheme="majorBidi"/>
                <w:noProof w:val="0"/>
                <w:sz w:val="24"/>
                <w:szCs w:val="24"/>
                <w:lang w:val="en-GB"/>
              </w:rPr>
              <w:t>0.0</w:t>
            </w:r>
          </w:p>
        </w:tc>
        <w:tc>
          <w:tcPr>
            <w:tcW w:w="709" w:type="dxa"/>
            <w:shd w:val="clear" w:color="auto" w:fill="auto"/>
          </w:tcPr>
          <w:p w14:paraId="609BDA4A" w14:textId="77777777" w:rsidR="00FB56F6" w:rsidRPr="000425DF" w:rsidRDefault="00B336D3" w:rsidP="00B336D3">
            <w:pPr>
              <w:jc w:val="center"/>
              <w:rPr>
                <w:rFonts w:asciiTheme="majorBidi" w:hAnsiTheme="majorBidi" w:cstheme="majorBidi"/>
                <w:noProof w:val="0"/>
                <w:sz w:val="24"/>
                <w:szCs w:val="24"/>
                <w:lang w:val="en-GB"/>
              </w:rPr>
            </w:pPr>
            <w:r w:rsidRPr="000425DF">
              <w:rPr>
                <w:rFonts w:asciiTheme="majorBidi" w:hAnsiTheme="majorBidi" w:cstheme="majorBidi"/>
                <w:noProof w:val="0"/>
                <w:sz w:val="24"/>
                <w:szCs w:val="24"/>
                <w:lang w:val="en-GB"/>
              </w:rPr>
              <w:t>0.17</w:t>
            </w:r>
          </w:p>
        </w:tc>
      </w:tr>
      <w:tr w:rsidR="00A90014" w:rsidRPr="000425DF" w14:paraId="1F3A1A28" w14:textId="77777777" w:rsidTr="00DD2461">
        <w:tc>
          <w:tcPr>
            <w:tcW w:w="1271" w:type="dxa"/>
            <w:shd w:val="clear" w:color="auto" w:fill="auto"/>
          </w:tcPr>
          <w:p w14:paraId="0638DC53" w14:textId="224B86F7" w:rsidR="00A90014" w:rsidRPr="000425DF" w:rsidRDefault="00A90014" w:rsidP="00FB56F6">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 xml:space="preserve">Japan </w:t>
            </w:r>
            <w:r w:rsidR="00722B6A">
              <w:rPr>
                <w:rFonts w:asciiTheme="majorBidi" w:hAnsiTheme="majorBidi" w:cstheme="majorBidi"/>
                <w:noProof w:val="0"/>
                <w:color w:val="1F3864" w:themeColor="accent1" w:themeShade="80"/>
                <w:sz w:val="24"/>
                <w:szCs w:val="24"/>
                <w:lang w:val="en-GB"/>
              </w:rPr>
              <w:t>(today)</w:t>
            </w:r>
          </w:p>
        </w:tc>
        <w:tc>
          <w:tcPr>
            <w:tcW w:w="6521" w:type="dxa"/>
            <w:shd w:val="clear" w:color="auto" w:fill="auto"/>
          </w:tcPr>
          <w:p w14:paraId="4E6914F3" w14:textId="27DDEC1E" w:rsidR="00A90014" w:rsidRPr="000425DF" w:rsidRDefault="008204BD" w:rsidP="000E1C67">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The basic financing structure of the LTCI has not changed since introduction</w:t>
            </w:r>
            <w:r w:rsidR="000E1C67" w:rsidRPr="000425DF">
              <w:rPr>
                <w:rFonts w:asciiTheme="majorBidi" w:hAnsiTheme="majorBidi" w:cstheme="majorBidi"/>
                <w:noProof w:val="0"/>
                <w:color w:val="1F3864" w:themeColor="accent1" w:themeShade="80"/>
                <w:sz w:val="24"/>
                <w:szCs w:val="24"/>
                <w:lang w:val="en-GB"/>
              </w:rPr>
              <w:t>, public financing still makes out 80-90% and is equally shared between premiums and taxes.</w:t>
            </w:r>
            <w:r w:rsidRPr="000425DF">
              <w:rPr>
                <w:rFonts w:asciiTheme="majorBidi" w:hAnsiTheme="majorBidi" w:cstheme="majorBidi"/>
                <w:noProof w:val="0"/>
                <w:color w:val="1F3864" w:themeColor="accent1" w:themeShade="80"/>
                <w:sz w:val="24"/>
                <w:szCs w:val="24"/>
                <w:lang w:val="en-GB"/>
              </w:rPr>
              <w:t xml:space="preserve"> </w:t>
            </w:r>
            <w:r w:rsidR="000E1C67" w:rsidRPr="000425DF">
              <w:rPr>
                <w:rFonts w:asciiTheme="majorBidi" w:hAnsiTheme="majorBidi" w:cstheme="majorBidi"/>
                <w:noProof w:val="0"/>
                <w:color w:val="1F3864" w:themeColor="accent1" w:themeShade="80"/>
                <w:sz w:val="24"/>
                <w:szCs w:val="24"/>
                <w:lang w:val="en-GB"/>
              </w:rPr>
              <w:t>I</w:t>
            </w:r>
            <w:r w:rsidRPr="000425DF">
              <w:rPr>
                <w:rFonts w:asciiTheme="majorBidi" w:hAnsiTheme="majorBidi" w:cstheme="majorBidi"/>
                <w:noProof w:val="0"/>
                <w:color w:val="1F3864" w:themeColor="accent1" w:themeShade="80"/>
                <w:sz w:val="24"/>
                <w:szCs w:val="24"/>
                <w:lang w:val="en-GB"/>
              </w:rPr>
              <w:t xml:space="preserve">ndividual co-payments for </w:t>
            </w:r>
            <w:r w:rsidR="000E1C67" w:rsidRPr="000425DF">
              <w:rPr>
                <w:rFonts w:asciiTheme="majorBidi" w:hAnsiTheme="majorBidi" w:cstheme="majorBidi"/>
                <w:noProof w:val="0"/>
                <w:color w:val="1F3864" w:themeColor="accent1" w:themeShade="80"/>
                <w:sz w:val="24"/>
                <w:szCs w:val="24"/>
                <w:lang w:val="en-GB"/>
              </w:rPr>
              <w:t xml:space="preserve">recipients with high income/asset levels have been increased to 20% in 2015 and 30% in 2018. However, </w:t>
            </w:r>
            <w:r w:rsidR="000E1C67" w:rsidRPr="000425DF">
              <w:rPr>
                <w:rFonts w:asciiTheme="majorBidi" w:hAnsiTheme="majorBidi" w:cstheme="majorBidi"/>
                <w:noProof w:val="0"/>
                <w:color w:val="1F3864" w:themeColor="accent1" w:themeShade="80"/>
                <w:sz w:val="24"/>
                <w:szCs w:val="24"/>
                <w:lang w:val="en-GB"/>
              </w:rPr>
              <w:lastRenderedPageBreak/>
              <w:t>this higher co-payment level is only payed by less than 10% of users (Ikegami 2019).</w:t>
            </w:r>
          </w:p>
        </w:tc>
        <w:tc>
          <w:tcPr>
            <w:tcW w:w="2835" w:type="dxa"/>
            <w:shd w:val="clear" w:color="auto" w:fill="auto"/>
          </w:tcPr>
          <w:p w14:paraId="30557BFB" w14:textId="1FAC0BC1" w:rsidR="00A90014" w:rsidRPr="000425DF" w:rsidRDefault="00F63F5D" w:rsidP="00D2333B">
            <w:pPr>
              <w:rPr>
                <w:rFonts w:asciiTheme="majorBidi" w:hAnsiTheme="majorBidi" w:cstheme="majorBidi"/>
                <w:noProof w:val="0"/>
                <w:color w:val="1F3864" w:themeColor="accent1" w:themeShade="80"/>
                <w:sz w:val="24"/>
                <w:szCs w:val="24"/>
                <w:lang w:val="en-GB"/>
              </w:rPr>
            </w:pPr>
            <w:r>
              <w:rPr>
                <w:rFonts w:asciiTheme="majorBidi" w:hAnsiTheme="majorBidi" w:cstheme="majorBidi"/>
                <w:color w:val="1F3864" w:themeColor="accent1" w:themeShade="80"/>
                <w:sz w:val="24"/>
                <w:szCs w:val="24"/>
                <w:lang w:val="en-GB"/>
              </w:rPr>
              <w:lastRenderedPageBreak/>
              <w:t>Ikegami, 2019; Ministry of Health, Labour and Welfare [MHLW], 2016</w:t>
            </w:r>
          </w:p>
        </w:tc>
        <w:tc>
          <w:tcPr>
            <w:tcW w:w="1275" w:type="dxa"/>
            <w:shd w:val="clear" w:color="auto" w:fill="auto"/>
          </w:tcPr>
          <w:p w14:paraId="5A820D85" w14:textId="55308BF4" w:rsidR="00A90014" w:rsidRPr="000425DF" w:rsidRDefault="008204BD" w:rsidP="00FB56F6">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High</w:t>
            </w:r>
          </w:p>
        </w:tc>
        <w:tc>
          <w:tcPr>
            <w:tcW w:w="708" w:type="dxa"/>
            <w:shd w:val="clear" w:color="auto" w:fill="auto"/>
          </w:tcPr>
          <w:p w14:paraId="4A4D9024" w14:textId="55FE3009" w:rsidR="00A90014" w:rsidRPr="000425DF" w:rsidRDefault="008204BD" w:rsidP="00B336D3">
            <w:pPr>
              <w:jc w:val="cente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0.33</w:t>
            </w:r>
          </w:p>
        </w:tc>
        <w:tc>
          <w:tcPr>
            <w:tcW w:w="709" w:type="dxa"/>
            <w:shd w:val="clear" w:color="auto" w:fill="auto"/>
          </w:tcPr>
          <w:p w14:paraId="1C9F9357" w14:textId="62979B59" w:rsidR="00A90014" w:rsidRPr="00722B6A" w:rsidRDefault="008204BD" w:rsidP="00B336D3">
            <w:pPr>
              <w:jc w:val="center"/>
              <w:rPr>
                <w:rFonts w:asciiTheme="majorBidi" w:hAnsiTheme="majorBidi" w:cstheme="majorBidi"/>
                <w:noProof w:val="0"/>
                <w:color w:val="1F3864" w:themeColor="accent1" w:themeShade="80"/>
                <w:sz w:val="24"/>
                <w:szCs w:val="24"/>
                <w:lang w:val="en-GB"/>
              </w:rPr>
            </w:pPr>
            <w:r w:rsidRPr="00722B6A">
              <w:rPr>
                <w:rFonts w:asciiTheme="majorBidi" w:hAnsiTheme="majorBidi" w:cstheme="majorBidi"/>
                <w:noProof w:val="0"/>
                <w:color w:val="1F3864" w:themeColor="accent1" w:themeShade="80"/>
                <w:sz w:val="24"/>
                <w:szCs w:val="24"/>
                <w:lang w:val="en-GB"/>
              </w:rPr>
              <w:t>0.33</w:t>
            </w:r>
          </w:p>
        </w:tc>
        <w:tc>
          <w:tcPr>
            <w:tcW w:w="709" w:type="dxa"/>
            <w:shd w:val="clear" w:color="auto" w:fill="auto"/>
          </w:tcPr>
          <w:p w14:paraId="30E4376A" w14:textId="1F4DE007" w:rsidR="00A90014" w:rsidRPr="000425DF" w:rsidRDefault="008204BD" w:rsidP="00B336D3">
            <w:pPr>
              <w:jc w:val="cente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0.0</w:t>
            </w:r>
          </w:p>
        </w:tc>
        <w:tc>
          <w:tcPr>
            <w:tcW w:w="709" w:type="dxa"/>
            <w:shd w:val="clear" w:color="auto" w:fill="auto"/>
          </w:tcPr>
          <w:p w14:paraId="3E2EA9EF" w14:textId="372EDE7B" w:rsidR="00A90014" w:rsidRPr="000425DF" w:rsidRDefault="008204BD" w:rsidP="00B336D3">
            <w:pPr>
              <w:jc w:val="cente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0.17</w:t>
            </w:r>
          </w:p>
        </w:tc>
      </w:tr>
      <w:tr w:rsidR="00B336D3" w:rsidRPr="000425DF" w14:paraId="6BBD4F20" w14:textId="77777777" w:rsidTr="00DD2461">
        <w:tc>
          <w:tcPr>
            <w:tcW w:w="1271" w:type="dxa"/>
            <w:shd w:val="clear" w:color="auto" w:fill="auto"/>
          </w:tcPr>
          <w:p w14:paraId="11F8B74E" w14:textId="19EA4519" w:rsidR="00FB56F6" w:rsidRPr="000425DF" w:rsidRDefault="00FB56F6" w:rsidP="00FB56F6">
            <w:pPr>
              <w:spacing w:after="160" w:line="259" w:lineRule="auto"/>
              <w:rPr>
                <w:rFonts w:asciiTheme="majorBidi" w:hAnsiTheme="majorBidi" w:cstheme="majorBidi"/>
                <w:noProof w:val="0"/>
                <w:sz w:val="24"/>
                <w:szCs w:val="24"/>
                <w:lang w:val="en-GB"/>
              </w:rPr>
            </w:pPr>
            <w:r w:rsidRPr="000425DF">
              <w:rPr>
                <w:rFonts w:asciiTheme="majorBidi" w:hAnsiTheme="majorBidi" w:cstheme="majorBidi"/>
                <w:noProof w:val="0"/>
                <w:sz w:val="24"/>
                <w:szCs w:val="24"/>
                <w:lang w:val="en-GB"/>
              </w:rPr>
              <w:t>Luxembourg</w:t>
            </w:r>
            <w:r w:rsidR="003526A2" w:rsidRPr="000425DF">
              <w:rPr>
                <w:rFonts w:asciiTheme="majorBidi" w:hAnsiTheme="majorBidi" w:cstheme="majorBidi"/>
                <w:noProof w:val="0"/>
                <w:sz w:val="24"/>
                <w:szCs w:val="24"/>
                <w:lang w:val="en-GB"/>
              </w:rPr>
              <w:t xml:space="preserve"> </w:t>
            </w:r>
            <w:r w:rsidR="00722B6A">
              <w:rPr>
                <w:rFonts w:asciiTheme="majorBidi" w:hAnsiTheme="majorBidi" w:cstheme="majorBidi"/>
                <w:noProof w:val="0"/>
                <w:sz w:val="24"/>
                <w:szCs w:val="24"/>
                <w:lang w:val="en-GB"/>
              </w:rPr>
              <w:t>(</w:t>
            </w:r>
            <w:r w:rsidR="003526A2" w:rsidRPr="000425DF">
              <w:rPr>
                <w:rFonts w:asciiTheme="majorBidi" w:hAnsiTheme="majorBidi" w:cstheme="majorBidi"/>
                <w:noProof w:val="0"/>
                <w:sz w:val="24"/>
                <w:szCs w:val="24"/>
                <w:lang w:val="en-GB"/>
              </w:rPr>
              <w:t>intro</w:t>
            </w:r>
            <w:r w:rsidR="00722B6A">
              <w:rPr>
                <w:rFonts w:asciiTheme="majorBidi" w:hAnsiTheme="majorBidi" w:cstheme="majorBidi"/>
                <w:noProof w:val="0"/>
                <w:sz w:val="24"/>
                <w:szCs w:val="24"/>
                <w:lang w:val="en-GB"/>
              </w:rPr>
              <w:t>duction)</w:t>
            </w:r>
          </w:p>
        </w:tc>
        <w:tc>
          <w:tcPr>
            <w:tcW w:w="6521" w:type="dxa"/>
            <w:shd w:val="clear" w:color="auto" w:fill="auto"/>
          </w:tcPr>
          <w:p w14:paraId="0D9CD3A7" w14:textId="53A66B53" w:rsidR="00FB56F6" w:rsidRPr="000425DF" w:rsidRDefault="00FB56F6" w:rsidP="00C95C8A">
            <w:pPr>
              <w:rPr>
                <w:rFonts w:asciiTheme="majorBidi" w:hAnsiTheme="majorBidi" w:cstheme="majorBidi"/>
                <w:noProof w:val="0"/>
                <w:color w:val="000000"/>
                <w:sz w:val="24"/>
                <w:szCs w:val="24"/>
                <w:lang w:val="en-GB"/>
              </w:rPr>
            </w:pPr>
            <w:r w:rsidRPr="000425DF">
              <w:rPr>
                <w:rFonts w:asciiTheme="majorBidi" w:hAnsiTheme="majorBidi" w:cstheme="majorBidi"/>
                <w:noProof w:val="0"/>
                <w:color w:val="000000"/>
                <w:sz w:val="24"/>
                <w:szCs w:val="24"/>
                <w:lang w:val="en-GB"/>
              </w:rPr>
              <w:t>There are three sources of funding for the dependency insurance</w:t>
            </w:r>
            <w:r w:rsidR="00B336D3" w:rsidRPr="000425DF">
              <w:rPr>
                <w:rFonts w:asciiTheme="majorBidi" w:hAnsiTheme="majorBidi" w:cstheme="majorBidi"/>
                <w:noProof w:val="0"/>
                <w:color w:val="000000"/>
                <w:sz w:val="24"/>
                <w:szCs w:val="24"/>
                <w:lang w:val="en-GB"/>
              </w:rPr>
              <w:t xml:space="preserve"> according to the </w:t>
            </w:r>
            <w:proofErr w:type="spellStart"/>
            <w:r w:rsidR="002D15FC" w:rsidRPr="000425DF">
              <w:rPr>
                <w:rFonts w:asciiTheme="majorBidi" w:hAnsiTheme="majorBidi" w:cstheme="majorBidi"/>
                <w:noProof w:val="0"/>
                <w:color w:val="000000"/>
                <w:sz w:val="24"/>
                <w:szCs w:val="24"/>
                <w:lang w:val="en-GB"/>
              </w:rPr>
              <w:t>loi</w:t>
            </w:r>
            <w:proofErr w:type="spellEnd"/>
            <w:r w:rsidR="002D15FC" w:rsidRPr="000425DF">
              <w:rPr>
                <w:rFonts w:asciiTheme="majorBidi" w:hAnsiTheme="majorBidi" w:cstheme="majorBidi"/>
                <w:noProof w:val="0"/>
                <w:color w:val="000000"/>
                <w:sz w:val="24"/>
                <w:szCs w:val="24"/>
                <w:lang w:val="en-GB"/>
              </w:rPr>
              <w:t xml:space="preserve"> AD</w:t>
            </w:r>
            <w:r w:rsidR="00B336D3" w:rsidRPr="000425DF">
              <w:rPr>
                <w:rFonts w:asciiTheme="majorBidi" w:hAnsiTheme="majorBidi" w:cstheme="majorBidi"/>
                <w:noProof w:val="0"/>
                <w:color w:val="000000"/>
                <w:sz w:val="24"/>
                <w:szCs w:val="24"/>
                <w:lang w:val="en-GB"/>
              </w:rPr>
              <w:t>:</w:t>
            </w:r>
            <w:r w:rsidRPr="000425DF">
              <w:rPr>
                <w:rFonts w:asciiTheme="majorBidi" w:hAnsiTheme="majorBidi" w:cstheme="majorBidi"/>
                <w:noProof w:val="0"/>
                <w:color w:val="000000"/>
                <w:sz w:val="24"/>
                <w:szCs w:val="24"/>
                <w:lang w:val="en-GB"/>
              </w:rPr>
              <w:br/>
              <w:t>1) 45% i</w:t>
            </w:r>
            <w:r w:rsidR="00B336D3" w:rsidRPr="000425DF">
              <w:rPr>
                <w:rFonts w:asciiTheme="majorBidi" w:hAnsiTheme="majorBidi" w:cstheme="majorBidi"/>
                <w:noProof w:val="0"/>
                <w:color w:val="000000"/>
                <w:sz w:val="24"/>
                <w:szCs w:val="24"/>
                <w:lang w:val="en-GB"/>
              </w:rPr>
              <w:t xml:space="preserve">s financed </w:t>
            </w:r>
            <w:r w:rsidRPr="000425DF">
              <w:rPr>
                <w:rFonts w:asciiTheme="majorBidi" w:hAnsiTheme="majorBidi" w:cstheme="majorBidi"/>
                <w:noProof w:val="0"/>
                <w:color w:val="000000"/>
                <w:sz w:val="24"/>
                <w:szCs w:val="24"/>
                <w:lang w:val="en-GB"/>
              </w:rPr>
              <w:t>by the state budget</w:t>
            </w:r>
            <w:r w:rsidRPr="000425DF">
              <w:rPr>
                <w:rFonts w:asciiTheme="majorBidi" w:hAnsiTheme="majorBidi" w:cstheme="majorBidi"/>
                <w:noProof w:val="0"/>
                <w:color w:val="000000"/>
                <w:sz w:val="24"/>
                <w:szCs w:val="24"/>
                <w:lang w:val="en-GB"/>
              </w:rPr>
              <w:br/>
              <w:t>2) revenue from a special tax levied on the energy sector</w:t>
            </w:r>
            <w:r w:rsidR="00B336D3" w:rsidRPr="000425DF">
              <w:rPr>
                <w:rFonts w:asciiTheme="majorBidi" w:hAnsiTheme="majorBidi" w:cstheme="majorBidi"/>
                <w:noProof w:val="0"/>
                <w:color w:val="000000"/>
                <w:sz w:val="24"/>
                <w:szCs w:val="24"/>
                <w:lang w:val="en-GB"/>
              </w:rPr>
              <w:t xml:space="preserve"> are used</w:t>
            </w:r>
            <w:r w:rsidRPr="000425DF">
              <w:rPr>
                <w:rFonts w:asciiTheme="majorBidi" w:hAnsiTheme="majorBidi" w:cstheme="majorBidi"/>
                <w:noProof w:val="0"/>
                <w:color w:val="000000"/>
                <w:sz w:val="24"/>
                <w:szCs w:val="24"/>
                <w:lang w:val="en-GB"/>
              </w:rPr>
              <w:br/>
              <w:t>3) social insurance contributions of 1% levied on income of members</w:t>
            </w:r>
            <w:r w:rsidR="00C95C8A" w:rsidRPr="000425DF">
              <w:rPr>
                <w:rFonts w:asciiTheme="majorBidi" w:hAnsiTheme="majorBidi" w:cstheme="majorBidi"/>
                <w:noProof w:val="0"/>
                <w:color w:val="000000"/>
                <w:sz w:val="24"/>
                <w:szCs w:val="24"/>
                <w:lang w:val="en-GB"/>
              </w:rPr>
              <w:t xml:space="preserve"> </w:t>
            </w:r>
            <w:r w:rsidR="00B336D3" w:rsidRPr="000425DF">
              <w:rPr>
                <w:rFonts w:asciiTheme="majorBidi" w:hAnsiTheme="majorBidi" w:cstheme="majorBidi"/>
                <w:noProof w:val="0"/>
                <w:color w:val="000000"/>
                <w:sz w:val="24"/>
                <w:szCs w:val="24"/>
                <w:lang w:val="en-GB"/>
              </w:rPr>
              <w:t>(</w:t>
            </w:r>
            <w:r w:rsidRPr="000425DF">
              <w:rPr>
                <w:rFonts w:asciiTheme="majorBidi" w:hAnsiTheme="majorBidi" w:cstheme="majorBidi"/>
                <w:noProof w:val="0"/>
                <w:color w:val="000000"/>
                <w:sz w:val="24"/>
                <w:szCs w:val="24"/>
                <w:lang w:val="en-GB"/>
              </w:rPr>
              <w:t>from work, transfers and capital earnings</w:t>
            </w:r>
            <w:r w:rsidR="00C95C8A" w:rsidRPr="000425DF">
              <w:rPr>
                <w:rFonts w:asciiTheme="majorBidi" w:hAnsiTheme="majorBidi" w:cstheme="majorBidi"/>
                <w:noProof w:val="0"/>
                <w:color w:val="000000"/>
                <w:sz w:val="24"/>
                <w:szCs w:val="24"/>
                <w:lang w:val="en-GB"/>
              </w:rPr>
              <w:t>) are collected.</w:t>
            </w:r>
            <w:r w:rsidRPr="000425DF">
              <w:rPr>
                <w:rFonts w:asciiTheme="majorBidi" w:hAnsiTheme="majorBidi" w:cstheme="majorBidi"/>
                <w:noProof w:val="0"/>
                <w:color w:val="000000"/>
                <w:sz w:val="24"/>
                <w:szCs w:val="24"/>
                <w:lang w:val="en-GB"/>
              </w:rPr>
              <w:br/>
            </w:r>
            <w:r w:rsidR="00C95C8A" w:rsidRPr="000425DF">
              <w:rPr>
                <w:rFonts w:asciiTheme="majorBidi" w:hAnsiTheme="majorBidi" w:cstheme="majorBidi"/>
                <w:noProof w:val="0"/>
                <w:color w:val="000000"/>
                <w:sz w:val="24"/>
                <w:szCs w:val="24"/>
                <w:lang w:val="en-GB"/>
              </w:rPr>
              <w:t>Individual c</w:t>
            </w:r>
            <w:r w:rsidRPr="000425DF">
              <w:rPr>
                <w:rFonts w:asciiTheme="majorBidi" w:hAnsiTheme="majorBidi" w:cstheme="majorBidi"/>
                <w:noProof w:val="0"/>
                <w:color w:val="000000"/>
                <w:sz w:val="24"/>
                <w:szCs w:val="24"/>
                <w:lang w:val="en-GB"/>
              </w:rPr>
              <w:t>o-payments are not a source of financing</w:t>
            </w:r>
            <w:r w:rsidR="00C95C8A" w:rsidRPr="000425DF">
              <w:rPr>
                <w:rFonts w:asciiTheme="majorBidi" w:hAnsiTheme="majorBidi" w:cstheme="majorBidi"/>
                <w:noProof w:val="0"/>
                <w:color w:val="000000"/>
                <w:sz w:val="24"/>
                <w:szCs w:val="24"/>
                <w:lang w:val="en-GB"/>
              </w:rPr>
              <w:t>.</w:t>
            </w:r>
            <w:r w:rsidRPr="000425DF">
              <w:rPr>
                <w:rFonts w:asciiTheme="majorBidi" w:hAnsiTheme="majorBidi" w:cstheme="majorBidi"/>
                <w:noProof w:val="0"/>
                <w:color w:val="000000"/>
                <w:sz w:val="24"/>
                <w:szCs w:val="24"/>
                <w:lang w:val="en-GB"/>
              </w:rPr>
              <w:br/>
            </w:r>
            <w:r w:rsidRPr="000425DF">
              <w:rPr>
                <w:rFonts w:asciiTheme="majorBidi" w:hAnsiTheme="majorBidi" w:cstheme="majorBidi"/>
                <w:noProof w:val="0"/>
                <w:color w:val="000000"/>
                <w:sz w:val="24"/>
                <w:szCs w:val="24"/>
                <w:lang w:val="en-GB"/>
              </w:rPr>
              <w:br/>
              <w:t>In 2004, the shares were the following (</w:t>
            </w:r>
            <w:proofErr w:type="spellStart"/>
            <w:r w:rsidRPr="000425DF">
              <w:rPr>
                <w:rFonts w:asciiTheme="majorBidi" w:hAnsiTheme="majorBidi" w:cstheme="majorBidi"/>
                <w:noProof w:val="0"/>
                <w:color w:val="000000"/>
                <w:sz w:val="24"/>
                <w:szCs w:val="24"/>
                <w:lang w:val="en-GB"/>
              </w:rPr>
              <w:t>Ministère</w:t>
            </w:r>
            <w:proofErr w:type="spellEnd"/>
            <w:r w:rsidRPr="000425DF">
              <w:rPr>
                <w:rFonts w:asciiTheme="majorBidi" w:hAnsiTheme="majorBidi" w:cstheme="majorBidi"/>
                <w:noProof w:val="0"/>
                <w:color w:val="000000"/>
                <w:sz w:val="24"/>
                <w:szCs w:val="24"/>
                <w:lang w:val="en-GB"/>
              </w:rPr>
              <w:t xml:space="preserve"> de la </w:t>
            </w:r>
            <w:proofErr w:type="spellStart"/>
            <w:r w:rsidRPr="000425DF">
              <w:rPr>
                <w:rFonts w:asciiTheme="majorBidi" w:hAnsiTheme="majorBidi" w:cstheme="majorBidi"/>
                <w:noProof w:val="0"/>
                <w:color w:val="000000"/>
                <w:sz w:val="24"/>
                <w:szCs w:val="24"/>
                <w:lang w:val="en-GB"/>
              </w:rPr>
              <w:t>Sécurité</w:t>
            </w:r>
            <w:proofErr w:type="spellEnd"/>
            <w:r w:rsidRPr="000425DF">
              <w:rPr>
                <w:rFonts w:asciiTheme="majorBidi" w:hAnsiTheme="majorBidi" w:cstheme="majorBidi"/>
                <w:noProof w:val="0"/>
                <w:color w:val="000000"/>
                <w:sz w:val="24"/>
                <w:szCs w:val="24"/>
                <w:lang w:val="en-GB"/>
              </w:rPr>
              <w:t xml:space="preserve"> </w:t>
            </w:r>
            <w:proofErr w:type="spellStart"/>
            <w:r w:rsidRPr="000425DF">
              <w:rPr>
                <w:rFonts w:asciiTheme="majorBidi" w:hAnsiTheme="majorBidi" w:cstheme="majorBidi"/>
                <w:noProof w:val="0"/>
                <w:color w:val="000000"/>
                <w:sz w:val="24"/>
                <w:szCs w:val="24"/>
                <w:lang w:val="en-GB"/>
              </w:rPr>
              <w:t>Sociale</w:t>
            </w:r>
            <w:proofErr w:type="spellEnd"/>
            <w:r w:rsidRPr="000425DF">
              <w:rPr>
                <w:rFonts w:asciiTheme="majorBidi" w:hAnsiTheme="majorBidi" w:cstheme="majorBidi"/>
                <w:noProof w:val="0"/>
                <w:color w:val="000000"/>
                <w:sz w:val="24"/>
                <w:szCs w:val="24"/>
                <w:lang w:val="en-GB"/>
              </w:rPr>
              <w:t xml:space="preserve"> 2013):</w:t>
            </w:r>
            <w:r w:rsidRPr="000425DF">
              <w:rPr>
                <w:rFonts w:asciiTheme="majorBidi" w:hAnsiTheme="majorBidi" w:cstheme="majorBidi"/>
                <w:noProof w:val="0"/>
                <w:color w:val="000000"/>
                <w:sz w:val="24"/>
                <w:szCs w:val="24"/>
                <w:lang w:val="en-GB"/>
              </w:rPr>
              <w:br/>
              <w:t>53</w:t>
            </w:r>
            <w:r w:rsidR="00C95C8A" w:rsidRPr="000425DF">
              <w:rPr>
                <w:rFonts w:asciiTheme="majorBidi" w:hAnsiTheme="majorBidi" w:cstheme="majorBidi"/>
                <w:noProof w:val="0"/>
                <w:color w:val="000000"/>
                <w:sz w:val="24"/>
                <w:szCs w:val="24"/>
                <w:lang w:val="en-GB"/>
              </w:rPr>
              <w:t>.</w:t>
            </w:r>
            <w:r w:rsidRPr="000425DF">
              <w:rPr>
                <w:rFonts w:asciiTheme="majorBidi" w:hAnsiTheme="majorBidi" w:cstheme="majorBidi"/>
                <w:noProof w:val="0"/>
                <w:color w:val="000000"/>
                <w:sz w:val="24"/>
                <w:szCs w:val="24"/>
                <w:lang w:val="en-GB"/>
              </w:rPr>
              <w:t>5% contributions</w:t>
            </w:r>
            <w:r w:rsidRPr="000425DF">
              <w:rPr>
                <w:rFonts w:asciiTheme="majorBidi" w:hAnsiTheme="majorBidi" w:cstheme="majorBidi"/>
                <w:noProof w:val="0"/>
                <w:color w:val="000000"/>
                <w:sz w:val="24"/>
                <w:szCs w:val="24"/>
                <w:lang w:val="en-GB"/>
              </w:rPr>
              <w:br/>
              <w:t>43</w:t>
            </w:r>
            <w:r w:rsidR="00C95C8A" w:rsidRPr="000425DF">
              <w:rPr>
                <w:rFonts w:asciiTheme="majorBidi" w:hAnsiTheme="majorBidi" w:cstheme="majorBidi"/>
                <w:noProof w:val="0"/>
                <w:color w:val="000000"/>
                <w:sz w:val="24"/>
                <w:szCs w:val="24"/>
                <w:lang w:val="en-GB"/>
              </w:rPr>
              <w:t>.</w:t>
            </w:r>
            <w:r w:rsidRPr="000425DF">
              <w:rPr>
                <w:rFonts w:asciiTheme="majorBidi" w:hAnsiTheme="majorBidi" w:cstheme="majorBidi"/>
                <w:noProof w:val="0"/>
                <w:color w:val="000000"/>
                <w:sz w:val="24"/>
                <w:szCs w:val="24"/>
                <w:lang w:val="en-GB"/>
              </w:rPr>
              <w:t>4% state</w:t>
            </w:r>
            <w:r w:rsidRPr="000425DF">
              <w:rPr>
                <w:rFonts w:asciiTheme="majorBidi" w:hAnsiTheme="majorBidi" w:cstheme="majorBidi"/>
                <w:noProof w:val="0"/>
                <w:color w:val="000000"/>
                <w:sz w:val="24"/>
                <w:szCs w:val="24"/>
                <w:lang w:val="en-GB"/>
              </w:rPr>
              <w:br/>
              <w:t>3% energy tax and others</w:t>
            </w:r>
          </w:p>
        </w:tc>
        <w:tc>
          <w:tcPr>
            <w:tcW w:w="2835" w:type="dxa"/>
            <w:shd w:val="clear" w:color="auto" w:fill="auto"/>
          </w:tcPr>
          <w:p w14:paraId="54705681" w14:textId="04AEFF6A" w:rsidR="00FB56F6" w:rsidRPr="000425DF" w:rsidRDefault="00F63F5D" w:rsidP="002D15FC">
            <w:pPr>
              <w:rPr>
                <w:rFonts w:asciiTheme="majorBidi" w:hAnsiTheme="majorBidi" w:cstheme="majorBidi"/>
                <w:noProof w:val="0"/>
                <w:color w:val="000000"/>
                <w:sz w:val="24"/>
                <w:szCs w:val="24"/>
                <w:lang w:val="en-GB"/>
              </w:rPr>
            </w:pPr>
            <w:r>
              <w:rPr>
                <w:rFonts w:asciiTheme="majorBidi" w:hAnsiTheme="majorBidi" w:cstheme="majorBidi"/>
                <w:color w:val="000000"/>
                <w:sz w:val="24"/>
                <w:szCs w:val="24"/>
                <w:lang w:val="en-GB"/>
              </w:rPr>
              <w:t>Kerschen, 2008; Ministère de la Sécurité Sociale, 2013</w:t>
            </w:r>
            <w:r w:rsidR="002D15FC" w:rsidRPr="000425DF">
              <w:rPr>
                <w:rFonts w:asciiTheme="majorBidi" w:hAnsiTheme="majorBidi" w:cstheme="majorBidi"/>
                <w:noProof w:val="0"/>
                <w:color w:val="000000"/>
                <w:sz w:val="24"/>
                <w:szCs w:val="24"/>
                <w:lang w:val="en-GB"/>
              </w:rPr>
              <w:t xml:space="preserve">; </w:t>
            </w:r>
            <w:proofErr w:type="spellStart"/>
            <w:r w:rsidR="002D15FC" w:rsidRPr="000425DF">
              <w:rPr>
                <w:rFonts w:asciiTheme="majorBidi" w:hAnsiTheme="majorBidi" w:cstheme="majorBidi"/>
                <w:noProof w:val="0"/>
                <w:color w:val="000000"/>
                <w:sz w:val="24"/>
                <w:szCs w:val="24"/>
                <w:lang w:val="en-GB"/>
              </w:rPr>
              <w:t>loi</w:t>
            </w:r>
            <w:proofErr w:type="spellEnd"/>
            <w:r w:rsidR="002D15FC" w:rsidRPr="000425DF">
              <w:rPr>
                <w:rFonts w:asciiTheme="majorBidi" w:hAnsiTheme="majorBidi" w:cstheme="majorBidi"/>
                <w:noProof w:val="0"/>
                <w:color w:val="000000"/>
                <w:sz w:val="24"/>
                <w:szCs w:val="24"/>
                <w:lang w:val="en-GB"/>
              </w:rPr>
              <w:t xml:space="preserve"> AD</w:t>
            </w:r>
          </w:p>
        </w:tc>
        <w:tc>
          <w:tcPr>
            <w:tcW w:w="1275" w:type="dxa"/>
            <w:shd w:val="clear" w:color="auto" w:fill="auto"/>
          </w:tcPr>
          <w:p w14:paraId="74B36C7A" w14:textId="70C0E7C2" w:rsidR="00FB56F6" w:rsidRPr="000425DF" w:rsidRDefault="006B0AF7" w:rsidP="00FB56F6">
            <w:pPr>
              <w:rPr>
                <w:rFonts w:asciiTheme="majorBidi" w:hAnsiTheme="majorBidi" w:cstheme="majorBidi"/>
                <w:noProof w:val="0"/>
                <w:color w:val="000000"/>
                <w:sz w:val="24"/>
                <w:szCs w:val="24"/>
                <w:lang w:val="en-GB"/>
              </w:rPr>
            </w:pPr>
            <w:r w:rsidRPr="000425DF">
              <w:rPr>
                <w:rFonts w:asciiTheme="majorBidi" w:hAnsiTheme="majorBidi" w:cstheme="majorBidi"/>
                <w:noProof w:val="0"/>
                <w:color w:val="000000"/>
                <w:sz w:val="24"/>
                <w:szCs w:val="24"/>
                <w:lang w:val="en-GB"/>
              </w:rPr>
              <w:t>High</w:t>
            </w:r>
          </w:p>
        </w:tc>
        <w:tc>
          <w:tcPr>
            <w:tcW w:w="708" w:type="dxa"/>
            <w:shd w:val="clear" w:color="auto" w:fill="auto"/>
          </w:tcPr>
          <w:p w14:paraId="22556774" w14:textId="77777777" w:rsidR="00FB56F6" w:rsidRPr="000425DF" w:rsidRDefault="00C95C8A" w:rsidP="00B336D3">
            <w:pPr>
              <w:jc w:val="center"/>
              <w:rPr>
                <w:rFonts w:asciiTheme="majorBidi" w:hAnsiTheme="majorBidi" w:cstheme="majorBidi"/>
                <w:noProof w:val="0"/>
                <w:sz w:val="24"/>
                <w:szCs w:val="24"/>
                <w:lang w:val="en-GB"/>
              </w:rPr>
            </w:pPr>
            <w:r w:rsidRPr="000425DF">
              <w:rPr>
                <w:rFonts w:asciiTheme="majorBidi" w:hAnsiTheme="majorBidi" w:cstheme="majorBidi"/>
                <w:noProof w:val="0"/>
                <w:sz w:val="24"/>
                <w:szCs w:val="24"/>
                <w:lang w:val="en-GB"/>
              </w:rPr>
              <w:t>0.33</w:t>
            </w:r>
          </w:p>
        </w:tc>
        <w:tc>
          <w:tcPr>
            <w:tcW w:w="709" w:type="dxa"/>
            <w:shd w:val="clear" w:color="auto" w:fill="auto"/>
          </w:tcPr>
          <w:p w14:paraId="416E8C9B" w14:textId="77777777" w:rsidR="00FB56F6" w:rsidRPr="00722B6A" w:rsidRDefault="00C95C8A" w:rsidP="00B336D3">
            <w:pPr>
              <w:jc w:val="center"/>
              <w:rPr>
                <w:rFonts w:asciiTheme="majorBidi" w:hAnsiTheme="majorBidi" w:cstheme="majorBidi"/>
                <w:noProof w:val="0"/>
                <w:sz w:val="24"/>
                <w:szCs w:val="24"/>
                <w:lang w:val="en-GB"/>
              </w:rPr>
            </w:pPr>
            <w:r w:rsidRPr="00722B6A">
              <w:rPr>
                <w:rFonts w:asciiTheme="majorBidi" w:hAnsiTheme="majorBidi" w:cstheme="majorBidi"/>
                <w:noProof w:val="0"/>
                <w:sz w:val="24"/>
                <w:szCs w:val="24"/>
                <w:lang w:val="en-GB"/>
              </w:rPr>
              <w:t>0.67</w:t>
            </w:r>
          </w:p>
        </w:tc>
        <w:tc>
          <w:tcPr>
            <w:tcW w:w="709" w:type="dxa"/>
            <w:shd w:val="clear" w:color="auto" w:fill="auto"/>
          </w:tcPr>
          <w:p w14:paraId="4914EA61" w14:textId="77777777" w:rsidR="00FB56F6" w:rsidRPr="000425DF" w:rsidRDefault="00C95C8A" w:rsidP="00B336D3">
            <w:pPr>
              <w:jc w:val="center"/>
              <w:rPr>
                <w:rFonts w:asciiTheme="majorBidi" w:hAnsiTheme="majorBidi" w:cstheme="majorBidi"/>
                <w:noProof w:val="0"/>
                <w:color w:val="000000"/>
                <w:sz w:val="24"/>
                <w:szCs w:val="24"/>
                <w:lang w:val="en-GB"/>
              </w:rPr>
            </w:pPr>
            <w:r w:rsidRPr="000425DF">
              <w:rPr>
                <w:rFonts w:asciiTheme="majorBidi" w:hAnsiTheme="majorBidi" w:cstheme="majorBidi"/>
                <w:noProof w:val="0"/>
                <w:color w:val="000000"/>
                <w:sz w:val="24"/>
                <w:szCs w:val="24"/>
                <w:lang w:val="en-GB"/>
              </w:rPr>
              <w:t>0.0</w:t>
            </w:r>
          </w:p>
        </w:tc>
        <w:tc>
          <w:tcPr>
            <w:tcW w:w="709" w:type="dxa"/>
            <w:shd w:val="clear" w:color="auto" w:fill="auto"/>
          </w:tcPr>
          <w:p w14:paraId="42705D6F" w14:textId="77777777" w:rsidR="00FB56F6" w:rsidRPr="000425DF" w:rsidRDefault="00C95C8A" w:rsidP="00B336D3">
            <w:pPr>
              <w:jc w:val="center"/>
              <w:rPr>
                <w:rFonts w:asciiTheme="majorBidi" w:hAnsiTheme="majorBidi" w:cstheme="majorBidi"/>
                <w:noProof w:val="0"/>
                <w:color w:val="000000"/>
                <w:sz w:val="24"/>
                <w:szCs w:val="24"/>
                <w:lang w:val="en-GB"/>
              </w:rPr>
            </w:pPr>
            <w:r w:rsidRPr="000425DF">
              <w:rPr>
                <w:rFonts w:asciiTheme="majorBidi" w:hAnsiTheme="majorBidi" w:cstheme="majorBidi"/>
                <w:noProof w:val="0"/>
                <w:color w:val="000000"/>
                <w:sz w:val="24"/>
                <w:szCs w:val="24"/>
                <w:lang w:val="en-GB"/>
              </w:rPr>
              <w:t>0.0</w:t>
            </w:r>
          </w:p>
        </w:tc>
      </w:tr>
      <w:tr w:rsidR="003526A2" w:rsidRPr="000425DF" w14:paraId="50BBDFF3" w14:textId="77777777" w:rsidTr="00DD2461">
        <w:tc>
          <w:tcPr>
            <w:tcW w:w="1271" w:type="dxa"/>
            <w:shd w:val="clear" w:color="auto" w:fill="auto"/>
          </w:tcPr>
          <w:p w14:paraId="0C8F5FF6" w14:textId="2A0927E4" w:rsidR="003526A2" w:rsidRPr="000425DF" w:rsidRDefault="003526A2" w:rsidP="00FB56F6">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 xml:space="preserve">Luxembourg </w:t>
            </w:r>
            <w:r w:rsidR="00722B6A">
              <w:rPr>
                <w:rFonts w:asciiTheme="majorBidi" w:hAnsiTheme="majorBidi" w:cstheme="majorBidi"/>
                <w:noProof w:val="0"/>
                <w:color w:val="1F3864" w:themeColor="accent1" w:themeShade="80"/>
                <w:sz w:val="24"/>
                <w:szCs w:val="24"/>
                <w:lang w:val="en-GB"/>
              </w:rPr>
              <w:t>(today)</w:t>
            </w:r>
          </w:p>
        </w:tc>
        <w:tc>
          <w:tcPr>
            <w:tcW w:w="6521" w:type="dxa"/>
            <w:shd w:val="clear" w:color="auto" w:fill="auto"/>
          </w:tcPr>
          <w:p w14:paraId="2B91D57B" w14:textId="582D11E7" w:rsidR="00C06885" w:rsidRPr="000425DF" w:rsidRDefault="00C06885" w:rsidP="00FB56F6">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The AD is generally financed by the same three sources outlined above. The state contribution is now by law at 40%, and the insurance contribution was increased to 1.4% of income meanwhile.</w:t>
            </w:r>
          </w:p>
          <w:p w14:paraId="736107B4" w14:textId="1F4EC2BF" w:rsidR="003526A2" w:rsidRPr="000425DF" w:rsidRDefault="00603755" w:rsidP="00FB56F6">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In 2011, the shares were the following (</w:t>
            </w:r>
            <w:proofErr w:type="spellStart"/>
            <w:r w:rsidRPr="000425DF">
              <w:rPr>
                <w:rFonts w:asciiTheme="majorBidi" w:hAnsiTheme="majorBidi" w:cstheme="majorBidi"/>
                <w:noProof w:val="0"/>
                <w:color w:val="1F3864" w:themeColor="accent1" w:themeShade="80"/>
                <w:sz w:val="24"/>
                <w:szCs w:val="24"/>
                <w:lang w:val="en-GB"/>
              </w:rPr>
              <w:t>Ministère</w:t>
            </w:r>
            <w:proofErr w:type="spellEnd"/>
            <w:r w:rsidRPr="000425DF">
              <w:rPr>
                <w:rFonts w:asciiTheme="majorBidi" w:hAnsiTheme="majorBidi" w:cstheme="majorBidi"/>
                <w:noProof w:val="0"/>
                <w:color w:val="1F3864" w:themeColor="accent1" w:themeShade="80"/>
                <w:sz w:val="24"/>
                <w:szCs w:val="24"/>
                <w:lang w:val="en-GB"/>
              </w:rPr>
              <w:t xml:space="preserve"> de la </w:t>
            </w:r>
            <w:proofErr w:type="spellStart"/>
            <w:r w:rsidRPr="000425DF">
              <w:rPr>
                <w:rFonts w:asciiTheme="majorBidi" w:hAnsiTheme="majorBidi" w:cstheme="majorBidi"/>
                <w:noProof w:val="0"/>
                <w:color w:val="1F3864" w:themeColor="accent1" w:themeShade="80"/>
                <w:sz w:val="24"/>
                <w:szCs w:val="24"/>
                <w:lang w:val="en-GB"/>
              </w:rPr>
              <w:t>Sécurité</w:t>
            </w:r>
            <w:proofErr w:type="spellEnd"/>
            <w:r w:rsidRPr="000425DF">
              <w:rPr>
                <w:rFonts w:asciiTheme="majorBidi" w:hAnsiTheme="majorBidi" w:cstheme="majorBidi"/>
                <w:noProof w:val="0"/>
                <w:color w:val="1F3864" w:themeColor="accent1" w:themeShade="80"/>
                <w:sz w:val="24"/>
                <w:szCs w:val="24"/>
                <w:lang w:val="en-GB"/>
              </w:rPr>
              <w:t xml:space="preserve"> </w:t>
            </w:r>
            <w:proofErr w:type="spellStart"/>
            <w:r w:rsidRPr="000425DF">
              <w:rPr>
                <w:rFonts w:asciiTheme="majorBidi" w:hAnsiTheme="majorBidi" w:cstheme="majorBidi"/>
                <w:noProof w:val="0"/>
                <w:color w:val="1F3864" w:themeColor="accent1" w:themeShade="80"/>
                <w:sz w:val="24"/>
                <w:szCs w:val="24"/>
                <w:lang w:val="en-GB"/>
              </w:rPr>
              <w:t>Sociale</w:t>
            </w:r>
            <w:proofErr w:type="spellEnd"/>
            <w:r w:rsidRPr="000425DF">
              <w:rPr>
                <w:rFonts w:asciiTheme="majorBidi" w:hAnsiTheme="majorBidi" w:cstheme="majorBidi"/>
                <w:noProof w:val="0"/>
                <w:color w:val="1F3864" w:themeColor="accent1" w:themeShade="80"/>
                <w:sz w:val="24"/>
                <w:szCs w:val="24"/>
                <w:lang w:val="en-GB"/>
              </w:rPr>
              <w:t xml:space="preserve"> 2013):</w:t>
            </w:r>
            <w:r w:rsidRPr="000425DF">
              <w:rPr>
                <w:rFonts w:asciiTheme="majorBidi" w:hAnsiTheme="majorBidi" w:cstheme="majorBidi"/>
                <w:noProof w:val="0"/>
                <w:color w:val="1F3864" w:themeColor="accent1" w:themeShade="80"/>
                <w:sz w:val="24"/>
                <w:szCs w:val="24"/>
                <w:lang w:val="en-GB"/>
              </w:rPr>
              <w:br/>
              <w:t>66.9% contributions</w:t>
            </w:r>
            <w:r w:rsidRPr="000425DF">
              <w:rPr>
                <w:rFonts w:asciiTheme="majorBidi" w:hAnsiTheme="majorBidi" w:cstheme="majorBidi"/>
                <w:noProof w:val="0"/>
                <w:color w:val="1F3864" w:themeColor="accent1" w:themeShade="80"/>
                <w:sz w:val="24"/>
                <w:szCs w:val="24"/>
                <w:lang w:val="en-GB"/>
              </w:rPr>
              <w:br/>
              <w:t>31.8% state</w:t>
            </w:r>
            <w:r w:rsidRPr="000425DF">
              <w:rPr>
                <w:rFonts w:asciiTheme="majorBidi" w:hAnsiTheme="majorBidi" w:cstheme="majorBidi"/>
                <w:noProof w:val="0"/>
                <w:color w:val="1F3864" w:themeColor="accent1" w:themeShade="80"/>
                <w:sz w:val="24"/>
                <w:szCs w:val="24"/>
                <w:lang w:val="en-GB"/>
              </w:rPr>
              <w:br/>
              <w:t>1.2% energy tax and others</w:t>
            </w:r>
          </w:p>
        </w:tc>
        <w:tc>
          <w:tcPr>
            <w:tcW w:w="2835" w:type="dxa"/>
            <w:shd w:val="clear" w:color="auto" w:fill="auto"/>
          </w:tcPr>
          <w:p w14:paraId="6C716C17" w14:textId="646603BE" w:rsidR="003526A2" w:rsidRPr="000425DF" w:rsidRDefault="00F63F5D" w:rsidP="002D15FC">
            <w:pPr>
              <w:rPr>
                <w:rFonts w:asciiTheme="majorBidi" w:hAnsiTheme="majorBidi" w:cstheme="majorBidi"/>
                <w:noProof w:val="0"/>
                <w:color w:val="1F3864" w:themeColor="accent1" w:themeShade="80"/>
                <w:sz w:val="24"/>
                <w:szCs w:val="24"/>
                <w:lang w:val="en-GB"/>
              </w:rPr>
            </w:pPr>
            <w:r>
              <w:rPr>
                <w:rFonts w:asciiTheme="majorBidi" w:hAnsiTheme="majorBidi" w:cstheme="majorBidi"/>
                <w:color w:val="1F3864" w:themeColor="accent1" w:themeShade="80"/>
                <w:sz w:val="24"/>
                <w:szCs w:val="24"/>
                <w:lang w:val="en-GB"/>
              </w:rPr>
              <w:t>Ministère de la Sécurité Sociale, 2013; Pacolet &amp; Wispelaere, 2018</w:t>
            </w:r>
            <w:r w:rsidR="002D15FC" w:rsidRPr="000425DF">
              <w:rPr>
                <w:rFonts w:asciiTheme="majorBidi" w:hAnsiTheme="majorBidi" w:cstheme="majorBidi"/>
                <w:noProof w:val="0"/>
                <w:color w:val="1F3864" w:themeColor="accent1" w:themeShade="80"/>
                <w:sz w:val="24"/>
                <w:szCs w:val="24"/>
                <w:lang w:val="en-GB"/>
              </w:rPr>
              <w:t xml:space="preserve">; </w:t>
            </w:r>
            <w:proofErr w:type="spellStart"/>
            <w:r w:rsidR="002D15FC" w:rsidRPr="000425DF">
              <w:rPr>
                <w:rFonts w:asciiTheme="majorBidi" w:hAnsiTheme="majorBidi" w:cstheme="majorBidi"/>
                <w:noProof w:val="0"/>
                <w:color w:val="1F3864" w:themeColor="accent1" w:themeShade="80"/>
                <w:sz w:val="24"/>
                <w:szCs w:val="24"/>
                <w:lang w:val="en-GB"/>
              </w:rPr>
              <w:t>loi</w:t>
            </w:r>
            <w:proofErr w:type="spellEnd"/>
            <w:r w:rsidR="002D15FC" w:rsidRPr="000425DF">
              <w:rPr>
                <w:rFonts w:asciiTheme="majorBidi" w:hAnsiTheme="majorBidi" w:cstheme="majorBidi"/>
                <w:noProof w:val="0"/>
                <w:color w:val="1F3864" w:themeColor="accent1" w:themeShade="80"/>
                <w:sz w:val="24"/>
                <w:szCs w:val="24"/>
                <w:lang w:val="en-GB"/>
              </w:rPr>
              <w:t xml:space="preserve"> AD</w:t>
            </w:r>
          </w:p>
        </w:tc>
        <w:tc>
          <w:tcPr>
            <w:tcW w:w="1275" w:type="dxa"/>
            <w:shd w:val="clear" w:color="auto" w:fill="auto"/>
          </w:tcPr>
          <w:p w14:paraId="564C972E" w14:textId="46797C89" w:rsidR="003526A2" w:rsidRPr="000425DF" w:rsidRDefault="006B0AF7" w:rsidP="00FB56F6">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High</w:t>
            </w:r>
          </w:p>
        </w:tc>
        <w:tc>
          <w:tcPr>
            <w:tcW w:w="708" w:type="dxa"/>
            <w:shd w:val="clear" w:color="auto" w:fill="auto"/>
          </w:tcPr>
          <w:p w14:paraId="53509E0B" w14:textId="13991CEE" w:rsidR="003526A2" w:rsidRPr="000425DF" w:rsidRDefault="00603755" w:rsidP="00B336D3">
            <w:pPr>
              <w:jc w:val="cente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0.33</w:t>
            </w:r>
          </w:p>
        </w:tc>
        <w:tc>
          <w:tcPr>
            <w:tcW w:w="709" w:type="dxa"/>
            <w:shd w:val="clear" w:color="auto" w:fill="auto"/>
          </w:tcPr>
          <w:p w14:paraId="56CC0022" w14:textId="577FC58A" w:rsidR="003526A2" w:rsidRPr="00722B6A" w:rsidRDefault="00603755" w:rsidP="00B336D3">
            <w:pPr>
              <w:jc w:val="center"/>
              <w:rPr>
                <w:rFonts w:asciiTheme="majorBidi" w:hAnsiTheme="majorBidi" w:cstheme="majorBidi"/>
                <w:noProof w:val="0"/>
                <w:color w:val="1F3864" w:themeColor="accent1" w:themeShade="80"/>
                <w:sz w:val="24"/>
                <w:szCs w:val="24"/>
                <w:lang w:val="en-GB"/>
              </w:rPr>
            </w:pPr>
            <w:r w:rsidRPr="00722B6A">
              <w:rPr>
                <w:rFonts w:asciiTheme="majorBidi" w:hAnsiTheme="majorBidi" w:cstheme="majorBidi"/>
                <w:noProof w:val="0"/>
                <w:color w:val="1F3864" w:themeColor="accent1" w:themeShade="80"/>
                <w:sz w:val="24"/>
                <w:szCs w:val="24"/>
                <w:lang w:val="en-GB"/>
              </w:rPr>
              <w:t>0.67</w:t>
            </w:r>
          </w:p>
        </w:tc>
        <w:tc>
          <w:tcPr>
            <w:tcW w:w="709" w:type="dxa"/>
            <w:shd w:val="clear" w:color="auto" w:fill="auto"/>
          </w:tcPr>
          <w:p w14:paraId="6B2E0705" w14:textId="0EDC2E78" w:rsidR="003526A2" w:rsidRPr="000425DF" w:rsidRDefault="00603755" w:rsidP="00B336D3">
            <w:pPr>
              <w:jc w:val="cente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0.0</w:t>
            </w:r>
          </w:p>
        </w:tc>
        <w:tc>
          <w:tcPr>
            <w:tcW w:w="709" w:type="dxa"/>
            <w:shd w:val="clear" w:color="auto" w:fill="auto"/>
          </w:tcPr>
          <w:p w14:paraId="5FD02F85" w14:textId="45EEAB10" w:rsidR="003526A2" w:rsidRPr="000425DF" w:rsidRDefault="00603755" w:rsidP="00B336D3">
            <w:pPr>
              <w:jc w:val="cente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0.0</w:t>
            </w:r>
          </w:p>
        </w:tc>
      </w:tr>
      <w:tr w:rsidR="00B336D3" w:rsidRPr="000425DF" w14:paraId="4FC9C9B4" w14:textId="77777777" w:rsidTr="00DD2461">
        <w:tc>
          <w:tcPr>
            <w:tcW w:w="1271" w:type="dxa"/>
            <w:shd w:val="clear" w:color="auto" w:fill="auto"/>
          </w:tcPr>
          <w:p w14:paraId="58917CBA" w14:textId="23F583A6" w:rsidR="00FB56F6" w:rsidRPr="000425DF" w:rsidRDefault="00FB56F6" w:rsidP="00FB56F6">
            <w:pPr>
              <w:spacing w:after="160" w:line="259" w:lineRule="auto"/>
              <w:rPr>
                <w:rFonts w:asciiTheme="majorBidi" w:hAnsiTheme="majorBidi" w:cstheme="majorBidi"/>
                <w:noProof w:val="0"/>
                <w:sz w:val="24"/>
                <w:szCs w:val="24"/>
                <w:lang w:val="en-GB"/>
              </w:rPr>
            </w:pPr>
            <w:r w:rsidRPr="000425DF">
              <w:rPr>
                <w:rFonts w:asciiTheme="majorBidi" w:hAnsiTheme="majorBidi" w:cstheme="majorBidi"/>
                <w:noProof w:val="0"/>
                <w:sz w:val="24"/>
                <w:szCs w:val="24"/>
                <w:lang w:val="en-GB"/>
              </w:rPr>
              <w:t>Netherlands</w:t>
            </w:r>
            <w:r w:rsidR="004816A2" w:rsidRPr="000425DF">
              <w:rPr>
                <w:rFonts w:asciiTheme="majorBidi" w:hAnsiTheme="majorBidi" w:cstheme="majorBidi"/>
                <w:noProof w:val="0"/>
                <w:sz w:val="24"/>
                <w:szCs w:val="24"/>
                <w:lang w:val="en-GB"/>
              </w:rPr>
              <w:t xml:space="preserve"> </w:t>
            </w:r>
            <w:r w:rsidR="00935C60">
              <w:rPr>
                <w:rFonts w:asciiTheme="majorBidi" w:hAnsiTheme="majorBidi" w:cstheme="majorBidi"/>
                <w:noProof w:val="0"/>
                <w:sz w:val="24"/>
                <w:szCs w:val="24"/>
                <w:lang w:val="en-GB"/>
              </w:rPr>
              <w:t>(</w:t>
            </w:r>
            <w:r w:rsidR="004816A2" w:rsidRPr="000425DF">
              <w:rPr>
                <w:rFonts w:asciiTheme="majorBidi" w:hAnsiTheme="majorBidi" w:cstheme="majorBidi"/>
                <w:noProof w:val="0"/>
                <w:sz w:val="24"/>
                <w:szCs w:val="24"/>
                <w:lang w:val="en-GB"/>
              </w:rPr>
              <w:t>intro</w:t>
            </w:r>
            <w:r w:rsidR="00722B6A">
              <w:rPr>
                <w:rFonts w:asciiTheme="majorBidi" w:hAnsiTheme="majorBidi" w:cstheme="majorBidi"/>
                <w:noProof w:val="0"/>
                <w:sz w:val="24"/>
                <w:szCs w:val="24"/>
                <w:lang w:val="en-GB"/>
              </w:rPr>
              <w:t>duction)</w:t>
            </w:r>
          </w:p>
        </w:tc>
        <w:tc>
          <w:tcPr>
            <w:tcW w:w="6521" w:type="dxa"/>
            <w:shd w:val="clear" w:color="auto" w:fill="auto"/>
          </w:tcPr>
          <w:p w14:paraId="606AE062" w14:textId="77777777" w:rsidR="00FB56F6" w:rsidRPr="000425DF" w:rsidRDefault="00FB56F6" w:rsidP="00FB56F6">
            <w:pPr>
              <w:rPr>
                <w:rFonts w:asciiTheme="majorBidi" w:hAnsiTheme="majorBidi" w:cstheme="majorBidi"/>
                <w:noProof w:val="0"/>
                <w:color w:val="FF0000"/>
                <w:sz w:val="24"/>
                <w:szCs w:val="24"/>
                <w:lang w:val="en-GB"/>
              </w:rPr>
            </w:pPr>
            <w:r w:rsidRPr="000425DF">
              <w:rPr>
                <w:rFonts w:asciiTheme="majorBidi" w:hAnsiTheme="majorBidi" w:cstheme="majorBidi"/>
                <w:noProof w:val="0"/>
                <w:sz w:val="24"/>
                <w:szCs w:val="24"/>
                <w:lang w:val="en-GB"/>
              </w:rPr>
              <w:t xml:space="preserve">The scheme is funded by social insurance contributions collected from income, government subsidies and a minor share of individual co-payments. In the first years after introduction, the state co-funding share was still higher than the share from contributions (this changed in during the 1970s when contributions were raised steeply). For 1968, </w:t>
            </w:r>
            <w:proofErr w:type="spellStart"/>
            <w:r w:rsidRPr="000425DF">
              <w:rPr>
                <w:rFonts w:asciiTheme="majorBidi" w:hAnsiTheme="majorBidi" w:cstheme="majorBidi"/>
                <w:noProof w:val="0"/>
                <w:sz w:val="24"/>
                <w:szCs w:val="24"/>
                <w:lang w:val="en-GB"/>
              </w:rPr>
              <w:t>Poske</w:t>
            </w:r>
            <w:proofErr w:type="spellEnd"/>
            <w:r w:rsidRPr="000425DF">
              <w:rPr>
                <w:rFonts w:asciiTheme="majorBidi" w:hAnsiTheme="majorBidi" w:cstheme="majorBidi"/>
                <w:noProof w:val="0"/>
                <w:sz w:val="24"/>
                <w:szCs w:val="24"/>
                <w:lang w:val="en-GB"/>
              </w:rPr>
              <w:t xml:space="preserve"> </w:t>
            </w:r>
            <w:r w:rsidRPr="000425DF">
              <w:rPr>
                <w:rFonts w:asciiTheme="majorBidi" w:hAnsiTheme="majorBidi" w:cstheme="majorBidi"/>
                <w:noProof w:val="0"/>
                <w:sz w:val="24"/>
                <w:szCs w:val="24"/>
                <w:lang w:val="en-GB"/>
              </w:rPr>
              <w:lastRenderedPageBreak/>
              <w:t>(1985) specifies the state share with 71.7%.</w:t>
            </w:r>
            <w:r w:rsidR="00175FE0" w:rsidRPr="000425DF">
              <w:rPr>
                <w:rFonts w:asciiTheme="majorBidi" w:hAnsiTheme="majorBidi" w:cstheme="majorBidi"/>
                <w:noProof w:val="0"/>
                <w:sz w:val="24"/>
                <w:szCs w:val="24"/>
                <w:lang w:val="en-GB"/>
              </w:rPr>
              <w:t xml:space="preserve"> Co-payments were probably below 10% at system establishment, in 1983 they covered 8.93% of the care cost (</w:t>
            </w:r>
            <w:proofErr w:type="spellStart"/>
            <w:r w:rsidR="00175FE0" w:rsidRPr="000425DF">
              <w:rPr>
                <w:rFonts w:asciiTheme="majorBidi" w:hAnsiTheme="majorBidi" w:cstheme="majorBidi"/>
                <w:noProof w:val="0"/>
                <w:sz w:val="24"/>
                <w:szCs w:val="24"/>
                <w:lang w:val="en-GB"/>
              </w:rPr>
              <w:t>Poske</w:t>
            </w:r>
            <w:proofErr w:type="spellEnd"/>
            <w:r w:rsidR="00175FE0" w:rsidRPr="000425DF">
              <w:rPr>
                <w:rFonts w:asciiTheme="majorBidi" w:hAnsiTheme="majorBidi" w:cstheme="majorBidi"/>
                <w:noProof w:val="0"/>
                <w:sz w:val="24"/>
                <w:szCs w:val="24"/>
                <w:lang w:val="en-GB"/>
              </w:rPr>
              <w:t xml:space="preserve"> 1985).</w:t>
            </w:r>
          </w:p>
        </w:tc>
        <w:tc>
          <w:tcPr>
            <w:tcW w:w="2835" w:type="dxa"/>
            <w:shd w:val="clear" w:color="auto" w:fill="auto"/>
          </w:tcPr>
          <w:p w14:paraId="7F2EF041" w14:textId="7EC6AF3C" w:rsidR="00FB56F6" w:rsidRPr="000425DF" w:rsidRDefault="00F63F5D" w:rsidP="002D15FC">
            <w:pPr>
              <w:rPr>
                <w:rFonts w:asciiTheme="majorBidi" w:hAnsiTheme="majorBidi" w:cstheme="majorBidi"/>
                <w:noProof w:val="0"/>
                <w:color w:val="000000"/>
                <w:sz w:val="24"/>
                <w:szCs w:val="24"/>
                <w:lang w:val="en-GB"/>
              </w:rPr>
            </w:pPr>
            <w:r>
              <w:rPr>
                <w:rFonts w:asciiTheme="majorBidi" w:hAnsiTheme="majorBidi" w:cstheme="majorBidi"/>
                <w:color w:val="000000"/>
                <w:sz w:val="24"/>
                <w:szCs w:val="24"/>
                <w:lang w:val="en-GB"/>
              </w:rPr>
              <w:lastRenderedPageBreak/>
              <w:t>Poske, 1985; van Nostrand et al., 1995</w:t>
            </w:r>
            <w:r w:rsidR="002D15FC" w:rsidRPr="000425DF">
              <w:rPr>
                <w:rFonts w:asciiTheme="majorBidi" w:hAnsiTheme="majorBidi" w:cstheme="majorBidi"/>
                <w:noProof w:val="0"/>
                <w:color w:val="000000"/>
                <w:sz w:val="24"/>
                <w:szCs w:val="24"/>
                <w:lang w:val="en-GB"/>
              </w:rPr>
              <w:t xml:space="preserve">; </w:t>
            </w:r>
            <w:r>
              <w:rPr>
                <w:rFonts w:asciiTheme="majorBidi" w:hAnsiTheme="majorBidi" w:cstheme="majorBidi"/>
                <w:color w:val="000000"/>
                <w:sz w:val="24"/>
                <w:szCs w:val="24"/>
                <w:lang w:val="en-GB"/>
              </w:rPr>
              <w:t>Companje, 2014; Winters, 1996</w:t>
            </w:r>
          </w:p>
        </w:tc>
        <w:tc>
          <w:tcPr>
            <w:tcW w:w="1275" w:type="dxa"/>
            <w:shd w:val="clear" w:color="auto" w:fill="auto"/>
          </w:tcPr>
          <w:p w14:paraId="46C3F9F4" w14:textId="77777777" w:rsidR="00FB56F6" w:rsidRPr="000425DF" w:rsidRDefault="00175FE0" w:rsidP="00FB56F6">
            <w:pPr>
              <w:rPr>
                <w:rFonts w:asciiTheme="majorBidi" w:hAnsiTheme="majorBidi" w:cstheme="majorBidi"/>
                <w:noProof w:val="0"/>
                <w:color w:val="000000"/>
                <w:sz w:val="24"/>
                <w:szCs w:val="24"/>
                <w:lang w:val="en-GB"/>
              </w:rPr>
            </w:pPr>
            <w:r w:rsidRPr="000425DF">
              <w:rPr>
                <w:rFonts w:asciiTheme="majorBidi" w:hAnsiTheme="majorBidi" w:cstheme="majorBidi"/>
                <w:noProof w:val="0"/>
                <w:color w:val="000000"/>
                <w:sz w:val="24"/>
                <w:szCs w:val="24"/>
                <w:lang w:val="en-GB"/>
              </w:rPr>
              <w:t>Medium</w:t>
            </w:r>
          </w:p>
        </w:tc>
        <w:tc>
          <w:tcPr>
            <w:tcW w:w="708" w:type="dxa"/>
            <w:shd w:val="clear" w:color="auto" w:fill="auto"/>
          </w:tcPr>
          <w:p w14:paraId="6758E7B8" w14:textId="77777777" w:rsidR="00FB56F6" w:rsidRPr="000425DF" w:rsidRDefault="00175FE0" w:rsidP="00B336D3">
            <w:pPr>
              <w:jc w:val="center"/>
              <w:rPr>
                <w:rFonts w:asciiTheme="majorBidi" w:hAnsiTheme="majorBidi" w:cstheme="majorBidi"/>
                <w:noProof w:val="0"/>
                <w:color w:val="000000"/>
                <w:sz w:val="24"/>
                <w:szCs w:val="24"/>
                <w:lang w:val="en-GB"/>
              </w:rPr>
            </w:pPr>
            <w:r w:rsidRPr="000425DF">
              <w:rPr>
                <w:rFonts w:asciiTheme="majorBidi" w:hAnsiTheme="majorBidi" w:cstheme="majorBidi"/>
                <w:noProof w:val="0"/>
                <w:color w:val="000000"/>
                <w:sz w:val="24"/>
                <w:szCs w:val="24"/>
                <w:lang w:val="en-GB"/>
              </w:rPr>
              <w:t>0.67</w:t>
            </w:r>
          </w:p>
        </w:tc>
        <w:tc>
          <w:tcPr>
            <w:tcW w:w="709" w:type="dxa"/>
            <w:shd w:val="clear" w:color="auto" w:fill="auto"/>
          </w:tcPr>
          <w:p w14:paraId="58BE7521" w14:textId="77777777" w:rsidR="00FB56F6" w:rsidRPr="00722B6A" w:rsidRDefault="00175FE0" w:rsidP="00B336D3">
            <w:pPr>
              <w:jc w:val="center"/>
              <w:rPr>
                <w:rFonts w:asciiTheme="majorBidi" w:hAnsiTheme="majorBidi" w:cstheme="majorBidi"/>
                <w:noProof w:val="0"/>
                <w:color w:val="FF0000"/>
                <w:sz w:val="24"/>
                <w:szCs w:val="24"/>
                <w:lang w:val="en-GB"/>
              </w:rPr>
            </w:pPr>
            <w:r w:rsidRPr="00722B6A">
              <w:rPr>
                <w:rFonts w:asciiTheme="majorBidi" w:hAnsiTheme="majorBidi" w:cstheme="majorBidi"/>
                <w:noProof w:val="0"/>
                <w:sz w:val="24"/>
                <w:szCs w:val="24"/>
                <w:lang w:val="en-GB"/>
              </w:rPr>
              <w:t>0.17</w:t>
            </w:r>
          </w:p>
        </w:tc>
        <w:tc>
          <w:tcPr>
            <w:tcW w:w="709" w:type="dxa"/>
            <w:shd w:val="clear" w:color="auto" w:fill="auto"/>
          </w:tcPr>
          <w:p w14:paraId="1DA0536C" w14:textId="77777777" w:rsidR="00FB56F6" w:rsidRPr="000425DF" w:rsidRDefault="00175FE0" w:rsidP="00B336D3">
            <w:pPr>
              <w:jc w:val="center"/>
              <w:rPr>
                <w:rFonts w:asciiTheme="majorBidi" w:hAnsiTheme="majorBidi" w:cstheme="majorBidi"/>
                <w:noProof w:val="0"/>
                <w:color w:val="000000"/>
                <w:sz w:val="24"/>
                <w:szCs w:val="24"/>
                <w:lang w:val="en-GB"/>
              </w:rPr>
            </w:pPr>
            <w:r w:rsidRPr="000425DF">
              <w:rPr>
                <w:rFonts w:asciiTheme="majorBidi" w:hAnsiTheme="majorBidi" w:cstheme="majorBidi"/>
                <w:noProof w:val="0"/>
                <w:color w:val="000000"/>
                <w:sz w:val="24"/>
                <w:szCs w:val="24"/>
                <w:lang w:val="en-GB"/>
              </w:rPr>
              <w:t>0.0</w:t>
            </w:r>
          </w:p>
        </w:tc>
        <w:tc>
          <w:tcPr>
            <w:tcW w:w="709" w:type="dxa"/>
            <w:shd w:val="clear" w:color="auto" w:fill="auto"/>
          </w:tcPr>
          <w:p w14:paraId="2AAD274F" w14:textId="77777777" w:rsidR="00FB56F6" w:rsidRPr="000425DF" w:rsidRDefault="00175FE0" w:rsidP="00B336D3">
            <w:pPr>
              <w:jc w:val="center"/>
              <w:rPr>
                <w:rFonts w:asciiTheme="majorBidi" w:hAnsiTheme="majorBidi" w:cstheme="majorBidi"/>
                <w:noProof w:val="0"/>
                <w:color w:val="000000"/>
                <w:sz w:val="24"/>
                <w:szCs w:val="24"/>
                <w:lang w:val="en-GB"/>
              </w:rPr>
            </w:pPr>
            <w:r w:rsidRPr="000425DF">
              <w:rPr>
                <w:rFonts w:asciiTheme="majorBidi" w:hAnsiTheme="majorBidi" w:cstheme="majorBidi"/>
                <w:noProof w:val="0"/>
                <w:color w:val="000000"/>
                <w:sz w:val="24"/>
                <w:szCs w:val="24"/>
                <w:lang w:val="en-GB"/>
              </w:rPr>
              <w:t>0.0</w:t>
            </w:r>
          </w:p>
        </w:tc>
      </w:tr>
      <w:tr w:rsidR="004816A2" w:rsidRPr="000425DF" w14:paraId="0EC9B8C8" w14:textId="77777777" w:rsidTr="00DD2461">
        <w:tc>
          <w:tcPr>
            <w:tcW w:w="1271" w:type="dxa"/>
            <w:shd w:val="clear" w:color="auto" w:fill="auto"/>
          </w:tcPr>
          <w:p w14:paraId="31F3BE4A" w14:textId="4DF1825C" w:rsidR="004816A2" w:rsidRPr="000425DF" w:rsidRDefault="004816A2" w:rsidP="00FB56F6">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 xml:space="preserve">Netherlands </w:t>
            </w:r>
            <w:r w:rsidR="00935C60">
              <w:rPr>
                <w:rFonts w:asciiTheme="majorBidi" w:hAnsiTheme="majorBidi" w:cstheme="majorBidi"/>
                <w:noProof w:val="0"/>
                <w:color w:val="1F3864" w:themeColor="accent1" w:themeShade="80"/>
                <w:sz w:val="24"/>
                <w:szCs w:val="24"/>
                <w:lang w:val="en-GB"/>
              </w:rPr>
              <w:t>(today)</w:t>
            </w:r>
          </w:p>
        </w:tc>
        <w:tc>
          <w:tcPr>
            <w:tcW w:w="6521" w:type="dxa"/>
            <w:shd w:val="clear" w:color="auto" w:fill="auto"/>
          </w:tcPr>
          <w:p w14:paraId="352A5F1E" w14:textId="77777777" w:rsidR="00CF260C" w:rsidRPr="000425DF" w:rsidRDefault="003A11FC" w:rsidP="004816A2">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In the 2000s, the AWBZ is financed more by contributions than taxes.</w:t>
            </w:r>
          </w:p>
          <w:p w14:paraId="6ED7F4D9" w14:textId="6BBF99E4" w:rsidR="004816A2" w:rsidRPr="000425DF" w:rsidRDefault="00CF260C" w:rsidP="008A2034">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In 2008, 68% of the AWBZ is financed by income-related contributions and 24% by tax-based state subsidies (</w:t>
            </w:r>
            <w:proofErr w:type="spellStart"/>
            <w:r w:rsidRPr="000425DF">
              <w:rPr>
                <w:rFonts w:asciiTheme="majorBidi" w:hAnsiTheme="majorBidi" w:cstheme="majorBidi"/>
                <w:noProof w:val="0"/>
                <w:color w:val="1F3864" w:themeColor="accent1" w:themeShade="80"/>
                <w:sz w:val="24"/>
                <w:szCs w:val="24"/>
                <w:lang w:val="en-GB"/>
              </w:rPr>
              <w:t>Schut</w:t>
            </w:r>
            <w:proofErr w:type="spellEnd"/>
            <w:r w:rsidRPr="000425DF">
              <w:rPr>
                <w:rFonts w:asciiTheme="majorBidi" w:hAnsiTheme="majorBidi" w:cstheme="majorBidi"/>
                <w:noProof w:val="0"/>
                <w:color w:val="1F3864" w:themeColor="accent1" w:themeShade="80"/>
                <w:sz w:val="24"/>
                <w:szCs w:val="24"/>
                <w:lang w:val="en-GB"/>
              </w:rPr>
              <w:t xml:space="preserve"> </w:t>
            </w:r>
            <w:r w:rsidR="008A2034" w:rsidRPr="000425DF">
              <w:rPr>
                <w:rFonts w:asciiTheme="majorBidi" w:hAnsiTheme="majorBidi" w:cstheme="majorBidi"/>
                <w:noProof w:val="0"/>
                <w:color w:val="1F3864" w:themeColor="accent1" w:themeShade="80"/>
                <w:sz w:val="24"/>
                <w:szCs w:val="24"/>
                <w:lang w:val="en-GB"/>
              </w:rPr>
              <w:t>and</w:t>
            </w:r>
            <w:r w:rsidRPr="000425DF">
              <w:rPr>
                <w:rFonts w:asciiTheme="majorBidi" w:hAnsiTheme="majorBidi" w:cstheme="majorBidi"/>
                <w:noProof w:val="0"/>
                <w:color w:val="1F3864" w:themeColor="accent1" w:themeShade="80"/>
                <w:sz w:val="24"/>
                <w:szCs w:val="24"/>
                <w:lang w:val="en-GB"/>
              </w:rPr>
              <w:t xml:space="preserve"> van den Berg 2010; see also OECD 2011).</w:t>
            </w:r>
            <w:r w:rsidR="003A11FC" w:rsidRPr="000425DF">
              <w:rPr>
                <w:rFonts w:asciiTheme="majorBidi" w:hAnsiTheme="majorBidi" w:cstheme="majorBidi"/>
                <w:noProof w:val="0"/>
                <w:color w:val="1F3864" w:themeColor="accent1" w:themeShade="80"/>
                <w:sz w:val="24"/>
                <w:szCs w:val="24"/>
                <w:lang w:val="en-GB"/>
              </w:rPr>
              <w:t xml:space="preserve"> Co-payments make out</w:t>
            </w:r>
            <w:r w:rsidRPr="000425DF">
              <w:rPr>
                <w:rFonts w:asciiTheme="majorBidi" w:hAnsiTheme="majorBidi" w:cstheme="majorBidi"/>
                <w:noProof w:val="0"/>
                <w:color w:val="1F3864" w:themeColor="accent1" w:themeShade="80"/>
                <w:sz w:val="24"/>
                <w:szCs w:val="24"/>
                <w:lang w:val="en-GB"/>
              </w:rPr>
              <w:t xml:space="preserve"> 7-9% (in 2011/2008</w:t>
            </w:r>
            <w:r w:rsidR="008A2034" w:rsidRPr="000425DF">
              <w:rPr>
                <w:rFonts w:asciiTheme="majorBidi" w:hAnsiTheme="majorBidi" w:cstheme="majorBidi"/>
                <w:noProof w:val="0"/>
                <w:color w:val="1F3864" w:themeColor="accent1" w:themeShade="80"/>
                <w:sz w:val="24"/>
                <w:szCs w:val="24"/>
                <w:lang w:val="en-GB"/>
              </w:rPr>
              <w:t>, depending on year and source).</w:t>
            </w:r>
          </w:p>
        </w:tc>
        <w:tc>
          <w:tcPr>
            <w:tcW w:w="2835" w:type="dxa"/>
            <w:shd w:val="clear" w:color="auto" w:fill="auto"/>
          </w:tcPr>
          <w:p w14:paraId="6DD90C1C" w14:textId="55E8F506" w:rsidR="004816A2" w:rsidRPr="000425DF" w:rsidRDefault="00F63F5D" w:rsidP="008A2034">
            <w:pPr>
              <w:rPr>
                <w:rFonts w:asciiTheme="majorBidi" w:hAnsiTheme="majorBidi" w:cstheme="majorBidi"/>
                <w:noProof w:val="0"/>
                <w:color w:val="1F3864" w:themeColor="accent1" w:themeShade="80"/>
                <w:sz w:val="24"/>
                <w:szCs w:val="24"/>
              </w:rPr>
            </w:pPr>
            <w:r>
              <w:rPr>
                <w:rFonts w:asciiTheme="majorBidi" w:hAnsiTheme="majorBidi" w:cstheme="majorBidi"/>
                <w:color w:val="1F3864" w:themeColor="accent1" w:themeShade="80"/>
                <w:sz w:val="24"/>
                <w:szCs w:val="24"/>
              </w:rPr>
              <w:t>Deken &amp; Maarse, 2014; Organisation for Economic Co-operation and Development [OECD], 2011c; Schut &amp; van den Berg, 2010</w:t>
            </w:r>
          </w:p>
        </w:tc>
        <w:tc>
          <w:tcPr>
            <w:tcW w:w="1275" w:type="dxa"/>
            <w:shd w:val="clear" w:color="auto" w:fill="auto"/>
          </w:tcPr>
          <w:p w14:paraId="3AB281F0" w14:textId="12D235B0" w:rsidR="004816A2" w:rsidRPr="000425DF" w:rsidRDefault="003A11FC" w:rsidP="00FB56F6">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High</w:t>
            </w:r>
          </w:p>
        </w:tc>
        <w:tc>
          <w:tcPr>
            <w:tcW w:w="708" w:type="dxa"/>
            <w:shd w:val="clear" w:color="auto" w:fill="auto"/>
          </w:tcPr>
          <w:p w14:paraId="6D2FA016" w14:textId="1A1BB096" w:rsidR="004816A2" w:rsidRPr="000425DF" w:rsidRDefault="00CF260C" w:rsidP="00B336D3">
            <w:pPr>
              <w:jc w:val="cente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0.17</w:t>
            </w:r>
          </w:p>
        </w:tc>
        <w:tc>
          <w:tcPr>
            <w:tcW w:w="709" w:type="dxa"/>
            <w:shd w:val="clear" w:color="auto" w:fill="auto"/>
          </w:tcPr>
          <w:p w14:paraId="571D6C45" w14:textId="4B0C5EEB" w:rsidR="004816A2" w:rsidRPr="00722B6A" w:rsidRDefault="00CF260C" w:rsidP="00B336D3">
            <w:pPr>
              <w:jc w:val="center"/>
              <w:rPr>
                <w:rFonts w:asciiTheme="majorBidi" w:hAnsiTheme="majorBidi" w:cstheme="majorBidi"/>
                <w:noProof w:val="0"/>
                <w:color w:val="1F3864" w:themeColor="accent1" w:themeShade="80"/>
                <w:sz w:val="24"/>
                <w:szCs w:val="24"/>
                <w:lang w:val="en-GB"/>
              </w:rPr>
            </w:pPr>
            <w:r w:rsidRPr="00722B6A">
              <w:rPr>
                <w:rFonts w:asciiTheme="majorBidi" w:hAnsiTheme="majorBidi" w:cstheme="majorBidi"/>
                <w:noProof w:val="0"/>
                <w:color w:val="1F3864" w:themeColor="accent1" w:themeShade="80"/>
                <w:sz w:val="24"/>
                <w:szCs w:val="24"/>
                <w:lang w:val="en-GB"/>
              </w:rPr>
              <w:t>0.67</w:t>
            </w:r>
          </w:p>
        </w:tc>
        <w:tc>
          <w:tcPr>
            <w:tcW w:w="709" w:type="dxa"/>
            <w:shd w:val="clear" w:color="auto" w:fill="auto"/>
          </w:tcPr>
          <w:p w14:paraId="1ECF6BB5" w14:textId="48A96300" w:rsidR="004816A2" w:rsidRPr="000425DF" w:rsidRDefault="00CF260C" w:rsidP="00B336D3">
            <w:pPr>
              <w:jc w:val="cente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0.0</w:t>
            </w:r>
          </w:p>
        </w:tc>
        <w:tc>
          <w:tcPr>
            <w:tcW w:w="709" w:type="dxa"/>
            <w:shd w:val="clear" w:color="auto" w:fill="auto"/>
          </w:tcPr>
          <w:p w14:paraId="1663D406" w14:textId="773DF38C" w:rsidR="004816A2" w:rsidRPr="000425DF" w:rsidRDefault="00CF260C" w:rsidP="00B336D3">
            <w:pPr>
              <w:jc w:val="cente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0.0</w:t>
            </w:r>
          </w:p>
        </w:tc>
      </w:tr>
      <w:tr w:rsidR="00B336D3" w:rsidRPr="000425DF" w14:paraId="01215510" w14:textId="77777777" w:rsidTr="00DD2461">
        <w:tc>
          <w:tcPr>
            <w:tcW w:w="1271" w:type="dxa"/>
            <w:shd w:val="clear" w:color="auto" w:fill="auto"/>
          </w:tcPr>
          <w:p w14:paraId="0B4BED96" w14:textId="7214AB59" w:rsidR="00FB56F6" w:rsidRPr="000425DF" w:rsidRDefault="00FB56F6" w:rsidP="00FB56F6">
            <w:pPr>
              <w:spacing w:after="160" w:line="259" w:lineRule="auto"/>
              <w:rPr>
                <w:rFonts w:asciiTheme="majorBidi" w:hAnsiTheme="majorBidi" w:cstheme="majorBidi"/>
                <w:noProof w:val="0"/>
                <w:sz w:val="24"/>
                <w:szCs w:val="24"/>
                <w:lang w:val="en-GB"/>
              </w:rPr>
            </w:pPr>
            <w:r w:rsidRPr="000425DF">
              <w:rPr>
                <w:rFonts w:asciiTheme="majorBidi" w:hAnsiTheme="majorBidi" w:cstheme="majorBidi"/>
                <w:noProof w:val="0"/>
                <w:sz w:val="24"/>
                <w:szCs w:val="24"/>
                <w:lang w:val="en-GB"/>
              </w:rPr>
              <w:t>South Korea</w:t>
            </w:r>
            <w:r w:rsidR="00BC543F" w:rsidRPr="000425DF">
              <w:rPr>
                <w:rFonts w:asciiTheme="majorBidi" w:hAnsiTheme="majorBidi" w:cstheme="majorBidi"/>
                <w:noProof w:val="0"/>
                <w:sz w:val="24"/>
                <w:szCs w:val="24"/>
                <w:lang w:val="en-GB"/>
              </w:rPr>
              <w:t xml:space="preserve"> </w:t>
            </w:r>
            <w:r w:rsidR="00935C60">
              <w:rPr>
                <w:rFonts w:asciiTheme="majorBidi" w:hAnsiTheme="majorBidi" w:cstheme="majorBidi"/>
                <w:noProof w:val="0"/>
                <w:sz w:val="24"/>
                <w:szCs w:val="24"/>
                <w:lang w:val="en-GB"/>
              </w:rPr>
              <w:t>(introduction)</w:t>
            </w:r>
          </w:p>
        </w:tc>
        <w:tc>
          <w:tcPr>
            <w:tcW w:w="6521" w:type="dxa"/>
            <w:shd w:val="clear" w:color="auto" w:fill="auto"/>
          </w:tcPr>
          <w:p w14:paraId="7AE65C3F" w14:textId="77777777" w:rsidR="00FB56F6" w:rsidRPr="000425DF" w:rsidRDefault="00117601" w:rsidP="00BB3FEE">
            <w:pPr>
              <w:rPr>
                <w:rFonts w:asciiTheme="majorBidi" w:hAnsiTheme="majorBidi" w:cstheme="majorBidi"/>
                <w:noProof w:val="0"/>
                <w:sz w:val="24"/>
                <w:szCs w:val="24"/>
                <w:lang w:val="en-GB"/>
              </w:rPr>
            </w:pPr>
            <w:r w:rsidRPr="000425DF">
              <w:rPr>
                <w:rFonts w:asciiTheme="majorBidi" w:hAnsiTheme="majorBidi" w:cstheme="majorBidi"/>
                <w:noProof w:val="0"/>
                <w:sz w:val="24"/>
                <w:szCs w:val="24"/>
                <w:lang w:val="en-GB"/>
              </w:rPr>
              <w:t xml:space="preserve">The main share of financing in the SLTCI comes from SI contributions by employees and employers collected by the National Health Insurance Corporation (together with the Health Insurance Contribution, but managed separately). </w:t>
            </w:r>
            <w:r w:rsidR="00BB3FEE" w:rsidRPr="000425DF">
              <w:rPr>
                <w:rFonts w:asciiTheme="majorBidi" w:hAnsiTheme="majorBidi" w:cstheme="majorBidi"/>
                <w:noProof w:val="0"/>
                <w:sz w:val="24"/>
                <w:szCs w:val="24"/>
                <w:lang w:val="en-GB"/>
              </w:rPr>
              <w:t xml:space="preserve">However, state and private individual financing also make out a large share. There is co-financing by the state of around 20% and </w:t>
            </w:r>
            <w:r w:rsidRPr="000425DF">
              <w:rPr>
                <w:rFonts w:asciiTheme="majorBidi" w:hAnsiTheme="majorBidi" w:cstheme="majorBidi"/>
                <w:noProof w:val="0"/>
                <w:sz w:val="24"/>
                <w:szCs w:val="24"/>
                <w:lang w:val="en-GB"/>
              </w:rPr>
              <w:t>15-20% of individual co-payment financing are generally required.</w:t>
            </w:r>
          </w:p>
        </w:tc>
        <w:tc>
          <w:tcPr>
            <w:tcW w:w="2835" w:type="dxa"/>
            <w:shd w:val="clear" w:color="auto" w:fill="auto"/>
          </w:tcPr>
          <w:p w14:paraId="726DC509" w14:textId="12C3101D" w:rsidR="00FB56F6" w:rsidRPr="000425DF" w:rsidRDefault="00F63F5D" w:rsidP="008A2034">
            <w:pPr>
              <w:rPr>
                <w:rFonts w:asciiTheme="majorBidi" w:hAnsiTheme="majorBidi" w:cstheme="majorBidi"/>
                <w:noProof w:val="0"/>
                <w:sz w:val="24"/>
                <w:szCs w:val="24"/>
                <w:lang w:val="en-GB"/>
              </w:rPr>
            </w:pPr>
            <w:r>
              <w:rPr>
                <w:rFonts w:asciiTheme="majorBidi" w:hAnsiTheme="majorBidi" w:cstheme="majorBidi"/>
                <w:sz w:val="24"/>
                <w:szCs w:val="24"/>
                <w:lang w:val="en-GB"/>
              </w:rPr>
              <w:t>Choi, 2014; Chon, 2012; Rhee, Done, &amp; Anderson, 2015</w:t>
            </w:r>
          </w:p>
        </w:tc>
        <w:tc>
          <w:tcPr>
            <w:tcW w:w="1275" w:type="dxa"/>
            <w:shd w:val="clear" w:color="auto" w:fill="auto"/>
          </w:tcPr>
          <w:p w14:paraId="782CD6B0" w14:textId="77777777" w:rsidR="00FB56F6" w:rsidRPr="000425DF" w:rsidRDefault="00FB56F6" w:rsidP="00FB56F6">
            <w:pPr>
              <w:rPr>
                <w:rFonts w:asciiTheme="majorBidi" w:hAnsiTheme="majorBidi" w:cstheme="majorBidi"/>
                <w:noProof w:val="0"/>
                <w:color w:val="000000"/>
                <w:sz w:val="24"/>
                <w:szCs w:val="24"/>
                <w:lang w:val="en-GB"/>
              </w:rPr>
            </w:pPr>
            <w:r w:rsidRPr="000425DF">
              <w:rPr>
                <w:rFonts w:asciiTheme="majorBidi" w:hAnsiTheme="majorBidi" w:cstheme="majorBidi"/>
                <w:noProof w:val="0"/>
                <w:color w:val="000000"/>
                <w:sz w:val="24"/>
                <w:szCs w:val="24"/>
                <w:lang w:val="en-GB"/>
              </w:rPr>
              <w:t>High</w:t>
            </w:r>
          </w:p>
        </w:tc>
        <w:tc>
          <w:tcPr>
            <w:tcW w:w="708" w:type="dxa"/>
            <w:shd w:val="clear" w:color="auto" w:fill="auto"/>
          </w:tcPr>
          <w:p w14:paraId="6B3517D8" w14:textId="77777777" w:rsidR="00FB56F6" w:rsidRPr="000425DF" w:rsidRDefault="00BB3FEE" w:rsidP="00B336D3">
            <w:pPr>
              <w:jc w:val="center"/>
              <w:rPr>
                <w:rFonts w:asciiTheme="majorBidi" w:hAnsiTheme="majorBidi" w:cstheme="majorBidi"/>
                <w:noProof w:val="0"/>
                <w:color w:val="000000"/>
                <w:sz w:val="24"/>
                <w:szCs w:val="24"/>
                <w:lang w:val="en-GB"/>
              </w:rPr>
            </w:pPr>
            <w:r w:rsidRPr="000425DF">
              <w:rPr>
                <w:rFonts w:asciiTheme="majorBidi" w:hAnsiTheme="majorBidi" w:cstheme="majorBidi"/>
                <w:noProof w:val="0"/>
                <w:color w:val="000000"/>
                <w:sz w:val="24"/>
                <w:szCs w:val="24"/>
                <w:lang w:val="en-GB"/>
              </w:rPr>
              <w:t>0.17</w:t>
            </w:r>
          </w:p>
        </w:tc>
        <w:tc>
          <w:tcPr>
            <w:tcW w:w="709" w:type="dxa"/>
            <w:shd w:val="clear" w:color="auto" w:fill="auto"/>
          </w:tcPr>
          <w:p w14:paraId="6EE0A7B0" w14:textId="77777777" w:rsidR="00FB56F6" w:rsidRPr="00722B6A" w:rsidRDefault="00BB3FEE" w:rsidP="00B336D3">
            <w:pPr>
              <w:jc w:val="center"/>
              <w:rPr>
                <w:rFonts w:asciiTheme="majorBidi" w:hAnsiTheme="majorBidi" w:cstheme="majorBidi"/>
                <w:noProof w:val="0"/>
                <w:color w:val="000000"/>
                <w:sz w:val="24"/>
                <w:szCs w:val="24"/>
                <w:lang w:val="en-GB"/>
              </w:rPr>
            </w:pPr>
            <w:r w:rsidRPr="00722B6A">
              <w:rPr>
                <w:rFonts w:asciiTheme="majorBidi" w:hAnsiTheme="majorBidi" w:cstheme="majorBidi"/>
                <w:noProof w:val="0"/>
                <w:color w:val="000000"/>
                <w:sz w:val="24"/>
                <w:szCs w:val="24"/>
                <w:lang w:val="en-GB"/>
              </w:rPr>
              <w:t>0.67</w:t>
            </w:r>
          </w:p>
        </w:tc>
        <w:tc>
          <w:tcPr>
            <w:tcW w:w="709" w:type="dxa"/>
            <w:shd w:val="clear" w:color="auto" w:fill="auto"/>
          </w:tcPr>
          <w:p w14:paraId="3B8DEC45" w14:textId="77777777" w:rsidR="00FB56F6" w:rsidRPr="000425DF" w:rsidRDefault="00BB3FEE" w:rsidP="00B336D3">
            <w:pPr>
              <w:jc w:val="center"/>
              <w:rPr>
                <w:rFonts w:asciiTheme="majorBidi" w:hAnsiTheme="majorBidi" w:cstheme="majorBidi"/>
                <w:noProof w:val="0"/>
                <w:color w:val="000000"/>
                <w:sz w:val="24"/>
                <w:szCs w:val="24"/>
                <w:lang w:val="en-GB"/>
              </w:rPr>
            </w:pPr>
            <w:r w:rsidRPr="000425DF">
              <w:rPr>
                <w:rFonts w:asciiTheme="majorBidi" w:hAnsiTheme="majorBidi" w:cstheme="majorBidi"/>
                <w:noProof w:val="0"/>
                <w:color w:val="000000"/>
                <w:sz w:val="24"/>
                <w:szCs w:val="24"/>
                <w:lang w:val="en-GB"/>
              </w:rPr>
              <w:t>0.0</w:t>
            </w:r>
          </w:p>
        </w:tc>
        <w:tc>
          <w:tcPr>
            <w:tcW w:w="709" w:type="dxa"/>
            <w:shd w:val="clear" w:color="auto" w:fill="auto"/>
          </w:tcPr>
          <w:p w14:paraId="4EADEB1B" w14:textId="77777777" w:rsidR="00FB56F6" w:rsidRPr="000425DF" w:rsidRDefault="00BB3FEE" w:rsidP="00B336D3">
            <w:pPr>
              <w:jc w:val="center"/>
              <w:rPr>
                <w:rFonts w:asciiTheme="majorBidi" w:hAnsiTheme="majorBidi" w:cstheme="majorBidi"/>
                <w:noProof w:val="0"/>
                <w:color w:val="000000"/>
                <w:sz w:val="24"/>
                <w:szCs w:val="24"/>
                <w:lang w:val="en-GB"/>
              </w:rPr>
            </w:pPr>
            <w:r w:rsidRPr="000425DF">
              <w:rPr>
                <w:rFonts w:asciiTheme="majorBidi" w:hAnsiTheme="majorBidi" w:cstheme="majorBidi"/>
                <w:noProof w:val="0"/>
                <w:color w:val="000000"/>
                <w:sz w:val="24"/>
                <w:szCs w:val="24"/>
                <w:lang w:val="en-GB"/>
              </w:rPr>
              <w:t>0.17</w:t>
            </w:r>
          </w:p>
        </w:tc>
      </w:tr>
      <w:tr w:rsidR="00BC543F" w:rsidRPr="000425DF" w14:paraId="3E8B518D" w14:textId="77777777" w:rsidTr="00DD2461">
        <w:tc>
          <w:tcPr>
            <w:tcW w:w="1271" w:type="dxa"/>
            <w:shd w:val="clear" w:color="auto" w:fill="auto"/>
          </w:tcPr>
          <w:p w14:paraId="4A6332E8" w14:textId="16830D72" w:rsidR="00BC543F" w:rsidRPr="000425DF" w:rsidRDefault="00BC543F" w:rsidP="00FB56F6">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 xml:space="preserve">South Korea </w:t>
            </w:r>
            <w:r w:rsidR="00935C60">
              <w:rPr>
                <w:rFonts w:asciiTheme="majorBidi" w:hAnsiTheme="majorBidi" w:cstheme="majorBidi"/>
                <w:noProof w:val="0"/>
                <w:color w:val="1F3864" w:themeColor="accent1" w:themeShade="80"/>
                <w:sz w:val="24"/>
                <w:szCs w:val="24"/>
                <w:lang w:val="en-GB"/>
              </w:rPr>
              <w:t>(today)</w:t>
            </w:r>
          </w:p>
        </w:tc>
        <w:tc>
          <w:tcPr>
            <w:tcW w:w="6521" w:type="dxa"/>
            <w:shd w:val="clear" w:color="auto" w:fill="auto"/>
          </w:tcPr>
          <w:p w14:paraId="5AA4CAD1" w14:textId="133E6CAE" w:rsidR="00BC543F" w:rsidRPr="000425DF" w:rsidRDefault="00BC543F" w:rsidP="00BB3FEE">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The financing mix of the Korean LTCI is still the same as at introduction.</w:t>
            </w:r>
          </w:p>
        </w:tc>
        <w:tc>
          <w:tcPr>
            <w:tcW w:w="2835" w:type="dxa"/>
            <w:shd w:val="clear" w:color="auto" w:fill="auto"/>
          </w:tcPr>
          <w:p w14:paraId="7F059A46" w14:textId="2131DA27" w:rsidR="00BC543F" w:rsidRPr="000425DF" w:rsidRDefault="00F63F5D" w:rsidP="008A2034">
            <w:pPr>
              <w:rPr>
                <w:rFonts w:asciiTheme="majorBidi" w:hAnsiTheme="majorBidi" w:cstheme="majorBidi"/>
                <w:noProof w:val="0"/>
                <w:color w:val="1F3864" w:themeColor="accent1" w:themeShade="80"/>
                <w:sz w:val="24"/>
                <w:szCs w:val="24"/>
                <w:lang w:val="en-GB"/>
              </w:rPr>
            </w:pPr>
            <w:r>
              <w:rPr>
                <w:rFonts w:asciiTheme="majorBidi" w:hAnsiTheme="majorBidi" w:cstheme="majorBidi"/>
                <w:color w:val="1F3864" w:themeColor="accent1" w:themeShade="80"/>
                <w:sz w:val="24"/>
                <w:szCs w:val="24"/>
                <w:lang w:val="en-GB"/>
              </w:rPr>
              <w:t>Kim &amp; Kwon, 2021</w:t>
            </w:r>
          </w:p>
        </w:tc>
        <w:tc>
          <w:tcPr>
            <w:tcW w:w="1275" w:type="dxa"/>
            <w:shd w:val="clear" w:color="auto" w:fill="auto"/>
          </w:tcPr>
          <w:p w14:paraId="14FC7448" w14:textId="2BF18C1E" w:rsidR="00BC543F" w:rsidRPr="000425DF" w:rsidRDefault="00BC543F" w:rsidP="00FB56F6">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High</w:t>
            </w:r>
          </w:p>
        </w:tc>
        <w:tc>
          <w:tcPr>
            <w:tcW w:w="708" w:type="dxa"/>
            <w:shd w:val="clear" w:color="auto" w:fill="auto"/>
          </w:tcPr>
          <w:p w14:paraId="3405A395" w14:textId="0671308E" w:rsidR="00BC543F" w:rsidRPr="000425DF" w:rsidRDefault="004308C8" w:rsidP="00B336D3">
            <w:pPr>
              <w:jc w:val="cente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0.17</w:t>
            </w:r>
          </w:p>
        </w:tc>
        <w:tc>
          <w:tcPr>
            <w:tcW w:w="709" w:type="dxa"/>
            <w:shd w:val="clear" w:color="auto" w:fill="auto"/>
          </w:tcPr>
          <w:p w14:paraId="57615229" w14:textId="2C070EF9" w:rsidR="00BC543F" w:rsidRPr="00722B6A" w:rsidRDefault="004308C8" w:rsidP="00B336D3">
            <w:pPr>
              <w:jc w:val="center"/>
              <w:rPr>
                <w:rFonts w:asciiTheme="majorBidi" w:hAnsiTheme="majorBidi" w:cstheme="majorBidi"/>
                <w:noProof w:val="0"/>
                <w:color w:val="1F3864" w:themeColor="accent1" w:themeShade="80"/>
                <w:sz w:val="24"/>
                <w:szCs w:val="24"/>
                <w:lang w:val="en-GB"/>
              </w:rPr>
            </w:pPr>
            <w:r w:rsidRPr="00722B6A">
              <w:rPr>
                <w:rFonts w:asciiTheme="majorBidi" w:hAnsiTheme="majorBidi" w:cstheme="majorBidi"/>
                <w:noProof w:val="0"/>
                <w:color w:val="1F3864" w:themeColor="accent1" w:themeShade="80"/>
                <w:sz w:val="24"/>
                <w:szCs w:val="24"/>
                <w:lang w:val="en-GB"/>
              </w:rPr>
              <w:t>0.67</w:t>
            </w:r>
          </w:p>
        </w:tc>
        <w:tc>
          <w:tcPr>
            <w:tcW w:w="709" w:type="dxa"/>
            <w:shd w:val="clear" w:color="auto" w:fill="auto"/>
          </w:tcPr>
          <w:p w14:paraId="4B99D03A" w14:textId="6F066253" w:rsidR="00BC543F" w:rsidRPr="000425DF" w:rsidRDefault="004308C8" w:rsidP="00B336D3">
            <w:pPr>
              <w:jc w:val="cente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0.0</w:t>
            </w:r>
          </w:p>
        </w:tc>
        <w:tc>
          <w:tcPr>
            <w:tcW w:w="709" w:type="dxa"/>
            <w:shd w:val="clear" w:color="auto" w:fill="auto"/>
          </w:tcPr>
          <w:p w14:paraId="66D61909" w14:textId="3D537610" w:rsidR="00BC543F" w:rsidRPr="000425DF" w:rsidRDefault="004308C8" w:rsidP="00B336D3">
            <w:pPr>
              <w:jc w:val="cente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0.17</w:t>
            </w:r>
          </w:p>
        </w:tc>
      </w:tr>
    </w:tbl>
    <w:p w14:paraId="76C8E9A7" w14:textId="414D150D" w:rsidR="00FF407A" w:rsidRDefault="00FF407A">
      <w:pPr>
        <w:rPr>
          <w:rFonts w:asciiTheme="majorBidi" w:hAnsiTheme="majorBidi" w:cstheme="majorBidi"/>
          <w:noProof w:val="0"/>
          <w:sz w:val="24"/>
          <w:szCs w:val="24"/>
          <w:lang w:val="en-GB"/>
        </w:rPr>
      </w:pPr>
    </w:p>
    <w:p w14:paraId="452D5C2E" w14:textId="77777777" w:rsidR="00FF407A" w:rsidRDefault="00FF407A">
      <w:pPr>
        <w:rPr>
          <w:rFonts w:asciiTheme="majorBidi" w:hAnsiTheme="majorBidi" w:cstheme="majorBidi"/>
          <w:noProof w:val="0"/>
          <w:sz w:val="24"/>
          <w:szCs w:val="24"/>
          <w:lang w:val="en-GB"/>
        </w:rPr>
      </w:pPr>
      <w:r>
        <w:rPr>
          <w:rFonts w:asciiTheme="majorBidi" w:hAnsiTheme="majorBidi" w:cstheme="majorBidi"/>
          <w:noProof w:val="0"/>
          <w:sz w:val="24"/>
          <w:szCs w:val="24"/>
          <w:lang w:val="en-GB"/>
        </w:rPr>
        <w:br w:type="page"/>
      </w:r>
    </w:p>
    <w:p w14:paraId="63F5BBEE" w14:textId="445CA3B6" w:rsidR="00935C60" w:rsidRDefault="00935C60" w:rsidP="00935C60">
      <w:pPr>
        <w:rPr>
          <w:rFonts w:asciiTheme="majorBidi" w:hAnsiTheme="majorBidi" w:cstheme="majorBidi"/>
          <w:i/>
          <w:iCs/>
          <w:noProof w:val="0"/>
          <w:sz w:val="24"/>
          <w:szCs w:val="24"/>
          <w:lang w:val="en-GB"/>
        </w:rPr>
      </w:pPr>
      <w:r w:rsidRPr="00722B6A">
        <w:rPr>
          <w:rFonts w:asciiTheme="majorBidi" w:hAnsiTheme="majorBidi" w:cstheme="majorBidi"/>
          <w:i/>
          <w:iCs/>
          <w:noProof w:val="0"/>
          <w:sz w:val="24"/>
          <w:szCs w:val="24"/>
          <w:lang w:val="en-GB"/>
        </w:rPr>
        <w:lastRenderedPageBreak/>
        <w:t>Table A</w:t>
      </w:r>
      <w:r w:rsidR="00F63F5D">
        <w:rPr>
          <w:rFonts w:asciiTheme="majorBidi" w:hAnsiTheme="majorBidi" w:cstheme="majorBidi"/>
          <w:i/>
          <w:iCs/>
          <w:noProof w:val="0"/>
          <w:sz w:val="24"/>
          <w:szCs w:val="24"/>
          <w:lang w:val="en-GB"/>
        </w:rPr>
        <w:t>3</w:t>
      </w:r>
      <w:r w:rsidRPr="00722B6A">
        <w:rPr>
          <w:rFonts w:asciiTheme="majorBidi" w:hAnsiTheme="majorBidi" w:cstheme="majorBidi"/>
          <w:i/>
          <w:iCs/>
          <w:noProof w:val="0"/>
          <w:sz w:val="24"/>
          <w:szCs w:val="24"/>
          <w:lang w:val="en-GB"/>
        </w:rPr>
        <w:t xml:space="preserve">. Data and fuzzy-set membership scores for </w:t>
      </w:r>
      <w:r>
        <w:rPr>
          <w:rFonts w:asciiTheme="majorBidi" w:hAnsiTheme="majorBidi" w:cstheme="majorBidi"/>
          <w:i/>
          <w:iCs/>
          <w:noProof w:val="0"/>
          <w:sz w:val="24"/>
          <w:szCs w:val="24"/>
          <w:lang w:val="en-GB"/>
        </w:rPr>
        <w:t>provision</w:t>
      </w:r>
      <w:r w:rsidRPr="00722B6A">
        <w:rPr>
          <w:rFonts w:asciiTheme="majorBidi" w:hAnsiTheme="majorBidi" w:cstheme="majorBidi"/>
          <w:i/>
          <w:iCs/>
          <w:noProof w:val="0"/>
          <w:sz w:val="24"/>
          <w:szCs w:val="24"/>
          <w:lang w:val="en-GB"/>
        </w:rPr>
        <w:t xml:space="preserve"> dimension</w:t>
      </w:r>
      <w:r>
        <w:rPr>
          <w:rFonts w:asciiTheme="majorBidi" w:hAnsiTheme="majorBidi" w:cstheme="majorBidi"/>
          <w:i/>
          <w:iCs/>
          <w:noProof w:val="0"/>
          <w:sz w:val="24"/>
          <w:szCs w:val="24"/>
          <w:lang w:val="en-GB"/>
        </w:rPr>
        <w:t>.</w:t>
      </w:r>
    </w:p>
    <w:p w14:paraId="3DF7B27D" w14:textId="5A9F8398" w:rsidR="006B3247" w:rsidRPr="00722B6A" w:rsidRDefault="006B3247" w:rsidP="00935C60">
      <w:pPr>
        <w:rPr>
          <w:rFonts w:asciiTheme="majorBidi" w:hAnsiTheme="majorBidi" w:cstheme="majorBidi"/>
          <w:i/>
          <w:iCs/>
          <w:noProof w:val="0"/>
          <w:sz w:val="24"/>
          <w:szCs w:val="24"/>
          <w:lang w:val="en-GB"/>
        </w:rPr>
      </w:pPr>
      <w:r>
        <w:rPr>
          <w:rFonts w:asciiTheme="majorBidi" w:hAnsiTheme="majorBidi" w:cstheme="majorBidi"/>
          <w:i/>
          <w:iCs/>
          <w:noProof w:val="0"/>
          <w:sz w:val="24"/>
          <w:szCs w:val="24"/>
          <w:lang w:val="en-GB"/>
        </w:rPr>
        <w:t>Note: Data for system introduction refers, if available, to a time span of three years after de jure implementation date. Data for the system ‘today’ refers to the latest data available, generally for the 2010s (with exception of the Netherlands where data refers to the situation before 2015).</w:t>
      </w:r>
    </w:p>
    <w:tbl>
      <w:tblPr>
        <w:tblStyle w:val="Tabellenraster"/>
        <w:tblW w:w="14737" w:type="dxa"/>
        <w:tblLook w:val="04A0" w:firstRow="1" w:lastRow="0" w:firstColumn="1" w:lastColumn="0" w:noHBand="0" w:noVBand="1"/>
      </w:tblPr>
      <w:tblGrid>
        <w:gridCol w:w="1550"/>
        <w:gridCol w:w="6242"/>
        <w:gridCol w:w="2753"/>
        <w:gridCol w:w="1376"/>
        <w:gridCol w:w="702"/>
        <w:gridCol w:w="703"/>
        <w:gridCol w:w="707"/>
        <w:gridCol w:w="704"/>
      </w:tblGrid>
      <w:tr w:rsidR="00DD2461" w:rsidRPr="000425DF" w14:paraId="23CB60A4" w14:textId="77777777" w:rsidTr="00DD2461">
        <w:tc>
          <w:tcPr>
            <w:tcW w:w="1333" w:type="dxa"/>
            <w:shd w:val="clear" w:color="auto" w:fill="auto"/>
          </w:tcPr>
          <w:p w14:paraId="142F0E1E" w14:textId="7CC8442A" w:rsidR="00DD2461" w:rsidRPr="00935C60" w:rsidRDefault="00DD2461" w:rsidP="00452712">
            <w:pPr>
              <w:spacing w:after="160" w:line="259" w:lineRule="auto"/>
              <w:rPr>
                <w:rFonts w:asciiTheme="majorBidi" w:hAnsiTheme="majorBidi" w:cstheme="majorBidi"/>
                <w:b/>
                <w:bCs/>
                <w:noProof w:val="0"/>
                <w:sz w:val="24"/>
                <w:szCs w:val="24"/>
                <w:lang w:val="en-GB"/>
              </w:rPr>
            </w:pPr>
            <w:r w:rsidRPr="00935C60">
              <w:rPr>
                <w:rFonts w:asciiTheme="majorBidi" w:hAnsiTheme="majorBidi" w:cstheme="majorBidi"/>
                <w:b/>
                <w:bCs/>
                <w:noProof w:val="0"/>
                <w:sz w:val="24"/>
                <w:szCs w:val="24"/>
                <w:lang w:val="en-GB"/>
              </w:rPr>
              <w:t>Country</w:t>
            </w:r>
            <w:r w:rsidR="00803C4A" w:rsidRPr="00935C60">
              <w:rPr>
                <w:rFonts w:asciiTheme="majorBidi" w:hAnsiTheme="majorBidi" w:cstheme="majorBidi"/>
                <w:b/>
                <w:bCs/>
                <w:noProof w:val="0"/>
                <w:sz w:val="24"/>
                <w:szCs w:val="24"/>
                <w:lang w:val="en-GB"/>
              </w:rPr>
              <w:t xml:space="preserve"> </w:t>
            </w:r>
            <w:r w:rsidR="00935C60" w:rsidRPr="00935C60">
              <w:rPr>
                <w:rFonts w:asciiTheme="majorBidi" w:hAnsiTheme="majorBidi" w:cstheme="majorBidi"/>
                <w:b/>
                <w:bCs/>
                <w:noProof w:val="0"/>
                <w:sz w:val="24"/>
                <w:szCs w:val="24"/>
                <w:lang w:val="en-GB"/>
              </w:rPr>
              <w:t>(time)</w:t>
            </w:r>
          </w:p>
        </w:tc>
        <w:tc>
          <w:tcPr>
            <w:tcW w:w="6479" w:type="dxa"/>
            <w:shd w:val="clear" w:color="auto" w:fill="auto"/>
          </w:tcPr>
          <w:p w14:paraId="6C3D5A5B" w14:textId="77777777" w:rsidR="00DD2461" w:rsidRPr="00935C60" w:rsidRDefault="00DD2461" w:rsidP="00452712">
            <w:pPr>
              <w:spacing w:after="160" w:line="259" w:lineRule="auto"/>
              <w:rPr>
                <w:rFonts w:asciiTheme="majorBidi" w:hAnsiTheme="majorBidi" w:cstheme="majorBidi"/>
                <w:b/>
                <w:bCs/>
                <w:noProof w:val="0"/>
                <w:sz w:val="24"/>
                <w:szCs w:val="24"/>
                <w:lang w:val="en-GB"/>
              </w:rPr>
            </w:pPr>
            <w:r w:rsidRPr="00935C60">
              <w:rPr>
                <w:rFonts w:asciiTheme="majorBidi" w:hAnsiTheme="majorBidi" w:cstheme="majorBidi"/>
                <w:b/>
                <w:bCs/>
                <w:noProof w:val="0"/>
                <w:sz w:val="24"/>
                <w:szCs w:val="24"/>
                <w:lang w:val="en-GB"/>
              </w:rPr>
              <w:t>Raw data</w:t>
            </w:r>
          </w:p>
        </w:tc>
        <w:tc>
          <w:tcPr>
            <w:tcW w:w="2821" w:type="dxa"/>
            <w:shd w:val="clear" w:color="auto" w:fill="auto"/>
          </w:tcPr>
          <w:p w14:paraId="08C03D83" w14:textId="77777777" w:rsidR="00DD2461" w:rsidRPr="00935C60" w:rsidRDefault="00DD2461" w:rsidP="00452712">
            <w:pPr>
              <w:spacing w:after="160" w:line="259" w:lineRule="auto"/>
              <w:rPr>
                <w:rFonts w:asciiTheme="majorBidi" w:hAnsiTheme="majorBidi" w:cstheme="majorBidi"/>
                <w:b/>
                <w:bCs/>
                <w:noProof w:val="0"/>
                <w:sz w:val="24"/>
                <w:szCs w:val="24"/>
                <w:lang w:val="en-GB"/>
              </w:rPr>
            </w:pPr>
            <w:r w:rsidRPr="00935C60">
              <w:rPr>
                <w:rFonts w:asciiTheme="majorBidi" w:hAnsiTheme="majorBidi" w:cstheme="majorBidi"/>
                <w:b/>
                <w:bCs/>
                <w:noProof w:val="0"/>
                <w:sz w:val="24"/>
                <w:szCs w:val="24"/>
                <w:lang w:val="en-GB"/>
              </w:rPr>
              <w:t>Sources</w:t>
            </w:r>
          </w:p>
        </w:tc>
        <w:tc>
          <w:tcPr>
            <w:tcW w:w="1275" w:type="dxa"/>
            <w:shd w:val="clear" w:color="auto" w:fill="auto"/>
          </w:tcPr>
          <w:p w14:paraId="52048628" w14:textId="77777777" w:rsidR="00DD2461" w:rsidRPr="00935C60" w:rsidRDefault="00DD2461" w:rsidP="00452712">
            <w:pPr>
              <w:rPr>
                <w:rFonts w:asciiTheme="majorBidi" w:hAnsiTheme="majorBidi" w:cstheme="majorBidi"/>
                <w:b/>
                <w:bCs/>
                <w:noProof w:val="0"/>
                <w:sz w:val="24"/>
                <w:szCs w:val="24"/>
                <w:lang w:val="en-GB"/>
              </w:rPr>
            </w:pPr>
            <w:r w:rsidRPr="00935C60">
              <w:rPr>
                <w:rFonts w:asciiTheme="majorBidi" w:hAnsiTheme="majorBidi" w:cstheme="majorBidi"/>
                <w:b/>
                <w:bCs/>
                <w:noProof w:val="0"/>
                <w:sz w:val="24"/>
                <w:szCs w:val="24"/>
                <w:lang w:val="en-GB"/>
              </w:rPr>
              <w:t>Confidence</w:t>
            </w:r>
          </w:p>
        </w:tc>
        <w:tc>
          <w:tcPr>
            <w:tcW w:w="706" w:type="dxa"/>
            <w:shd w:val="clear" w:color="auto" w:fill="auto"/>
          </w:tcPr>
          <w:p w14:paraId="129B95E2" w14:textId="77777777" w:rsidR="00DD2461" w:rsidRPr="00935C60" w:rsidRDefault="00DD2461" w:rsidP="00452712">
            <w:pPr>
              <w:rPr>
                <w:rFonts w:asciiTheme="majorBidi" w:hAnsiTheme="majorBidi" w:cstheme="majorBidi"/>
                <w:b/>
                <w:bCs/>
                <w:noProof w:val="0"/>
                <w:sz w:val="24"/>
                <w:szCs w:val="24"/>
                <w:lang w:val="en-GB"/>
              </w:rPr>
            </w:pPr>
            <w:r w:rsidRPr="00935C60">
              <w:rPr>
                <w:rFonts w:asciiTheme="majorBidi" w:hAnsiTheme="majorBidi" w:cstheme="majorBidi"/>
                <w:b/>
                <w:bCs/>
                <w:noProof w:val="0"/>
                <w:sz w:val="24"/>
                <w:szCs w:val="24"/>
                <w:lang w:val="en-GB"/>
              </w:rPr>
              <w:t>ST</w:t>
            </w:r>
          </w:p>
        </w:tc>
        <w:tc>
          <w:tcPr>
            <w:tcW w:w="707" w:type="dxa"/>
            <w:shd w:val="clear" w:color="auto" w:fill="auto"/>
          </w:tcPr>
          <w:p w14:paraId="75D1C169" w14:textId="77777777" w:rsidR="00DD2461" w:rsidRPr="00935C60" w:rsidRDefault="00DD2461" w:rsidP="00452712">
            <w:pPr>
              <w:spacing w:after="160" w:line="259" w:lineRule="auto"/>
              <w:rPr>
                <w:rFonts w:asciiTheme="majorBidi" w:hAnsiTheme="majorBidi" w:cstheme="majorBidi"/>
                <w:b/>
                <w:bCs/>
                <w:noProof w:val="0"/>
                <w:sz w:val="24"/>
                <w:szCs w:val="24"/>
                <w:lang w:val="en-GB"/>
              </w:rPr>
            </w:pPr>
            <w:r w:rsidRPr="00935C60">
              <w:rPr>
                <w:rFonts w:asciiTheme="majorBidi" w:hAnsiTheme="majorBidi" w:cstheme="majorBidi"/>
                <w:b/>
                <w:bCs/>
                <w:noProof w:val="0"/>
                <w:sz w:val="24"/>
                <w:szCs w:val="24"/>
                <w:lang w:val="en-GB"/>
              </w:rPr>
              <w:t>SA</w:t>
            </w:r>
          </w:p>
        </w:tc>
        <w:tc>
          <w:tcPr>
            <w:tcW w:w="708" w:type="dxa"/>
            <w:shd w:val="clear" w:color="auto" w:fill="auto"/>
          </w:tcPr>
          <w:p w14:paraId="0AF5CFD6" w14:textId="77777777" w:rsidR="00DD2461" w:rsidRPr="00935C60" w:rsidRDefault="00DD2461" w:rsidP="00452712">
            <w:pPr>
              <w:rPr>
                <w:rFonts w:asciiTheme="majorBidi" w:hAnsiTheme="majorBidi" w:cstheme="majorBidi"/>
                <w:b/>
                <w:bCs/>
                <w:noProof w:val="0"/>
                <w:sz w:val="24"/>
                <w:szCs w:val="24"/>
                <w:lang w:val="en-GB"/>
              </w:rPr>
            </w:pPr>
            <w:r w:rsidRPr="00935C60">
              <w:rPr>
                <w:rFonts w:asciiTheme="majorBidi" w:hAnsiTheme="majorBidi" w:cstheme="majorBidi"/>
                <w:b/>
                <w:bCs/>
                <w:noProof w:val="0"/>
                <w:sz w:val="24"/>
                <w:szCs w:val="24"/>
                <w:lang w:val="en-GB"/>
              </w:rPr>
              <w:t>PPA</w:t>
            </w:r>
          </w:p>
        </w:tc>
        <w:tc>
          <w:tcPr>
            <w:tcW w:w="708" w:type="dxa"/>
            <w:shd w:val="clear" w:color="auto" w:fill="auto"/>
          </w:tcPr>
          <w:p w14:paraId="1332ED6E" w14:textId="77777777" w:rsidR="00DD2461" w:rsidRPr="00935C60" w:rsidRDefault="00DD2461" w:rsidP="00452712">
            <w:pPr>
              <w:rPr>
                <w:rFonts w:asciiTheme="majorBidi" w:hAnsiTheme="majorBidi" w:cstheme="majorBidi"/>
                <w:b/>
                <w:bCs/>
                <w:noProof w:val="0"/>
                <w:sz w:val="24"/>
                <w:szCs w:val="24"/>
                <w:lang w:val="en-GB"/>
              </w:rPr>
            </w:pPr>
            <w:r w:rsidRPr="00935C60">
              <w:rPr>
                <w:rFonts w:asciiTheme="majorBidi" w:hAnsiTheme="majorBidi" w:cstheme="majorBidi"/>
                <w:b/>
                <w:bCs/>
                <w:noProof w:val="0"/>
                <w:sz w:val="24"/>
                <w:szCs w:val="24"/>
                <w:lang w:val="en-GB"/>
              </w:rPr>
              <w:t>PIA</w:t>
            </w:r>
          </w:p>
        </w:tc>
      </w:tr>
      <w:tr w:rsidR="00DD2461" w:rsidRPr="000425DF" w14:paraId="07C7F6AA" w14:textId="77777777" w:rsidTr="00DD2461">
        <w:tc>
          <w:tcPr>
            <w:tcW w:w="1333" w:type="dxa"/>
            <w:shd w:val="clear" w:color="auto" w:fill="auto"/>
          </w:tcPr>
          <w:p w14:paraId="4C473896" w14:textId="4FCE0E24" w:rsidR="00DD2461" w:rsidRPr="000425DF" w:rsidRDefault="00DD2461" w:rsidP="00DD2461">
            <w:pPr>
              <w:spacing w:after="160" w:line="259" w:lineRule="auto"/>
              <w:rPr>
                <w:rFonts w:asciiTheme="majorBidi" w:hAnsiTheme="majorBidi" w:cstheme="majorBidi"/>
                <w:noProof w:val="0"/>
                <w:sz w:val="24"/>
                <w:szCs w:val="24"/>
                <w:lang w:val="en-GB"/>
              </w:rPr>
            </w:pPr>
            <w:r w:rsidRPr="000425DF">
              <w:rPr>
                <w:rFonts w:asciiTheme="majorBidi" w:hAnsiTheme="majorBidi" w:cstheme="majorBidi"/>
                <w:noProof w:val="0"/>
                <w:sz w:val="24"/>
                <w:szCs w:val="24"/>
                <w:lang w:val="en-GB"/>
              </w:rPr>
              <w:t>Germany</w:t>
            </w:r>
            <w:r w:rsidR="00511A9E" w:rsidRPr="000425DF">
              <w:rPr>
                <w:rFonts w:asciiTheme="majorBidi" w:hAnsiTheme="majorBidi" w:cstheme="majorBidi"/>
                <w:noProof w:val="0"/>
                <w:sz w:val="24"/>
                <w:szCs w:val="24"/>
                <w:lang w:val="en-GB"/>
              </w:rPr>
              <w:t xml:space="preserve"> </w:t>
            </w:r>
            <w:r w:rsidR="00935C60">
              <w:rPr>
                <w:rFonts w:asciiTheme="majorBidi" w:hAnsiTheme="majorBidi" w:cstheme="majorBidi"/>
                <w:noProof w:val="0"/>
                <w:sz w:val="24"/>
                <w:szCs w:val="24"/>
                <w:lang w:val="en-GB"/>
              </w:rPr>
              <w:t>(</w:t>
            </w:r>
            <w:r w:rsidR="00511A9E" w:rsidRPr="000425DF">
              <w:rPr>
                <w:rFonts w:asciiTheme="majorBidi" w:hAnsiTheme="majorBidi" w:cstheme="majorBidi"/>
                <w:noProof w:val="0"/>
                <w:sz w:val="24"/>
                <w:szCs w:val="24"/>
                <w:lang w:val="en-GB"/>
              </w:rPr>
              <w:t>intro</w:t>
            </w:r>
            <w:r w:rsidR="00935C60">
              <w:rPr>
                <w:rFonts w:asciiTheme="majorBidi" w:hAnsiTheme="majorBidi" w:cstheme="majorBidi"/>
                <w:noProof w:val="0"/>
                <w:sz w:val="24"/>
                <w:szCs w:val="24"/>
                <w:lang w:val="en-GB"/>
              </w:rPr>
              <w:t>duction)</w:t>
            </w:r>
          </w:p>
        </w:tc>
        <w:tc>
          <w:tcPr>
            <w:tcW w:w="6479" w:type="dxa"/>
            <w:shd w:val="clear" w:color="auto" w:fill="auto"/>
          </w:tcPr>
          <w:p w14:paraId="6352B77E" w14:textId="71408CC1" w:rsidR="00DD2461" w:rsidRPr="000425DF" w:rsidRDefault="00C97955" w:rsidP="00DD2461">
            <w:pPr>
              <w:rPr>
                <w:rFonts w:asciiTheme="majorBidi" w:hAnsiTheme="majorBidi" w:cstheme="majorBidi"/>
                <w:noProof w:val="0"/>
                <w:color w:val="000000"/>
                <w:sz w:val="24"/>
                <w:szCs w:val="24"/>
                <w:lang w:val="en-GB"/>
              </w:rPr>
            </w:pPr>
            <w:r w:rsidRPr="000425DF">
              <w:rPr>
                <w:rFonts w:asciiTheme="majorBidi" w:hAnsiTheme="majorBidi" w:cstheme="majorBidi"/>
                <w:noProof w:val="0"/>
                <w:color w:val="000000"/>
                <w:sz w:val="24"/>
                <w:szCs w:val="24"/>
                <w:lang w:val="en-GB"/>
              </w:rPr>
              <w:t>SLTCI benefit recipients</w:t>
            </w:r>
            <w:r w:rsidR="00DD2461" w:rsidRPr="000425DF">
              <w:rPr>
                <w:rFonts w:asciiTheme="majorBidi" w:hAnsiTheme="majorBidi" w:cstheme="majorBidi"/>
                <w:noProof w:val="0"/>
                <w:color w:val="000000"/>
                <w:sz w:val="24"/>
                <w:szCs w:val="24"/>
                <w:lang w:val="en-GB"/>
              </w:rPr>
              <w:t xml:space="preserve"> can receive in-kind services </w:t>
            </w:r>
            <w:r w:rsidR="00DD6E0B" w:rsidRPr="000425DF">
              <w:rPr>
                <w:rFonts w:asciiTheme="majorBidi" w:hAnsiTheme="majorBidi" w:cstheme="majorBidi"/>
                <w:noProof w:val="0"/>
                <w:color w:val="000000"/>
                <w:sz w:val="24"/>
                <w:szCs w:val="24"/>
                <w:lang w:val="en-GB"/>
              </w:rPr>
              <w:t xml:space="preserve"> (home </w:t>
            </w:r>
            <w:r w:rsidR="00DD2461" w:rsidRPr="000425DF">
              <w:rPr>
                <w:rFonts w:asciiTheme="majorBidi" w:hAnsiTheme="majorBidi" w:cstheme="majorBidi"/>
                <w:noProof w:val="0"/>
                <w:color w:val="000000"/>
                <w:sz w:val="24"/>
                <w:szCs w:val="24"/>
                <w:lang w:val="en-GB"/>
              </w:rPr>
              <w:t>and community care or residential/stationary care</w:t>
            </w:r>
            <w:r w:rsidR="00DD6E0B" w:rsidRPr="000425DF">
              <w:rPr>
                <w:rFonts w:asciiTheme="majorBidi" w:hAnsiTheme="majorBidi" w:cstheme="majorBidi"/>
                <w:noProof w:val="0"/>
                <w:color w:val="000000"/>
                <w:sz w:val="24"/>
                <w:szCs w:val="24"/>
                <w:lang w:val="en-GB"/>
              </w:rPr>
              <w:t>) or</w:t>
            </w:r>
            <w:r w:rsidR="00DD2461" w:rsidRPr="000425DF">
              <w:rPr>
                <w:rFonts w:asciiTheme="majorBidi" w:hAnsiTheme="majorBidi" w:cstheme="majorBidi"/>
                <w:noProof w:val="0"/>
                <w:color w:val="000000"/>
                <w:sz w:val="24"/>
                <w:szCs w:val="24"/>
                <w:lang w:val="en-GB"/>
              </w:rPr>
              <w:t xml:space="preserve"> monetary benefits or a combination of services and benefits</w:t>
            </w:r>
            <w:r w:rsidR="00DD6E0B" w:rsidRPr="000425DF">
              <w:rPr>
                <w:rFonts w:asciiTheme="majorBidi" w:hAnsiTheme="majorBidi" w:cstheme="majorBidi"/>
                <w:noProof w:val="0"/>
                <w:color w:val="000000"/>
                <w:sz w:val="24"/>
                <w:szCs w:val="24"/>
                <w:lang w:val="en-GB"/>
              </w:rPr>
              <w:t xml:space="preserve"> (for home care).</w:t>
            </w:r>
            <w:r w:rsidR="00DD2461" w:rsidRPr="000425DF">
              <w:rPr>
                <w:rFonts w:asciiTheme="majorBidi" w:hAnsiTheme="majorBidi" w:cstheme="majorBidi"/>
                <w:noProof w:val="0"/>
                <w:color w:val="000000"/>
                <w:sz w:val="24"/>
                <w:szCs w:val="24"/>
                <w:lang w:val="en-GB"/>
              </w:rPr>
              <w:br/>
              <w:t>In 1998, shares for the different kinds of benefits within the social LTCI were distributed as follows (BMG 20</w:t>
            </w:r>
            <w:r w:rsidR="000A2894" w:rsidRPr="000425DF">
              <w:rPr>
                <w:rFonts w:asciiTheme="majorBidi" w:hAnsiTheme="majorBidi" w:cstheme="majorBidi"/>
                <w:noProof w:val="0"/>
                <w:color w:val="000000"/>
                <w:sz w:val="24"/>
                <w:szCs w:val="24"/>
                <w:lang w:val="en-GB"/>
              </w:rPr>
              <w:t>20</w:t>
            </w:r>
            <w:r w:rsidR="00DD2461" w:rsidRPr="000425DF">
              <w:rPr>
                <w:rFonts w:asciiTheme="majorBidi" w:hAnsiTheme="majorBidi" w:cstheme="majorBidi"/>
                <w:noProof w:val="0"/>
                <w:color w:val="000000"/>
                <w:sz w:val="24"/>
                <w:szCs w:val="24"/>
                <w:lang w:val="en-GB"/>
              </w:rPr>
              <w:t>):</w:t>
            </w:r>
            <w:r w:rsidR="00DD2461" w:rsidRPr="000425DF">
              <w:rPr>
                <w:rFonts w:asciiTheme="majorBidi" w:hAnsiTheme="majorBidi" w:cstheme="majorBidi"/>
                <w:noProof w:val="0"/>
                <w:color w:val="000000"/>
                <w:sz w:val="24"/>
                <w:szCs w:val="24"/>
                <w:lang w:val="en-GB"/>
              </w:rPr>
              <w:br/>
              <w:t>Monetary benefits: 53.6%</w:t>
            </w:r>
            <w:r w:rsidR="00DD2461" w:rsidRPr="000425DF">
              <w:rPr>
                <w:rFonts w:asciiTheme="majorBidi" w:hAnsiTheme="majorBidi" w:cstheme="majorBidi"/>
                <w:noProof w:val="0"/>
                <w:color w:val="000000"/>
                <w:sz w:val="24"/>
                <w:szCs w:val="24"/>
                <w:lang w:val="en-GB"/>
              </w:rPr>
              <w:br/>
              <w:t>In-kind home care: 7.5%</w:t>
            </w:r>
            <w:r w:rsidR="00DD2461" w:rsidRPr="000425DF">
              <w:rPr>
                <w:rFonts w:asciiTheme="majorBidi" w:hAnsiTheme="majorBidi" w:cstheme="majorBidi"/>
                <w:noProof w:val="0"/>
                <w:color w:val="000000"/>
                <w:sz w:val="24"/>
                <w:szCs w:val="24"/>
                <w:lang w:val="en-GB"/>
              </w:rPr>
              <w:br/>
              <w:t>Combination monetary &amp; in-kind home care: 9.6% (attributed to in-kind for calculation below)</w:t>
            </w:r>
            <w:r w:rsidR="00DD2461" w:rsidRPr="000425DF">
              <w:rPr>
                <w:rFonts w:asciiTheme="majorBidi" w:hAnsiTheme="majorBidi" w:cstheme="majorBidi"/>
                <w:noProof w:val="0"/>
                <w:color w:val="000000"/>
                <w:sz w:val="24"/>
                <w:szCs w:val="24"/>
                <w:lang w:val="en-GB"/>
              </w:rPr>
              <w:br/>
              <w:t>Stationary care: 28.4%</w:t>
            </w:r>
            <w:r w:rsidR="00DD2461" w:rsidRPr="000425DF">
              <w:rPr>
                <w:rFonts w:asciiTheme="majorBidi" w:hAnsiTheme="majorBidi" w:cstheme="majorBidi"/>
                <w:noProof w:val="0"/>
                <w:color w:val="000000"/>
                <w:sz w:val="24"/>
                <w:szCs w:val="24"/>
                <w:lang w:val="en-GB"/>
              </w:rPr>
              <w:br/>
              <w:t>Other (respite care etc.): 0.9%</w:t>
            </w:r>
            <w:r w:rsidR="00DD2461" w:rsidRPr="000425DF">
              <w:rPr>
                <w:rFonts w:asciiTheme="majorBidi" w:hAnsiTheme="majorBidi" w:cstheme="majorBidi"/>
                <w:noProof w:val="0"/>
                <w:color w:val="000000"/>
                <w:sz w:val="24"/>
                <w:szCs w:val="24"/>
                <w:lang w:val="en-GB"/>
              </w:rPr>
              <w:br/>
            </w:r>
            <w:r w:rsidR="00DD2461" w:rsidRPr="000425DF">
              <w:rPr>
                <w:rFonts w:asciiTheme="majorBidi" w:hAnsiTheme="majorBidi" w:cstheme="majorBidi"/>
                <w:noProof w:val="0"/>
                <w:color w:val="000000"/>
                <w:sz w:val="24"/>
                <w:szCs w:val="24"/>
                <w:lang w:val="en-GB"/>
              </w:rPr>
              <w:br/>
              <w:t>The shares of actor types in residential facilities were the following in the mid-1990s (</w:t>
            </w:r>
            <w:proofErr w:type="spellStart"/>
            <w:r w:rsidR="00DD2461" w:rsidRPr="000425DF">
              <w:rPr>
                <w:rFonts w:asciiTheme="majorBidi" w:hAnsiTheme="majorBidi" w:cstheme="majorBidi"/>
                <w:noProof w:val="0"/>
                <w:color w:val="000000"/>
                <w:sz w:val="24"/>
                <w:szCs w:val="24"/>
                <w:lang w:val="en-GB"/>
              </w:rPr>
              <w:t>Mager</w:t>
            </w:r>
            <w:proofErr w:type="spellEnd"/>
            <w:r w:rsidR="00DD2461" w:rsidRPr="000425DF">
              <w:rPr>
                <w:rFonts w:asciiTheme="majorBidi" w:hAnsiTheme="majorBidi" w:cstheme="majorBidi"/>
                <w:noProof w:val="0"/>
                <w:color w:val="000000"/>
                <w:sz w:val="24"/>
                <w:szCs w:val="24"/>
                <w:lang w:val="en-GB"/>
              </w:rPr>
              <w:t xml:space="preserve"> 1999):</w:t>
            </w:r>
            <w:r w:rsidR="00DD2461" w:rsidRPr="000425DF">
              <w:rPr>
                <w:rFonts w:asciiTheme="majorBidi" w:hAnsiTheme="majorBidi" w:cstheme="majorBidi"/>
                <w:noProof w:val="0"/>
                <w:color w:val="000000"/>
                <w:sz w:val="24"/>
                <w:szCs w:val="24"/>
                <w:lang w:val="en-GB"/>
              </w:rPr>
              <w:br/>
              <w:t>66.6% non-profit</w:t>
            </w:r>
            <w:r w:rsidR="00DD2461" w:rsidRPr="000425DF">
              <w:rPr>
                <w:rFonts w:asciiTheme="majorBidi" w:hAnsiTheme="majorBidi" w:cstheme="majorBidi"/>
                <w:noProof w:val="0"/>
                <w:color w:val="000000"/>
                <w:sz w:val="24"/>
                <w:szCs w:val="24"/>
                <w:lang w:val="en-GB"/>
              </w:rPr>
              <w:br/>
              <w:t>17.3% state</w:t>
            </w:r>
            <w:r w:rsidR="00DD2461" w:rsidRPr="000425DF">
              <w:rPr>
                <w:rFonts w:asciiTheme="majorBidi" w:hAnsiTheme="majorBidi" w:cstheme="majorBidi"/>
                <w:noProof w:val="0"/>
                <w:color w:val="000000"/>
                <w:sz w:val="24"/>
                <w:szCs w:val="24"/>
                <w:lang w:val="en-GB"/>
              </w:rPr>
              <w:br/>
              <w:t>16.1% private for-profit</w:t>
            </w:r>
            <w:r w:rsidR="00DD2461" w:rsidRPr="000425DF">
              <w:rPr>
                <w:rFonts w:asciiTheme="majorBidi" w:hAnsiTheme="majorBidi" w:cstheme="majorBidi"/>
                <w:noProof w:val="0"/>
                <w:color w:val="000000"/>
                <w:sz w:val="24"/>
                <w:szCs w:val="24"/>
                <w:lang w:val="en-GB"/>
              </w:rPr>
              <w:br/>
              <w:t>The shares of home care providers were the following in 2001 (Theobald 2004):</w:t>
            </w:r>
            <w:r w:rsidR="00DD2461" w:rsidRPr="000425DF">
              <w:rPr>
                <w:rFonts w:asciiTheme="majorBidi" w:hAnsiTheme="majorBidi" w:cstheme="majorBidi"/>
                <w:noProof w:val="0"/>
                <w:color w:val="000000"/>
                <w:sz w:val="24"/>
                <w:szCs w:val="24"/>
                <w:lang w:val="en-GB"/>
              </w:rPr>
              <w:br/>
              <w:t>52% private for-profit</w:t>
            </w:r>
            <w:r w:rsidR="00DD2461" w:rsidRPr="000425DF">
              <w:rPr>
                <w:rFonts w:asciiTheme="majorBidi" w:hAnsiTheme="majorBidi" w:cstheme="majorBidi"/>
                <w:noProof w:val="0"/>
                <w:color w:val="000000"/>
                <w:sz w:val="24"/>
                <w:szCs w:val="24"/>
                <w:lang w:val="en-GB"/>
              </w:rPr>
              <w:br/>
              <w:t>46% non-profit</w:t>
            </w:r>
            <w:r w:rsidR="00DD2461" w:rsidRPr="000425DF">
              <w:rPr>
                <w:rFonts w:asciiTheme="majorBidi" w:hAnsiTheme="majorBidi" w:cstheme="majorBidi"/>
                <w:noProof w:val="0"/>
                <w:color w:val="000000"/>
                <w:sz w:val="24"/>
                <w:szCs w:val="24"/>
                <w:lang w:val="en-GB"/>
              </w:rPr>
              <w:br/>
              <w:t>2% state</w:t>
            </w:r>
            <w:r w:rsidR="00DD2461" w:rsidRPr="000425DF">
              <w:rPr>
                <w:rFonts w:asciiTheme="majorBidi" w:hAnsiTheme="majorBidi" w:cstheme="majorBidi"/>
                <w:noProof w:val="0"/>
                <w:color w:val="000000"/>
                <w:sz w:val="24"/>
                <w:szCs w:val="24"/>
                <w:lang w:val="en-GB"/>
              </w:rPr>
              <w:br/>
              <w:t xml:space="preserve">Recipients of cash benefits overwhelmingly relied on family care, i.e. by private individual actors. Domestic care workers </w:t>
            </w:r>
            <w:r w:rsidR="00DD2461" w:rsidRPr="000425DF">
              <w:rPr>
                <w:rFonts w:asciiTheme="majorBidi" w:hAnsiTheme="majorBidi" w:cstheme="majorBidi"/>
                <w:noProof w:val="0"/>
                <w:color w:val="000000"/>
                <w:sz w:val="24"/>
                <w:szCs w:val="24"/>
                <w:lang w:val="en-GB"/>
              </w:rPr>
              <w:lastRenderedPageBreak/>
              <w:t>also play a small role in providing care for recipients at home, but data for the 2000s suggests that they made up (at most) 5% (Theobald 2012) of the provider mix of cash benefit recipients at system introduction.</w:t>
            </w:r>
            <w:r w:rsidR="00DD2461" w:rsidRPr="000425DF">
              <w:rPr>
                <w:rFonts w:asciiTheme="majorBidi" w:hAnsiTheme="majorBidi" w:cstheme="majorBidi"/>
                <w:noProof w:val="0"/>
                <w:color w:val="000000"/>
                <w:sz w:val="24"/>
                <w:szCs w:val="24"/>
                <w:lang w:val="en-GB"/>
              </w:rPr>
              <w:br/>
            </w:r>
            <w:r w:rsidR="00DD2461" w:rsidRPr="000425DF">
              <w:rPr>
                <w:rFonts w:asciiTheme="majorBidi" w:hAnsiTheme="majorBidi" w:cstheme="majorBidi"/>
                <w:noProof w:val="0"/>
                <w:color w:val="000000"/>
                <w:sz w:val="24"/>
                <w:szCs w:val="24"/>
                <w:lang w:val="en-GB"/>
              </w:rPr>
              <w:br/>
              <w:t>Based on this data, overall actor shares weighted by benefit shares are the following</w:t>
            </w:r>
            <w:r w:rsidR="006241BE" w:rsidRPr="000425DF">
              <w:rPr>
                <w:rFonts w:asciiTheme="majorBidi" w:hAnsiTheme="majorBidi" w:cstheme="majorBidi"/>
                <w:noProof w:val="0"/>
                <w:color w:val="000000"/>
                <w:sz w:val="24"/>
                <w:szCs w:val="24"/>
                <w:lang w:val="en-GB"/>
              </w:rPr>
              <w:t>:</w:t>
            </w:r>
            <w:r w:rsidR="00DD2461" w:rsidRPr="000425DF">
              <w:rPr>
                <w:rFonts w:asciiTheme="majorBidi" w:hAnsiTheme="majorBidi" w:cstheme="majorBidi"/>
                <w:noProof w:val="0"/>
                <w:color w:val="000000"/>
                <w:sz w:val="24"/>
                <w:szCs w:val="24"/>
                <w:lang w:val="en-GB"/>
              </w:rPr>
              <w:br/>
              <w:t>State: 5%</w:t>
            </w:r>
            <w:r w:rsidR="00DD2461" w:rsidRPr="000425DF">
              <w:rPr>
                <w:rFonts w:asciiTheme="majorBidi" w:hAnsiTheme="majorBidi" w:cstheme="majorBidi"/>
                <w:noProof w:val="0"/>
                <w:color w:val="000000"/>
                <w:sz w:val="24"/>
                <w:szCs w:val="24"/>
                <w:lang w:val="en-GB"/>
              </w:rPr>
              <w:br/>
              <w:t>Societal actors: 27%</w:t>
            </w:r>
            <w:r w:rsidR="00DD2461" w:rsidRPr="000425DF">
              <w:rPr>
                <w:rFonts w:asciiTheme="majorBidi" w:hAnsiTheme="majorBidi" w:cstheme="majorBidi"/>
                <w:noProof w:val="0"/>
                <w:color w:val="000000"/>
                <w:sz w:val="24"/>
                <w:szCs w:val="24"/>
                <w:lang w:val="en-GB"/>
              </w:rPr>
              <w:br/>
              <w:t>Private for-profit actors: 16%</w:t>
            </w:r>
            <w:r w:rsidR="00DD2461" w:rsidRPr="000425DF">
              <w:rPr>
                <w:rFonts w:asciiTheme="majorBidi" w:hAnsiTheme="majorBidi" w:cstheme="majorBidi"/>
                <w:noProof w:val="0"/>
                <w:color w:val="000000"/>
                <w:sz w:val="24"/>
                <w:szCs w:val="24"/>
                <w:lang w:val="en-GB"/>
              </w:rPr>
              <w:br/>
              <w:t>Private individual actors: 51%</w:t>
            </w:r>
          </w:p>
        </w:tc>
        <w:tc>
          <w:tcPr>
            <w:tcW w:w="2821" w:type="dxa"/>
            <w:shd w:val="clear" w:color="auto" w:fill="auto"/>
          </w:tcPr>
          <w:p w14:paraId="77565747" w14:textId="776D8FF4" w:rsidR="00803C4A" w:rsidRPr="00507DB2" w:rsidRDefault="00F63F5D" w:rsidP="000A2894">
            <w:pPr>
              <w:rPr>
                <w:rFonts w:asciiTheme="majorBidi" w:hAnsiTheme="majorBidi" w:cstheme="majorBidi"/>
                <w:noProof w:val="0"/>
                <w:color w:val="000000"/>
                <w:sz w:val="24"/>
                <w:szCs w:val="24"/>
                <w:lang w:val="de-DE"/>
              </w:rPr>
            </w:pPr>
            <w:r w:rsidRPr="00507DB2">
              <w:rPr>
                <w:rFonts w:asciiTheme="majorBidi" w:hAnsiTheme="majorBidi" w:cstheme="majorBidi"/>
                <w:color w:val="000000"/>
                <w:sz w:val="24"/>
                <w:szCs w:val="24"/>
                <w:lang w:val="de-DE"/>
              </w:rPr>
              <w:lastRenderedPageBreak/>
              <w:t>BMG, 2020; Mager, 1999; Rothgang, 2010; Theobald, 2004, 2012</w:t>
            </w:r>
            <w:r w:rsidR="000A2894" w:rsidRPr="00507DB2">
              <w:rPr>
                <w:rFonts w:asciiTheme="majorBidi" w:hAnsiTheme="majorBidi" w:cstheme="majorBidi"/>
                <w:noProof w:val="0"/>
                <w:color w:val="000000"/>
                <w:sz w:val="24"/>
                <w:szCs w:val="24"/>
                <w:lang w:val="de-DE"/>
              </w:rPr>
              <w:t xml:space="preserve">; </w:t>
            </w:r>
            <w:r w:rsidR="00803C4A" w:rsidRPr="00507DB2">
              <w:rPr>
                <w:rFonts w:asciiTheme="majorBidi" w:hAnsiTheme="majorBidi" w:cstheme="majorBidi"/>
                <w:noProof w:val="0"/>
                <w:color w:val="000000"/>
                <w:sz w:val="24"/>
                <w:szCs w:val="24"/>
                <w:lang w:val="de-DE"/>
              </w:rPr>
              <w:t>PflegeVG</w:t>
            </w:r>
          </w:p>
        </w:tc>
        <w:tc>
          <w:tcPr>
            <w:tcW w:w="1275" w:type="dxa"/>
            <w:shd w:val="clear" w:color="auto" w:fill="auto"/>
          </w:tcPr>
          <w:p w14:paraId="465F3E52" w14:textId="77777777" w:rsidR="00DD2461" w:rsidRPr="000425DF" w:rsidRDefault="00DD2461" w:rsidP="00DD2461">
            <w:pPr>
              <w:rPr>
                <w:rFonts w:asciiTheme="majorBidi" w:hAnsiTheme="majorBidi" w:cstheme="majorBidi"/>
                <w:noProof w:val="0"/>
                <w:color w:val="000000"/>
                <w:sz w:val="24"/>
                <w:szCs w:val="24"/>
                <w:lang w:val="en-GB"/>
              </w:rPr>
            </w:pPr>
            <w:r w:rsidRPr="000425DF">
              <w:rPr>
                <w:rFonts w:asciiTheme="majorBidi" w:hAnsiTheme="majorBidi" w:cstheme="majorBidi"/>
                <w:noProof w:val="0"/>
                <w:color w:val="000000"/>
                <w:sz w:val="24"/>
                <w:szCs w:val="24"/>
                <w:lang w:val="en-GB"/>
              </w:rPr>
              <w:t>High</w:t>
            </w:r>
          </w:p>
        </w:tc>
        <w:tc>
          <w:tcPr>
            <w:tcW w:w="706" w:type="dxa"/>
            <w:shd w:val="clear" w:color="auto" w:fill="auto"/>
          </w:tcPr>
          <w:p w14:paraId="4EE6AF9F" w14:textId="77777777" w:rsidR="00DD2461" w:rsidRPr="000425DF" w:rsidRDefault="006241BE" w:rsidP="00DD2461">
            <w:pPr>
              <w:rPr>
                <w:rFonts w:asciiTheme="majorBidi" w:hAnsiTheme="majorBidi" w:cstheme="majorBidi"/>
                <w:noProof w:val="0"/>
                <w:color w:val="000000"/>
                <w:sz w:val="24"/>
                <w:szCs w:val="24"/>
                <w:lang w:val="en-GB"/>
              </w:rPr>
            </w:pPr>
            <w:r w:rsidRPr="000425DF">
              <w:rPr>
                <w:rFonts w:asciiTheme="majorBidi" w:hAnsiTheme="majorBidi" w:cstheme="majorBidi"/>
                <w:noProof w:val="0"/>
                <w:color w:val="000000"/>
                <w:sz w:val="24"/>
                <w:szCs w:val="24"/>
                <w:lang w:val="en-GB"/>
              </w:rPr>
              <w:t>0.0</w:t>
            </w:r>
          </w:p>
        </w:tc>
        <w:tc>
          <w:tcPr>
            <w:tcW w:w="707" w:type="dxa"/>
            <w:shd w:val="clear" w:color="auto" w:fill="auto"/>
          </w:tcPr>
          <w:p w14:paraId="02EC4CD1" w14:textId="77777777" w:rsidR="00DD2461" w:rsidRPr="00935C60" w:rsidRDefault="006241BE" w:rsidP="00DD2461">
            <w:pPr>
              <w:rPr>
                <w:rFonts w:asciiTheme="majorBidi" w:hAnsiTheme="majorBidi" w:cstheme="majorBidi"/>
                <w:noProof w:val="0"/>
                <w:color w:val="000000"/>
                <w:sz w:val="24"/>
                <w:szCs w:val="24"/>
                <w:lang w:val="en-GB"/>
              </w:rPr>
            </w:pPr>
            <w:r w:rsidRPr="00935C60">
              <w:rPr>
                <w:rFonts w:asciiTheme="majorBidi" w:hAnsiTheme="majorBidi" w:cstheme="majorBidi"/>
                <w:noProof w:val="0"/>
                <w:color w:val="000000"/>
                <w:sz w:val="24"/>
                <w:szCs w:val="24"/>
                <w:lang w:val="en-GB"/>
              </w:rPr>
              <w:t>0.17</w:t>
            </w:r>
          </w:p>
        </w:tc>
        <w:tc>
          <w:tcPr>
            <w:tcW w:w="708" w:type="dxa"/>
            <w:shd w:val="clear" w:color="auto" w:fill="auto"/>
          </w:tcPr>
          <w:p w14:paraId="3E4BB08A" w14:textId="77777777" w:rsidR="00DD2461" w:rsidRPr="000425DF" w:rsidRDefault="006241BE" w:rsidP="00DD2461">
            <w:pPr>
              <w:rPr>
                <w:rFonts w:asciiTheme="majorBidi" w:hAnsiTheme="majorBidi" w:cstheme="majorBidi"/>
                <w:noProof w:val="0"/>
                <w:color w:val="000000"/>
                <w:sz w:val="24"/>
                <w:szCs w:val="24"/>
                <w:lang w:val="en-GB"/>
              </w:rPr>
            </w:pPr>
            <w:r w:rsidRPr="000425DF">
              <w:rPr>
                <w:rFonts w:asciiTheme="majorBidi" w:hAnsiTheme="majorBidi" w:cstheme="majorBidi"/>
                <w:noProof w:val="0"/>
                <w:color w:val="000000"/>
                <w:sz w:val="24"/>
                <w:szCs w:val="24"/>
                <w:lang w:val="en-GB"/>
              </w:rPr>
              <w:t>0.17</w:t>
            </w:r>
          </w:p>
        </w:tc>
        <w:tc>
          <w:tcPr>
            <w:tcW w:w="708" w:type="dxa"/>
            <w:shd w:val="clear" w:color="auto" w:fill="auto"/>
          </w:tcPr>
          <w:p w14:paraId="78C063F7" w14:textId="77777777" w:rsidR="00DD2461" w:rsidRPr="000425DF" w:rsidRDefault="006241BE" w:rsidP="00DD2461">
            <w:pPr>
              <w:rPr>
                <w:rFonts w:asciiTheme="majorBidi" w:hAnsiTheme="majorBidi" w:cstheme="majorBidi"/>
                <w:noProof w:val="0"/>
                <w:color w:val="000000"/>
                <w:sz w:val="24"/>
                <w:szCs w:val="24"/>
                <w:lang w:val="en-GB"/>
              </w:rPr>
            </w:pPr>
            <w:r w:rsidRPr="000425DF">
              <w:rPr>
                <w:rFonts w:asciiTheme="majorBidi" w:hAnsiTheme="majorBidi" w:cstheme="majorBidi"/>
                <w:noProof w:val="0"/>
                <w:color w:val="000000"/>
                <w:sz w:val="24"/>
                <w:szCs w:val="24"/>
                <w:lang w:val="en-GB"/>
              </w:rPr>
              <w:t>0.67</w:t>
            </w:r>
          </w:p>
        </w:tc>
      </w:tr>
      <w:tr w:rsidR="00511A9E" w:rsidRPr="000425DF" w14:paraId="766FBAF5" w14:textId="77777777" w:rsidTr="00DD2461">
        <w:tc>
          <w:tcPr>
            <w:tcW w:w="1333" w:type="dxa"/>
            <w:shd w:val="clear" w:color="auto" w:fill="auto"/>
          </w:tcPr>
          <w:p w14:paraId="5DCB448F" w14:textId="005BCC70" w:rsidR="00511A9E" w:rsidRPr="000425DF" w:rsidRDefault="00511A9E" w:rsidP="00DD2461">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 xml:space="preserve">Germany </w:t>
            </w:r>
            <w:r w:rsidR="00935C60">
              <w:rPr>
                <w:rFonts w:asciiTheme="majorBidi" w:hAnsiTheme="majorBidi" w:cstheme="majorBidi"/>
                <w:noProof w:val="0"/>
                <w:color w:val="1F3864" w:themeColor="accent1" w:themeShade="80"/>
                <w:sz w:val="24"/>
                <w:szCs w:val="24"/>
                <w:lang w:val="en-GB"/>
              </w:rPr>
              <w:t>(today)</w:t>
            </w:r>
          </w:p>
        </w:tc>
        <w:tc>
          <w:tcPr>
            <w:tcW w:w="6479" w:type="dxa"/>
            <w:shd w:val="clear" w:color="auto" w:fill="auto"/>
          </w:tcPr>
          <w:p w14:paraId="2515BEB9" w14:textId="57396D69" w:rsidR="00242C36" w:rsidRPr="000425DF" w:rsidRDefault="00242C36" w:rsidP="00242C36">
            <w:pPr>
              <w:rPr>
                <w:rFonts w:asciiTheme="majorBidi" w:hAnsiTheme="majorBidi" w:cstheme="majorBidi"/>
                <w:color w:val="1F3864" w:themeColor="accent1" w:themeShade="80"/>
                <w:sz w:val="24"/>
                <w:szCs w:val="24"/>
                <w:lang w:val="en-GB"/>
              </w:rPr>
            </w:pPr>
            <w:r w:rsidRPr="000425DF">
              <w:rPr>
                <w:rFonts w:asciiTheme="majorBidi" w:hAnsiTheme="majorBidi" w:cstheme="majorBidi"/>
                <w:color w:val="1F3864" w:themeColor="accent1" w:themeShade="80"/>
                <w:sz w:val="24"/>
                <w:szCs w:val="24"/>
                <w:lang w:val="en-GB"/>
              </w:rPr>
              <w:t xml:space="preserve">The shares of benefit types received in 2015 were the following (Rothgang </w:t>
            </w:r>
            <w:r w:rsidR="00CB4FA3" w:rsidRPr="000425DF">
              <w:rPr>
                <w:rFonts w:asciiTheme="majorBidi" w:hAnsiTheme="majorBidi" w:cstheme="majorBidi"/>
                <w:color w:val="1F3864" w:themeColor="accent1" w:themeShade="80"/>
                <w:sz w:val="24"/>
                <w:szCs w:val="24"/>
                <w:lang w:val="en-GB"/>
              </w:rPr>
              <w:t>and</w:t>
            </w:r>
            <w:r w:rsidRPr="000425DF">
              <w:rPr>
                <w:rFonts w:asciiTheme="majorBidi" w:hAnsiTheme="majorBidi" w:cstheme="majorBidi"/>
                <w:color w:val="1F3864" w:themeColor="accent1" w:themeShade="80"/>
                <w:sz w:val="24"/>
                <w:szCs w:val="24"/>
                <w:lang w:val="en-GB"/>
              </w:rPr>
              <w:t xml:space="preserve"> Müller 2018):</w:t>
            </w:r>
          </w:p>
          <w:p w14:paraId="4E4297C6" w14:textId="77777777" w:rsidR="00242C36" w:rsidRPr="000425DF" w:rsidRDefault="00242C36" w:rsidP="00242C36">
            <w:pPr>
              <w:rPr>
                <w:rFonts w:asciiTheme="majorBidi" w:hAnsiTheme="majorBidi" w:cstheme="majorBidi"/>
                <w:color w:val="1F3864" w:themeColor="accent1" w:themeShade="80"/>
                <w:sz w:val="24"/>
                <w:szCs w:val="24"/>
                <w:lang w:val="en-GB"/>
              </w:rPr>
            </w:pPr>
            <w:r w:rsidRPr="000425DF">
              <w:rPr>
                <w:rFonts w:asciiTheme="majorBidi" w:hAnsiTheme="majorBidi" w:cstheme="majorBidi"/>
                <w:color w:val="1F3864" w:themeColor="accent1" w:themeShade="80"/>
                <w:sz w:val="24"/>
                <w:szCs w:val="24"/>
                <w:lang w:val="en-GB"/>
              </w:rPr>
              <w:t>49.5 % cash benefits</w:t>
            </w:r>
          </w:p>
          <w:p w14:paraId="6BC5553A" w14:textId="77777777" w:rsidR="00242C36" w:rsidRPr="000425DF" w:rsidRDefault="00242C36" w:rsidP="00242C36">
            <w:pPr>
              <w:rPr>
                <w:rFonts w:asciiTheme="majorBidi" w:hAnsiTheme="majorBidi" w:cstheme="majorBidi"/>
                <w:color w:val="1F3864" w:themeColor="accent1" w:themeShade="80"/>
                <w:sz w:val="24"/>
                <w:szCs w:val="24"/>
                <w:lang w:val="en-GB"/>
              </w:rPr>
            </w:pPr>
            <w:r w:rsidRPr="000425DF">
              <w:rPr>
                <w:rFonts w:asciiTheme="majorBidi" w:hAnsiTheme="majorBidi" w:cstheme="majorBidi"/>
                <w:color w:val="1F3864" w:themeColor="accent1" w:themeShade="80"/>
                <w:sz w:val="24"/>
                <w:szCs w:val="24"/>
                <w:lang w:val="en-GB"/>
              </w:rPr>
              <w:t xml:space="preserve">ca. 26.4 % in-kind ambulatory care </w:t>
            </w:r>
          </w:p>
          <w:p w14:paraId="3DFB6E8E" w14:textId="01C62E7F" w:rsidR="00242C36" w:rsidRPr="000425DF" w:rsidRDefault="00242C36" w:rsidP="00242C36">
            <w:pPr>
              <w:rPr>
                <w:rFonts w:asciiTheme="majorBidi" w:hAnsiTheme="majorBidi" w:cstheme="majorBidi"/>
                <w:color w:val="1F3864" w:themeColor="accent1" w:themeShade="80"/>
                <w:sz w:val="24"/>
                <w:szCs w:val="24"/>
                <w:lang w:val="en-GB"/>
              </w:rPr>
            </w:pPr>
            <w:r w:rsidRPr="000425DF">
              <w:rPr>
                <w:rFonts w:asciiTheme="majorBidi" w:hAnsiTheme="majorBidi" w:cstheme="majorBidi"/>
                <w:color w:val="1F3864" w:themeColor="accent1" w:themeShade="80"/>
                <w:sz w:val="24"/>
                <w:szCs w:val="24"/>
                <w:lang w:val="en-GB"/>
              </w:rPr>
              <w:t>ca. 24.1 %, in-kind institutional</w:t>
            </w:r>
          </w:p>
          <w:p w14:paraId="2AF26C98" w14:textId="313CCE60" w:rsidR="00242C36" w:rsidRPr="000425DF" w:rsidRDefault="00242C36" w:rsidP="00242C36">
            <w:pPr>
              <w:rPr>
                <w:rFonts w:asciiTheme="majorBidi" w:hAnsiTheme="majorBidi" w:cstheme="majorBidi"/>
                <w:noProof w:val="0"/>
                <w:color w:val="1F3864" w:themeColor="accent1" w:themeShade="80"/>
                <w:sz w:val="24"/>
                <w:szCs w:val="24"/>
                <w:lang w:val="en-GB"/>
              </w:rPr>
            </w:pPr>
          </w:p>
          <w:p w14:paraId="205004FC" w14:textId="59D3DDAA" w:rsidR="00242C36" w:rsidRPr="000425DF" w:rsidRDefault="00242C36" w:rsidP="00242C36">
            <w:pPr>
              <w:rPr>
                <w:rFonts w:asciiTheme="majorBidi" w:hAnsiTheme="majorBidi" w:cstheme="majorBidi"/>
                <w:color w:val="1F3864" w:themeColor="accent1" w:themeShade="80"/>
                <w:sz w:val="24"/>
                <w:szCs w:val="24"/>
                <w:lang w:val="en-GB"/>
              </w:rPr>
            </w:pPr>
            <w:r w:rsidRPr="000425DF">
              <w:rPr>
                <w:rFonts w:asciiTheme="majorBidi" w:hAnsiTheme="majorBidi" w:cstheme="majorBidi"/>
                <w:color w:val="1F3864" w:themeColor="accent1" w:themeShade="80"/>
                <w:sz w:val="24"/>
                <w:szCs w:val="24"/>
                <w:lang w:val="en-GB"/>
              </w:rPr>
              <w:t xml:space="preserve">The shares of formal provider types were the following in 2015 (Rothgang </w:t>
            </w:r>
            <w:r w:rsidR="00CB4FA3" w:rsidRPr="000425DF">
              <w:rPr>
                <w:rFonts w:asciiTheme="majorBidi" w:hAnsiTheme="majorBidi" w:cstheme="majorBidi"/>
                <w:color w:val="1F3864" w:themeColor="accent1" w:themeShade="80"/>
                <w:sz w:val="24"/>
                <w:szCs w:val="24"/>
                <w:lang w:val="en-GB"/>
              </w:rPr>
              <w:t>and</w:t>
            </w:r>
            <w:r w:rsidRPr="000425DF">
              <w:rPr>
                <w:rFonts w:asciiTheme="majorBidi" w:hAnsiTheme="majorBidi" w:cstheme="majorBidi"/>
                <w:color w:val="1F3864" w:themeColor="accent1" w:themeShade="80"/>
                <w:sz w:val="24"/>
                <w:szCs w:val="24"/>
                <w:lang w:val="en-GB"/>
              </w:rPr>
              <w:t xml:space="preserve"> Müller 2018):</w:t>
            </w:r>
          </w:p>
          <w:p w14:paraId="38DC0D7E" w14:textId="5F12CBCD" w:rsidR="00242C36" w:rsidRPr="000425DF" w:rsidRDefault="00242C36" w:rsidP="00242C36">
            <w:pPr>
              <w:rPr>
                <w:rFonts w:asciiTheme="majorBidi" w:hAnsiTheme="majorBidi" w:cstheme="majorBidi"/>
                <w:color w:val="1F3864" w:themeColor="accent1" w:themeShade="80"/>
                <w:sz w:val="24"/>
                <w:szCs w:val="24"/>
                <w:lang w:val="en-GB"/>
              </w:rPr>
            </w:pPr>
            <w:r w:rsidRPr="000425DF">
              <w:rPr>
                <w:rFonts w:asciiTheme="majorBidi" w:hAnsiTheme="majorBidi" w:cstheme="majorBidi"/>
                <w:color w:val="1F3864" w:themeColor="accent1" w:themeShade="80"/>
                <w:sz w:val="24"/>
                <w:szCs w:val="24"/>
                <w:lang w:val="en-GB"/>
              </w:rPr>
              <w:t>Ambulatory care</w:t>
            </w:r>
            <w:r w:rsidR="008C6195" w:rsidRPr="000425DF">
              <w:rPr>
                <w:rFonts w:asciiTheme="majorBidi" w:hAnsiTheme="majorBidi" w:cstheme="majorBidi"/>
                <w:color w:val="1F3864" w:themeColor="accent1" w:themeShade="80"/>
                <w:sz w:val="24"/>
                <w:szCs w:val="24"/>
                <w:lang w:val="en-GB"/>
              </w:rPr>
              <w:t xml:space="preserve"> (see also Theobald et al. 2018)</w:t>
            </w:r>
          </w:p>
          <w:p w14:paraId="6CFE5B5C" w14:textId="77777777" w:rsidR="00242C36" w:rsidRPr="000425DF" w:rsidRDefault="00242C36" w:rsidP="00242C36">
            <w:pPr>
              <w:rPr>
                <w:rFonts w:asciiTheme="majorBidi" w:hAnsiTheme="majorBidi" w:cstheme="majorBidi"/>
                <w:color w:val="1F3864" w:themeColor="accent1" w:themeShade="80"/>
                <w:sz w:val="24"/>
                <w:szCs w:val="24"/>
                <w:lang w:val="en-GB"/>
              </w:rPr>
            </w:pPr>
            <w:r w:rsidRPr="000425DF">
              <w:rPr>
                <w:rFonts w:asciiTheme="majorBidi" w:hAnsiTheme="majorBidi" w:cstheme="majorBidi"/>
                <w:color w:val="1F3864" w:themeColor="accent1" w:themeShade="80"/>
                <w:sz w:val="24"/>
                <w:szCs w:val="24"/>
                <w:lang w:val="en-GB"/>
              </w:rPr>
              <w:t>65.1% for-profit</w:t>
            </w:r>
          </w:p>
          <w:p w14:paraId="7503C849" w14:textId="77777777" w:rsidR="00242C36" w:rsidRPr="000425DF" w:rsidRDefault="00242C36" w:rsidP="00242C36">
            <w:pPr>
              <w:rPr>
                <w:rFonts w:asciiTheme="majorBidi" w:hAnsiTheme="majorBidi" w:cstheme="majorBidi"/>
                <w:color w:val="1F3864" w:themeColor="accent1" w:themeShade="80"/>
                <w:sz w:val="24"/>
                <w:szCs w:val="24"/>
                <w:lang w:val="en-GB"/>
              </w:rPr>
            </w:pPr>
            <w:r w:rsidRPr="000425DF">
              <w:rPr>
                <w:rFonts w:asciiTheme="majorBidi" w:hAnsiTheme="majorBidi" w:cstheme="majorBidi"/>
                <w:color w:val="1F3864" w:themeColor="accent1" w:themeShade="80"/>
                <w:sz w:val="24"/>
                <w:szCs w:val="24"/>
                <w:lang w:val="en-GB"/>
              </w:rPr>
              <w:t>33.5% non-profit</w:t>
            </w:r>
          </w:p>
          <w:p w14:paraId="64347647" w14:textId="6F84F96B" w:rsidR="00242C36" w:rsidRPr="000425DF" w:rsidRDefault="00242C36" w:rsidP="00242C36">
            <w:pPr>
              <w:rPr>
                <w:rFonts w:asciiTheme="majorBidi" w:hAnsiTheme="majorBidi" w:cstheme="majorBidi"/>
                <w:color w:val="1F3864" w:themeColor="accent1" w:themeShade="80"/>
                <w:sz w:val="24"/>
                <w:szCs w:val="24"/>
                <w:lang w:val="en-GB"/>
              </w:rPr>
            </w:pPr>
            <w:r w:rsidRPr="000425DF">
              <w:rPr>
                <w:rFonts w:asciiTheme="majorBidi" w:hAnsiTheme="majorBidi" w:cstheme="majorBidi"/>
                <w:color w:val="1F3864" w:themeColor="accent1" w:themeShade="80"/>
                <w:sz w:val="24"/>
                <w:szCs w:val="24"/>
                <w:lang w:val="en-GB"/>
              </w:rPr>
              <w:t>1.4% public bodies</w:t>
            </w:r>
          </w:p>
          <w:p w14:paraId="4BAA7448" w14:textId="77777777" w:rsidR="00242C36" w:rsidRPr="000425DF" w:rsidRDefault="00242C36" w:rsidP="00242C36">
            <w:pPr>
              <w:rPr>
                <w:rFonts w:asciiTheme="majorBidi" w:hAnsiTheme="majorBidi" w:cstheme="majorBidi"/>
                <w:color w:val="1F3864" w:themeColor="accent1" w:themeShade="80"/>
                <w:sz w:val="24"/>
                <w:szCs w:val="24"/>
                <w:lang w:val="en-GB"/>
              </w:rPr>
            </w:pPr>
            <w:r w:rsidRPr="000425DF">
              <w:rPr>
                <w:rFonts w:asciiTheme="majorBidi" w:hAnsiTheme="majorBidi" w:cstheme="majorBidi"/>
                <w:color w:val="1F3864" w:themeColor="accent1" w:themeShade="80"/>
                <w:sz w:val="24"/>
                <w:szCs w:val="24"/>
                <w:lang w:val="en-GB"/>
              </w:rPr>
              <w:t>Institutional care:</w:t>
            </w:r>
          </w:p>
          <w:p w14:paraId="653BDCF9" w14:textId="77777777" w:rsidR="00242C36" w:rsidRPr="000425DF" w:rsidRDefault="00242C36" w:rsidP="00242C36">
            <w:pPr>
              <w:rPr>
                <w:rFonts w:asciiTheme="majorBidi" w:hAnsiTheme="majorBidi" w:cstheme="majorBidi"/>
                <w:color w:val="1F3864" w:themeColor="accent1" w:themeShade="80"/>
                <w:sz w:val="24"/>
                <w:szCs w:val="24"/>
                <w:lang w:val="en-GB"/>
              </w:rPr>
            </w:pPr>
            <w:r w:rsidRPr="000425DF">
              <w:rPr>
                <w:rFonts w:asciiTheme="majorBidi" w:hAnsiTheme="majorBidi" w:cstheme="majorBidi"/>
                <w:color w:val="1F3864" w:themeColor="accent1" w:themeShade="80"/>
                <w:sz w:val="24"/>
                <w:szCs w:val="24"/>
                <w:lang w:val="en-GB"/>
              </w:rPr>
              <w:t>53% non-profit</w:t>
            </w:r>
          </w:p>
          <w:p w14:paraId="44992F19" w14:textId="77777777" w:rsidR="00242C36" w:rsidRPr="000425DF" w:rsidRDefault="00242C36" w:rsidP="00242C36">
            <w:pPr>
              <w:rPr>
                <w:rFonts w:asciiTheme="majorBidi" w:hAnsiTheme="majorBidi" w:cstheme="majorBidi"/>
                <w:color w:val="1F3864" w:themeColor="accent1" w:themeShade="80"/>
                <w:sz w:val="24"/>
                <w:szCs w:val="24"/>
                <w:lang w:val="en-GB"/>
              </w:rPr>
            </w:pPr>
            <w:r w:rsidRPr="000425DF">
              <w:rPr>
                <w:rFonts w:asciiTheme="majorBidi" w:hAnsiTheme="majorBidi" w:cstheme="majorBidi"/>
                <w:color w:val="1F3864" w:themeColor="accent1" w:themeShade="80"/>
                <w:sz w:val="24"/>
                <w:szCs w:val="24"/>
                <w:lang w:val="en-GB"/>
              </w:rPr>
              <w:t>42.2 % for-profit</w:t>
            </w:r>
          </w:p>
          <w:p w14:paraId="04C60A7A" w14:textId="6E2702F8" w:rsidR="00242C36" w:rsidRPr="000425DF" w:rsidRDefault="00242C36" w:rsidP="00242C36">
            <w:pPr>
              <w:rPr>
                <w:rFonts w:asciiTheme="majorBidi" w:hAnsiTheme="majorBidi" w:cstheme="majorBidi"/>
                <w:color w:val="1F3864" w:themeColor="accent1" w:themeShade="80"/>
                <w:sz w:val="24"/>
                <w:szCs w:val="24"/>
                <w:lang w:val="en-GB"/>
              </w:rPr>
            </w:pPr>
            <w:r w:rsidRPr="000425DF">
              <w:rPr>
                <w:rFonts w:asciiTheme="majorBidi" w:hAnsiTheme="majorBidi" w:cstheme="majorBidi"/>
                <w:color w:val="1F3864" w:themeColor="accent1" w:themeShade="80"/>
                <w:sz w:val="24"/>
                <w:szCs w:val="24"/>
                <w:lang w:val="en-GB"/>
              </w:rPr>
              <w:t>4.8% public bodies</w:t>
            </w:r>
          </w:p>
          <w:p w14:paraId="69A9E784" w14:textId="3623A3DF" w:rsidR="00242C36" w:rsidRPr="000425DF" w:rsidRDefault="00242C36" w:rsidP="00242C36">
            <w:pPr>
              <w:rPr>
                <w:rFonts w:asciiTheme="majorBidi" w:hAnsiTheme="majorBidi" w:cstheme="majorBidi"/>
                <w:noProof w:val="0"/>
                <w:color w:val="1F3864" w:themeColor="accent1" w:themeShade="80"/>
                <w:sz w:val="24"/>
                <w:szCs w:val="24"/>
                <w:lang w:val="en-GB"/>
              </w:rPr>
            </w:pPr>
          </w:p>
          <w:p w14:paraId="10527197" w14:textId="2D8801FC" w:rsidR="00242C36" w:rsidRPr="000425DF" w:rsidRDefault="00242C36" w:rsidP="00242C36">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The cash benefit can be used freely</w:t>
            </w:r>
            <w:r w:rsidR="00E621F7" w:rsidRPr="000425DF">
              <w:rPr>
                <w:rFonts w:asciiTheme="majorBidi" w:hAnsiTheme="majorBidi" w:cstheme="majorBidi"/>
                <w:noProof w:val="0"/>
                <w:color w:val="1F3864" w:themeColor="accent1" w:themeShade="80"/>
                <w:sz w:val="24"/>
                <w:szCs w:val="24"/>
                <w:lang w:val="en-GB"/>
              </w:rPr>
              <w:t xml:space="preserve"> and supports to a great extend informal care arrangements with care provided by family members or other persons from the care recipients social network. However, approx. 8% of cash benefit </w:t>
            </w:r>
            <w:r w:rsidR="00E621F7" w:rsidRPr="000425DF">
              <w:rPr>
                <w:rFonts w:asciiTheme="majorBidi" w:hAnsiTheme="majorBidi" w:cstheme="majorBidi"/>
                <w:noProof w:val="0"/>
                <w:color w:val="1F3864" w:themeColor="accent1" w:themeShade="80"/>
                <w:sz w:val="24"/>
                <w:szCs w:val="24"/>
                <w:lang w:val="en-GB"/>
              </w:rPr>
              <w:lastRenderedPageBreak/>
              <w:t>recipients employ live-in migrant care workers (</w:t>
            </w:r>
            <w:proofErr w:type="spellStart"/>
            <w:r w:rsidR="00E621F7" w:rsidRPr="000425DF">
              <w:rPr>
                <w:rFonts w:asciiTheme="majorBidi" w:hAnsiTheme="majorBidi" w:cstheme="majorBidi"/>
                <w:noProof w:val="0"/>
                <w:color w:val="1F3864" w:themeColor="accent1" w:themeShade="80"/>
                <w:sz w:val="24"/>
                <w:szCs w:val="24"/>
                <w:lang w:val="en-GB"/>
              </w:rPr>
              <w:t>Benazha</w:t>
            </w:r>
            <w:proofErr w:type="spellEnd"/>
            <w:r w:rsidR="00E621F7" w:rsidRPr="000425DF">
              <w:rPr>
                <w:rFonts w:asciiTheme="majorBidi" w:hAnsiTheme="majorBidi" w:cstheme="majorBidi"/>
                <w:noProof w:val="0"/>
                <w:color w:val="1F3864" w:themeColor="accent1" w:themeShade="80"/>
                <w:sz w:val="24"/>
                <w:szCs w:val="24"/>
                <w:lang w:val="en-GB"/>
              </w:rPr>
              <w:t xml:space="preserve"> </w:t>
            </w:r>
            <w:r w:rsidR="00CB4FA3" w:rsidRPr="000425DF">
              <w:rPr>
                <w:rFonts w:asciiTheme="majorBidi" w:hAnsiTheme="majorBidi" w:cstheme="majorBidi"/>
                <w:noProof w:val="0"/>
                <w:color w:val="1F3864" w:themeColor="accent1" w:themeShade="80"/>
                <w:sz w:val="24"/>
                <w:szCs w:val="24"/>
                <w:lang w:val="en-GB"/>
              </w:rPr>
              <w:t xml:space="preserve">et al. </w:t>
            </w:r>
            <w:r w:rsidR="00E621F7" w:rsidRPr="000425DF">
              <w:rPr>
                <w:rFonts w:asciiTheme="majorBidi" w:hAnsiTheme="majorBidi" w:cstheme="majorBidi"/>
                <w:noProof w:val="0"/>
                <w:color w:val="1F3864" w:themeColor="accent1" w:themeShade="80"/>
                <w:sz w:val="24"/>
                <w:szCs w:val="24"/>
                <w:lang w:val="en-GB"/>
              </w:rPr>
              <w:t>2021).</w:t>
            </w:r>
          </w:p>
          <w:p w14:paraId="5E332C81" w14:textId="6C3F412E" w:rsidR="00E621F7" w:rsidRPr="000425DF" w:rsidRDefault="00E621F7" w:rsidP="00242C36">
            <w:pPr>
              <w:rPr>
                <w:rFonts w:asciiTheme="majorBidi" w:hAnsiTheme="majorBidi" w:cstheme="majorBidi"/>
                <w:noProof w:val="0"/>
                <w:color w:val="1F3864" w:themeColor="accent1" w:themeShade="80"/>
                <w:sz w:val="24"/>
                <w:szCs w:val="24"/>
                <w:lang w:val="en-GB"/>
              </w:rPr>
            </w:pPr>
          </w:p>
          <w:p w14:paraId="51B46644" w14:textId="480474C7" w:rsidR="00E621F7" w:rsidRPr="000425DF" w:rsidRDefault="008C6195" w:rsidP="00242C36">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The overall shares of different provider types are consequently the following:</w:t>
            </w:r>
          </w:p>
          <w:p w14:paraId="6E00D4B3" w14:textId="7D9A5F4E" w:rsidR="008C6195" w:rsidRPr="000425DF" w:rsidRDefault="008C6195" w:rsidP="00242C36">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State: 1.5%</w:t>
            </w:r>
          </w:p>
          <w:p w14:paraId="26474094" w14:textId="33B72A4B" w:rsidR="008C6195" w:rsidRPr="000425DF" w:rsidRDefault="008C6195" w:rsidP="00242C36">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Societal actors: 21.6%</w:t>
            </w:r>
          </w:p>
          <w:p w14:paraId="14DE6168" w14:textId="1593862C" w:rsidR="008C6195" w:rsidRPr="000425DF" w:rsidRDefault="008C6195" w:rsidP="00242C36">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Private for-profit actors: 31.3%</w:t>
            </w:r>
          </w:p>
          <w:p w14:paraId="5A11FF15" w14:textId="08D5B4B1" w:rsidR="00511A9E" w:rsidRPr="000425DF" w:rsidRDefault="008C6195" w:rsidP="008C6195">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Private individual actors: 45.5%</w:t>
            </w:r>
          </w:p>
        </w:tc>
        <w:tc>
          <w:tcPr>
            <w:tcW w:w="2821" w:type="dxa"/>
            <w:shd w:val="clear" w:color="auto" w:fill="auto"/>
          </w:tcPr>
          <w:p w14:paraId="4C956DB0" w14:textId="4C6ECA48" w:rsidR="00511A9E" w:rsidRPr="00507DB2" w:rsidRDefault="00F63F5D" w:rsidP="00CB4FA3">
            <w:pPr>
              <w:rPr>
                <w:rFonts w:asciiTheme="majorBidi" w:hAnsiTheme="majorBidi" w:cstheme="majorBidi"/>
                <w:noProof w:val="0"/>
                <w:color w:val="1F3864" w:themeColor="accent1" w:themeShade="80"/>
                <w:sz w:val="24"/>
                <w:szCs w:val="24"/>
                <w:lang w:val="de-DE"/>
              </w:rPr>
            </w:pPr>
            <w:r w:rsidRPr="00507DB2">
              <w:rPr>
                <w:rFonts w:asciiTheme="majorBidi" w:hAnsiTheme="majorBidi" w:cstheme="majorBidi"/>
                <w:color w:val="1F3864" w:themeColor="accent1" w:themeShade="80"/>
                <w:sz w:val="24"/>
                <w:szCs w:val="24"/>
                <w:lang w:val="de-DE"/>
              </w:rPr>
              <w:lastRenderedPageBreak/>
              <w:t>Benazha, Leiblfinger, Prieler, &amp; Steiner, 2021; Rothgang &amp; Müller, 2018; Theobald, Szebehely, Saito, &amp; Ishiguro, 2018</w:t>
            </w:r>
          </w:p>
        </w:tc>
        <w:tc>
          <w:tcPr>
            <w:tcW w:w="1275" w:type="dxa"/>
            <w:shd w:val="clear" w:color="auto" w:fill="auto"/>
          </w:tcPr>
          <w:p w14:paraId="16A793AB" w14:textId="4A97A445" w:rsidR="00511A9E" w:rsidRPr="000425DF" w:rsidRDefault="00B7450F" w:rsidP="00DD2461">
            <w:pPr>
              <w:rPr>
                <w:rFonts w:asciiTheme="majorBidi" w:hAnsiTheme="majorBidi" w:cstheme="majorBidi"/>
                <w:noProof w:val="0"/>
                <w:color w:val="1F3864" w:themeColor="accent1" w:themeShade="80"/>
                <w:sz w:val="24"/>
                <w:szCs w:val="24"/>
              </w:rPr>
            </w:pPr>
            <w:r w:rsidRPr="000425DF">
              <w:rPr>
                <w:rFonts w:asciiTheme="majorBidi" w:hAnsiTheme="majorBidi" w:cstheme="majorBidi"/>
                <w:noProof w:val="0"/>
                <w:color w:val="1F3864" w:themeColor="accent1" w:themeShade="80"/>
                <w:sz w:val="24"/>
                <w:szCs w:val="24"/>
              </w:rPr>
              <w:t>High</w:t>
            </w:r>
          </w:p>
        </w:tc>
        <w:tc>
          <w:tcPr>
            <w:tcW w:w="706" w:type="dxa"/>
            <w:shd w:val="clear" w:color="auto" w:fill="auto"/>
          </w:tcPr>
          <w:p w14:paraId="35D8BF8B" w14:textId="7A919EE0" w:rsidR="00511A9E" w:rsidRPr="000425DF" w:rsidRDefault="008C6195" w:rsidP="00DD2461">
            <w:pPr>
              <w:rPr>
                <w:rFonts w:asciiTheme="majorBidi" w:hAnsiTheme="majorBidi" w:cstheme="majorBidi"/>
                <w:noProof w:val="0"/>
                <w:color w:val="1F3864" w:themeColor="accent1" w:themeShade="80"/>
                <w:sz w:val="24"/>
                <w:szCs w:val="24"/>
              </w:rPr>
            </w:pPr>
            <w:r w:rsidRPr="000425DF">
              <w:rPr>
                <w:rFonts w:asciiTheme="majorBidi" w:hAnsiTheme="majorBidi" w:cstheme="majorBidi"/>
                <w:noProof w:val="0"/>
                <w:color w:val="1F3864" w:themeColor="accent1" w:themeShade="80"/>
                <w:sz w:val="24"/>
                <w:szCs w:val="24"/>
              </w:rPr>
              <w:t>0.0</w:t>
            </w:r>
          </w:p>
        </w:tc>
        <w:tc>
          <w:tcPr>
            <w:tcW w:w="707" w:type="dxa"/>
            <w:shd w:val="clear" w:color="auto" w:fill="auto"/>
          </w:tcPr>
          <w:p w14:paraId="573908B8" w14:textId="598445BF" w:rsidR="00511A9E" w:rsidRPr="00935C60" w:rsidRDefault="008C6195" w:rsidP="00DD2461">
            <w:pPr>
              <w:rPr>
                <w:rFonts w:asciiTheme="majorBidi" w:hAnsiTheme="majorBidi" w:cstheme="majorBidi"/>
                <w:noProof w:val="0"/>
                <w:color w:val="1F3864" w:themeColor="accent1" w:themeShade="80"/>
                <w:sz w:val="24"/>
                <w:szCs w:val="24"/>
              </w:rPr>
            </w:pPr>
            <w:r w:rsidRPr="00935C60">
              <w:rPr>
                <w:rFonts w:asciiTheme="majorBidi" w:hAnsiTheme="majorBidi" w:cstheme="majorBidi"/>
                <w:noProof w:val="0"/>
                <w:color w:val="1F3864" w:themeColor="accent1" w:themeShade="80"/>
                <w:sz w:val="24"/>
                <w:szCs w:val="24"/>
              </w:rPr>
              <w:t>0.17</w:t>
            </w:r>
          </w:p>
        </w:tc>
        <w:tc>
          <w:tcPr>
            <w:tcW w:w="708" w:type="dxa"/>
            <w:shd w:val="clear" w:color="auto" w:fill="auto"/>
          </w:tcPr>
          <w:p w14:paraId="421050C9" w14:textId="7E28A822" w:rsidR="00511A9E" w:rsidRPr="000425DF" w:rsidRDefault="008C6195" w:rsidP="00DD2461">
            <w:pPr>
              <w:rPr>
                <w:rFonts w:asciiTheme="majorBidi" w:hAnsiTheme="majorBidi" w:cstheme="majorBidi"/>
                <w:noProof w:val="0"/>
                <w:color w:val="1F3864" w:themeColor="accent1" w:themeShade="80"/>
                <w:sz w:val="24"/>
                <w:szCs w:val="24"/>
              </w:rPr>
            </w:pPr>
            <w:r w:rsidRPr="000425DF">
              <w:rPr>
                <w:rFonts w:asciiTheme="majorBidi" w:hAnsiTheme="majorBidi" w:cstheme="majorBidi"/>
                <w:noProof w:val="0"/>
                <w:color w:val="1F3864" w:themeColor="accent1" w:themeShade="80"/>
                <w:sz w:val="24"/>
                <w:szCs w:val="24"/>
              </w:rPr>
              <w:t>0.17</w:t>
            </w:r>
          </w:p>
        </w:tc>
        <w:tc>
          <w:tcPr>
            <w:tcW w:w="708" w:type="dxa"/>
            <w:shd w:val="clear" w:color="auto" w:fill="auto"/>
          </w:tcPr>
          <w:p w14:paraId="06F815FA" w14:textId="3D9B3A17" w:rsidR="00511A9E" w:rsidRPr="000425DF" w:rsidRDefault="008C6195" w:rsidP="00DD2461">
            <w:pPr>
              <w:rPr>
                <w:rFonts w:asciiTheme="majorBidi" w:hAnsiTheme="majorBidi" w:cstheme="majorBidi"/>
                <w:noProof w:val="0"/>
                <w:color w:val="1F3864" w:themeColor="accent1" w:themeShade="80"/>
                <w:sz w:val="24"/>
                <w:szCs w:val="24"/>
              </w:rPr>
            </w:pPr>
            <w:r w:rsidRPr="000425DF">
              <w:rPr>
                <w:rFonts w:asciiTheme="majorBidi" w:hAnsiTheme="majorBidi" w:cstheme="majorBidi"/>
                <w:noProof w:val="0"/>
                <w:color w:val="1F3864" w:themeColor="accent1" w:themeShade="80"/>
                <w:sz w:val="24"/>
                <w:szCs w:val="24"/>
              </w:rPr>
              <w:t>0.33</w:t>
            </w:r>
          </w:p>
        </w:tc>
      </w:tr>
      <w:tr w:rsidR="00DD2461" w:rsidRPr="000425DF" w14:paraId="17A1E8BF" w14:textId="77777777" w:rsidTr="00DD2461">
        <w:tc>
          <w:tcPr>
            <w:tcW w:w="1333" w:type="dxa"/>
            <w:shd w:val="clear" w:color="auto" w:fill="auto"/>
          </w:tcPr>
          <w:p w14:paraId="1D4E9C05" w14:textId="66955F71" w:rsidR="00DD2461" w:rsidRPr="000425DF" w:rsidRDefault="00DD2461" w:rsidP="00DD2461">
            <w:pPr>
              <w:spacing w:after="160" w:line="259" w:lineRule="auto"/>
              <w:rPr>
                <w:rFonts w:asciiTheme="majorBidi" w:hAnsiTheme="majorBidi" w:cstheme="majorBidi"/>
                <w:noProof w:val="0"/>
                <w:sz w:val="24"/>
                <w:szCs w:val="24"/>
                <w:lang w:val="en-GB"/>
              </w:rPr>
            </w:pPr>
            <w:r w:rsidRPr="000425DF">
              <w:rPr>
                <w:rFonts w:asciiTheme="majorBidi" w:hAnsiTheme="majorBidi" w:cstheme="majorBidi"/>
                <w:noProof w:val="0"/>
                <w:sz w:val="24"/>
                <w:szCs w:val="24"/>
                <w:lang w:val="en-GB"/>
              </w:rPr>
              <w:t>Israel</w:t>
            </w:r>
            <w:r w:rsidR="00412FBA" w:rsidRPr="000425DF">
              <w:rPr>
                <w:rFonts w:asciiTheme="majorBidi" w:hAnsiTheme="majorBidi" w:cstheme="majorBidi"/>
                <w:noProof w:val="0"/>
                <w:sz w:val="24"/>
                <w:szCs w:val="24"/>
                <w:lang w:val="en-GB"/>
              </w:rPr>
              <w:t xml:space="preserve"> </w:t>
            </w:r>
            <w:r w:rsidR="00935C60">
              <w:rPr>
                <w:rFonts w:asciiTheme="majorBidi" w:hAnsiTheme="majorBidi" w:cstheme="majorBidi"/>
                <w:noProof w:val="0"/>
                <w:sz w:val="24"/>
                <w:szCs w:val="24"/>
                <w:lang w:val="en-GB"/>
              </w:rPr>
              <w:t>(</w:t>
            </w:r>
            <w:r w:rsidR="00412FBA" w:rsidRPr="000425DF">
              <w:rPr>
                <w:rFonts w:asciiTheme="majorBidi" w:hAnsiTheme="majorBidi" w:cstheme="majorBidi"/>
                <w:noProof w:val="0"/>
                <w:sz w:val="24"/>
                <w:szCs w:val="24"/>
                <w:lang w:val="en-GB"/>
              </w:rPr>
              <w:t>intr</w:t>
            </w:r>
            <w:r w:rsidR="00935C60">
              <w:rPr>
                <w:rFonts w:asciiTheme="majorBidi" w:hAnsiTheme="majorBidi" w:cstheme="majorBidi"/>
                <w:noProof w:val="0"/>
                <w:sz w:val="24"/>
                <w:szCs w:val="24"/>
                <w:lang w:val="en-GB"/>
              </w:rPr>
              <w:t>oduction)</w:t>
            </w:r>
          </w:p>
        </w:tc>
        <w:tc>
          <w:tcPr>
            <w:tcW w:w="6479" w:type="dxa"/>
            <w:shd w:val="clear" w:color="auto" w:fill="auto"/>
          </w:tcPr>
          <w:p w14:paraId="6BC4317F" w14:textId="77777777" w:rsidR="006241BE" w:rsidRPr="000425DF" w:rsidRDefault="006241BE" w:rsidP="00DD2461">
            <w:pPr>
              <w:rPr>
                <w:rFonts w:asciiTheme="majorBidi" w:hAnsiTheme="majorBidi" w:cstheme="majorBidi"/>
                <w:noProof w:val="0"/>
                <w:color w:val="000000"/>
                <w:sz w:val="24"/>
                <w:szCs w:val="24"/>
                <w:lang w:val="en-GB"/>
              </w:rPr>
            </w:pPr>
            <w:r w:rsidRPr="000425DF">
              <w:rPr>
                <w:rFonts w:asciiTheme="majorBidi" w:hAnsiTheme="majorBidi" w:cstheme="majorBidi"/>
                <w:noProof w:val="0"/>
                <w:color w:val="000000"/>
                <w:sz w:val="24"/>
                <w:szCs w:val="24"/>
                <w:lang w:val="en-GB"/>
              </w:rPr>
              <w:t xml:space="preserve">In </w:t>
            </w:r>
            <w:r w:rsidR="00DD2461" w:rsidRPr="000425DF">
              <w:rPr>
                <w:rFonts w:asciiTheme="majorBidi" w:hAnsiTheme="majorBidi" w:cstheme="majorBidi"/>
                <w:noProof w:val="0"/>
                <w:color w:val="000000"/>
                <w:sz w:val="24"/>
                <w:szCs w:val="24"/>
                <w:lang w:val="en-GB"/>
              </w:rPr>
              <w:t xml:space="preserve">the </w:t>
            </w:r>
            <w:r w:rsidRPr="000425DF">
              <w:rPr>
                <w:rFonts w:asciiTheme="majorBidi" w:hAnsiTheme="majorBidi" w:cstheme="majorBidi"/>
                <w:noProof w:val="0"/>
                <w:color w:val="000000"/>
                <w:sz w:val="24"/>
                <w:szCs w:val="24"/>
                <w:lang w:val="en-GB"/>
              </w:rPr>
              <w:t>S</w:t>
            </w:r>
            <w:r w:rsidR="00DD2461" w:rsidRPr="000425DF">
              <w:rPr>
                <w:rFonts w:asciiTheme="majorBidi" w:hAnsiTheme="majorBidi" w:cstheme="majorBidi"/>
                <w:noProof w:val="0"/>
                <w:color w:val="000000"/>
                <w:sz w:val="24"/>
                <w:szCs w:val="24"/>
                <w:lang w:val="en-GB"/>
              </w:rPr>
              <w:t>LTCI</w:t>
            </w:r>
            <w:r w:rsidRPr="000425DF">
              <w:rPr>
                <w:rFonts w:asciiTheme="majorBidi" w:hAnsiTheme="majorBidi" w:cstheme="majorBidi"/>
                <w:noProof w:val="0"/>
                <w:color w:val="000000"/>
                <w:sz w:val="24"/>
                <w:szCs w:val="24"/>
                <w:lang w:val="en-GB"/>
              </w:rPr>
              <w:t xml:space="preserve"> system</w:t>
            </w:r>
            <w:r w:rsidR="00DD2461" w:rsidRPr="000425DF">
              <w:rPr>
                <w:rFonts w:asciiTheme="majorBidi" w:hAnsiTheme="majorBidi" w:cstheme="majorBidi"/>
                <w:noProof w:val="0"/>
                <w:color w:val="000000"/>
                <w:sz w:val="24"/>
                <w:szCs w:val="24"/>
                <w:lang w:val="en-GB"/>
              </w:rPr>
              <w:t>, in-kind services for home and community care are the main benefit (cash benefits are only granted in exceptional circumstances).</w:t>
            </w:r>
          </w:p>
          <w:p w14:paraId="60ABD27D" w14:textId="676BB8D6" w:rsidR="006241BE" w:rsidRPr="000425DF" w:rsidRDefault="00DD2461" w:rsidP="00DD2461">
            <w:pPr>
              <w:rPr>
                <w:rFonts w:asciiTheme="majorBidi" w:hAnsiTheme="majorBidi" w:cstheme="majorBidi"/>
                <w:noProof w:val="0"/>
                <w:color w:val="000000"/>
                <w:sz w:val="24"/>
                <w:szCs w:val="24"/>
                <w:lang w:val="en-GB"/>
              </w:rPr>
            </w:pPr>
            <w:r w:rsidRPr="000425DF">
              <w:rPr>
                <w:rFonts w:asciiTheme="majorBidi" w:hAnsiTheme="majorBidi" w:cstheme="majorBidi"/>
                <w:noProof w:val="0"/>
                <w:color w:val="000000"/>
                <w:sz w:val="24"/>
                <w:szCs w:val="24"/>
                <w:lang w:val="en-GB"/>
              </w:rPr>
              <w:t>Care is provided by societal and private for-profit actors only (not by state agencies). At implementation in 1988, 82% of home care were delivered by non-profit organisations (mostly voluntary non-profit organisations) and 18% by for-profit organisations (Schmid 2005).</w:t>
            </w:r>
          </w:p>
          <w:p w14:paraId="3AB70144" w14:textId="77777777" w:rsidR="00DD2461" w:rsidRPr="000425DF" w:rsidRDefault="006241BE" w:rsidP="00DD2461">
            <w:pPr>
              <w:rPr>
                <w:rFonts w:asciiTheme="majorBidi" w:hAnsiTheme="majorBidi" w:cstheme="majorBidi"/>
                <w:noProof w:val="0"/>
                <w:color w:val="000000"/>
                <w:sz w:val="24"/>
                <w:szCs w:val="24"/>
                <w:lang w:val="en-GB"/>
              </w:rPr>
            </w:pPr>
            <w:r w:rsidRPr="000425DF">
              <w:rPr>
                <w:rFonts w:asciiTheme="majorBidi" w:hAnsiTheme="majorBidi" w:cstheme="majorBidi"/>
                <w:noProof w:val="0"/>
                <w:color w:val="000000"/>
                <w:sz w:val="24"/>
                <w:szCs w:val="24"/>
                <w:lang w:val="en-GB"/>
              </w:rPr>
              <w:t>(Later, a</w:t>
            </w:r>
            <w:r w:rsidR="00DD2461" w:rsidRPr="000425DF">
              <w:rPr>
                <w:rFonts w:asciiTheme="majorBidi" w:hAnsiTheme="majorBidi" w:cstheme="majorBidi"/>
                <w:noProof w:val="0"/>
                <w:color w:val="000000"/>
                <w:sz w:val="24"/>
                <w:szCs w:val="24"/>
                <w:lang w:val="en-GB"/>
              </w:rPr>
              <w:t>t the beginning of the 1990s, the share of non- and for-profit organisations was approximately equal and later in the 2000s for-profit organisations became dominant.</w:t>
            </w:r>
            <w:r w:rsidRPr="000425DF">
              <w:rPr>
                <w:rFonts w:asciiTheme="majorBidi" w:hAnsiTheme="majorBidi" w:cstheme="majorBidi"/>
                <w:noProof w:val="0"/>
                <w:color w:val="000000"/>
                <w:sz w:val="24"/>
                <w:szCs w:val="24"/>
                <w:lang w:val="en-GB"/>
              </w:rPr>
              <w:t>)</w:t>
            </w:r>
          </w:p>
        </w:tc>
        <w:tc>
          <w:tcPr>
            <w:tcW w:w="2821" w:type="dxa"/>
            <w:shd w:val="clear" w:color="auto" w:fill="auto"/>
          </w:tcPr>
          <w:p w14:paraId="19B87136" w14:textId="22FDD69A" w:rsidR="00DD2461" w:rsidRPr="000425DF" w:rsidRDefault="00F63F5D" w:rsidP="00CB4FA3">
            <w:pPr>
              <w:rPr>
                <w:rFonts w:asciiTheme="majorBidi" w:hAnsiTheme="majorBidi" w:cstheme="majorBidi"/>
                <w:noProof w:val="0"/>
                <w:color w:val="000000"/>
                <w:sz w:val="24"/>
                <w:szCs w:val="24"/>
                <w:lang w:val="en-GB"/>
              </w:rPr>
            </w:pPr>
            <w:r>
              <w:rPr>
                <w:rFonts w:asciiTheme="majorBidi" w:hAnsiTheme="majorBidi" w:cstheme="majorBidi"/>
                <w:color w:val="000000"/>
                <w:sz w:val="24"/>
                <w:szCs w:val="24"/>
                <w:lang w:val="en-GB"/>
              </w:rPr>
              <w:t>Ajzenstadt &amp; Rosenhek, 2000; Borowski &amp; Schmid, 2001; Brodsky &amp; Naon, 1993; Morginstin, Baich-Moray, &amp; Zipkin, 1993; Schmid, 2005</w:t>
            </w:r>
          </w:p>
        </w:tc>
        <w:tc>
          <w:tcPr>
            <w:tcW w:w="1275" w:type="dxa"/>
            <w:shd w:val="clear" w:color="auto" w:fill="auto"/>
          </w:tcPr>
          <w:p w14:paraId="53DBE07C" w14:textId="77777777" w:rsidR="00DD2461" w:rsidRPr="000425DF" w:rsidRDefault="00DD2461" w:rsidP="00DD2461">
            <w:pPr>
              <w:rPr>
                <w:rFonts w:asciiTheme="majorBidi" w:hAnsiTheme="majorBidi" w:cstheme="majorBidi"/>
                <w:noProof w:val="0"/>
                <w:color w:val="000000"/>
                <w:sz w:val="24"/>
                <w:szCs w:val="24"/>
                <w:lang w:val="en-GB"/>
              </w:rPr>
            </w:pPr>
            <w:r w:rsidRPr="000425DF">
              <w:rPr>
                <w:rFonts w:asciiTheme="majorBidi" w:hAnsiTheme="majorBidi" w:cstheme="majorBidi"/>
                <w:noProof w:val="0"/>
                <w:color w:val="000000"/>
                <w:sz w:val="24"/>
                <w:szCs w:val="24"/>
                <w:lang w:val="en-GB"/>
              </w:rPr>
              <w:t> </w:t>
            </w:r>
            <w:r w:rsidR="006241BE" w:rsidRPr="000425DF">
              <w:rPr>
                <w:rFonts w:asciiTheme="majorBidi" w:hAnsiTheme="majorBidi" w:cstheme="majorBidi"/>
                <w:noProof w:val="0"/>
                <w:color w:val="000000"/>
                <w:sz w:val="24"/>
                <w:szCs w:val="24"/>
                <w:lang w:val="en-GB"/>
              </w:rPr>
              <w:t>Medium</w:t>
            </w:r>
          </w:p>
        </w:tc>
        <w:tc>
          <w:tcPr>
            <w:tcW w:w="706" w:type="dxa"/>
            <w:shd w:val="clear" w:color="auto" w:fill="auto"/>
          </w:tcPr>
          <w:p w14:paraId="353FD3E8" w14:textId="77777777" w:rsidR="00DD2461" w:rsidRPr="000425DF" w:rsidRDefault="006241BE" w:rsidP="00DD2461">
            <w:pPr>
              <w:rPr>
                <w:rFonts w:asciiTheme="majorBidi" w:hAnsiTheme="majorBidi" w:cstheme="majorBidi"/>
                <w:noProof w:val="0"/>
                <w:color w:val="000000"/>
                <w:sz w:val="24"/>
                <w:szCs w:val="24"/>
                <w:lang w:val="en-GB"/>
              </w:rPr>
            </w:pPr>
            <w:r w:rsidRPr="000425DF">
              <w:rPr>
                <w:rFonts w:asciiTheme="majorBidi" w:hAnsiTheme="majorBidi" w:cstheme="majorBidi"/>
                <w:noProof w:val="0"/>
                <w:color w:val="000000"/>
                <w:sz w:val="24"/>
                <w:szCs w:val="24"/>
                <w:lang w:val="en-GB"/>
              </w:rPr>
              <w:t>0.0</w:t>
            </w:r>
          </w:p>
        </w:tc>
        <w:tc>
          <w:tcPr>
            <w:tcW w:w="707" w:type="dxa"/>
            <w:shd w:val="clear" w:color="auto" w:fill="auto"/>
          </w:tcPr>
          <w:p w14:paraId="6CB14378" w14:textId="77777777" w:rsidR="00DD2461" w:rsidRPr="00935C60" w:rsidRDefault="006241BE" w:rsidP="00DD2461">
            <w:pPr>
              <w:rPr>
                <w:rFonts w:asciiTheme="majorBidi" w:hAnsiTheme="majorBidi" w:cstheme="majorBidi"/>
                <w:noProof w:val="0"/>
                <w:color w:val="FF0000"/>
                <w:sz w:val="24"/>
                <w:szCs w:val="24"/>
                <w:lang w:val="en-GB"/>
              </w:rPr>
            </w:pPr>
            <w:r w:rsidRPr="00935C60">
              <w:rPr>
                <w:rFonts w:asciiTheme="majorBidi" w:hAnsiTheme="majorBidi" w:cstheme="majorBidi"/>
                <w:noProof w:val="0"/>
                <w:sz w:val="24"/>
                <w:szCs w:val="24"/>
                <w:lang w:val="en-GB"/>
              </w:rPr>
              <w:t>0.83</w:t>
            </w:r>
          </w:p>
        </w:tc>
        <w:tc>
          <w:tcPr>
            <w:tcW w:w="708" w:type="dxa"/>
            <w:shd w:val="clear" w:color="auto" w:fill="auto"/>
          </w:tcPr>
          <w:p w14:paraId="67764AC7" w14:textId="77777777" w:rsidR="00DD2461" w:rsidRPr="000425DF" w:rsidRDefault="006241BE" w:rsidP="00DD2461">
            <w:pPr>
              <w:rPr>
                <w:rFonts w:asciiTheme="majorBidi" w:hAnsiTheme="majorBidi" w:cstheme="majorBidi"/>
                <w:noProof w:val="0"/>
                <w:color w:val="FF0000"/>
                <w:sz w:val="24"/>
                <w:szCs w:val="24"/>
                <w:lang w:val="en-GB"/>
              </w:rPr>
            </w:pPr>
            <w:r w:rsidRPr="000425DF">
              <w:rPr>
                <w:rFonts w:asciiTheme="majorBidi" w:hAnsiTheme="majorBidi" w:cstheme="majorBidi"/>
                <w:noProof w:val="0"/>
                <w:sz w:val="24"/>
                <w:szCs w:val="24"/>
                <w:lang w:val="en-GB"/>
              </w:rPr>
              <w:t>0.17</w:t>
            </w:r>
          </w:p>
        </w:tc>
        <w:tc>
          <w:tcPr>
            <w:tcW w:w="708" w:type="dxa"/>
            <w:shd w:val="clear" w:color="auto" w:fill="auto"/>
          </w:tcPr>
          <w:p w14:paraId="401F9B9F" w14:textId="77777777" w:rsidR="00DD2461" w:rsidRPr="000425DF" w:rsidRDefault="006241BE" w:rsidP="00DD2461">
            <w:pPr>
              <w:rPr>
                <w:rFonts w:asciiTheme="majorBidi" w:hAnsiTheme="majorBidi" w:cstheme="majorBidi"/>
                <w:noProof w:val="0"/>
                <w:color w:val="000000"/>
                <w:sz w:val="24"/>
                <w:szCs w:val="24"/>
                <w:lang w:val="en-GB"/>
              </w:rPr>
            </w:pPr>
            <w:r w:rsidRPr="000425DF">
              <w:rPr>
                <w:rFonts w:asciiTheme="majorBidi" w:hAnsiTheme="majorBidi" w:cstheme="majorBidi"/>
                <w:noProof w:val="0"/>
                <w:color w:val="000000"/>
                <w:sz w:val="24"/>
                <w:szCs w:val="24"/>
                <w:lang w:val="en-GB"/>
              </w:rPr>
              <w:t>0.0</w:t>
            </w:r>
          </w:p>
        </w:tc>
      </w:tr>
      <w:tr w:rsidR="00412FBA" w:rsidRPr="000425DF" w14:paraId="2F64FFCD" w14:textId="77777777" w:rsidTr="00DD2461">
        <w:tc>
          <w:tcPr>
            <w:tcW w:w="1333" w:type="dxa"/>
            <w:shd w:val="clear" w:color="auto" w:fill="auto"/>
          </w:tcPr>
          <w:p w14:paraId="0A2765FF" w14:textId="66C4E3F5" w:rsidR="00935C60" w:rsidRPr="000425DF" w:rsidRDefault="00412FBA" w:rsidP="00935C60">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 xml:space="preserve">Israel </w:t>
            </w:r>
            <w:r w:rsidR="00935C60">
              <w:rPr>
                <w:rFonts w:asciiTheme="majorBidi" w:hAnsiTheme="majorBidi" w:cstheme="majorBidi"/>
                <w:noProof w:val="0"/>
                <w:color w:val="1F3864" w:themeColor="accent1" w:themeShade="80"/>
                <w:sz w:val="24"/>
                <w:szCs w:val="24"/>
                <w:lang w:val="en-GB"/>
              </w:rPr>
              <w:t>(today)</w:t>
            </w:r>
          </w:p>
        </w:tc>
        <w:tc>
          <w:tcPr>
            <w:tcW w:w="6479" w:type="dxa"/>
            <w:shd w:val="clear" w:color="auto" w:fill="auto"/>
          </w:tcPr>
          <w:p w14:paraId="47D6A7D0" w14:textId="0E320379" w:rsidR="00B7450F" w:rsidRPr="000425DF" w:rsidRDefault="00B135C7" w:rsidP="00DD2461">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 xml:space="preserve">For- and non-profit agencies are still the main providers of LTC. However, their shares have reversed. </w:t>
            </w:r>
            <w:r w:rsidR="002E740A" w:rsidRPr="000425DF">
              <w:rPr>
                <w:rFonts w:asciiTheme="majorBidi" w:hAnsiTheme="majorBidi" w:cstheme="majorBidi"/>
                <w:noProof w:val="0"/>
                <w:color w:val="1F3864" w:themeColor="accent1" w:themeShade="80"/>
                <w:sz w:val="24"/>
                <w:szCs w:val="24"/>
                <w:lang w:val="en-GB"/>
              </w:rPr>
              <w:t>In the late 2000s/ early 2010s, the market shares are ca. 30% non-profit and 70% for profit providers (Schmid 2009; Borowski 2015).</w:t>
            </w:r>
          </w:p>
          <w:p w14:paraId="2FBBEC22" w14:textId="50D05024" w:rsidR="00BF257F" w:rsidRPr="000425DF" w:rsidRDefault="00BF257F" w:rsidP="00DD2461">
            <w:pPr>
              <w:rPr>
                <w:rFonts w:asciiTheme="majorBidi" w:hAnsiTheme="majorBidi" w:cstheme="majorBidi"/>
                <w:noProof w:val="0"/>
                <w:color w:val="1F3864" w:themeColor="accent1" w:themeShade="80"/>
                <w:sz w:val="24"/>
                <w:szCs w:val="24"/>
                <w:lang w:val="en-GB"/>
              </w:rPr>
            </w:pPr>
          </w:p>
          <w:p w14:paraId="2480AFCB" w14:textId="0B98A94F" w:rsidR="00E86260" w:rsidRPr="000425DF" w:rsidRDefault="00DB47BD" w:rsidP="00F42767">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The option of receiving cash-benefits was expanded during a regional pilot program running from 2008-2013. However, around 2010 the less than 1% of recipients overall received cash-benefits (</w:t>
            </w:r>
            <w:proofErr w:type="spellStart"/>
            <w:r w:rsidRPr="000425DF">
              <w:rPr>
                <w:rFonts w:asciiTheme="majorBidi" w:hAnsiTheme="majorBidi" w:cstheme="majorBidi"/>
                <w:noProof w:val="0"/>
                <w:color w:val="1F3864" w:themeColor="accent1" w:themeShade="80"/>
                <w:sz w:val="24"/>
                <w:szCs w:val="24"/>
                <w:lang w:val="en-GB"/>
              </w:rPr>
              <w:t>Asiskovitch</w:t>
            </w:r>
            <w:proofErr w:type="spellEnd"/>
            <w:r w:rsidRPr="000425DF">
              <w:rPr>
                <w:rFonts w:asciiTheme="majorBidi" w:hAnsiTheme="majorBidi" w:cstheme="majorBidi"/>
                <w:noProof w:val="0"/>
                <w:color w:val="1F3864" w:themeColor="accent1" w:themeShade="80"/>
                <w:sz w:val="24"/>
                <w:szCs w:val="24"/>
                <w:lang w:val="en-GB"/>
              </w:rPr>
              <w:t xml:space="preserve"> 2013). In 2018, a reform of the SLTCI was passed which will offer a regular choice between cash and in-kind benefits (Ayalon 2018; Hasson </w:t>
            </w:r>
            <w:r w:rsidR="00233A1E" w:rsidRPr="000425DF">
              <w:rPr>
                <w:rFonts w:asciiTheme="majorBidi" w:hAnsiTheme="majorBidi" w:cstheme="majorBidi"/>
                <w:noProof w:val="0"/>
                <w:color w:val="1F3864" w:themeColor="accent1" w:themeShade="80"/>
                <w:sz w:val="24"/>
                <w:szCs w:val="24"/>
                <w:lang w:val="en-GB"/>
              </w:rPr>
              <w:t>and</w:t>
            </w:r>
            <w:r w:rsidRPr="000425DF">
              <w:rPr>
                <w:rFonts w:asciiTheme="majorBidi" w:hAnsiTheme="majorBidi" w:cstheme="majorBidi"/>
                <w:noProof w:val="0"/>
                <w:color w:val="1F3864" w:themeColor="accent1" w:themeShade="80"/>
                <w:sz w:val="24"/>
                <w:szCs w:val="24"/>
                <w:lang w:val="en-GB"/>
              </w:rPr>
              <w:t xml:space="preserve"> </w:t>
            </w:r>
            <w:proofErr w:type="spellStart"/>
            <w:r w:rsidRPr="000425DF">
              <w:rPr>
                <w:rFonts w:asciiTheme="majorBidi" w:hAnsiTheme="majorBidi" w:cstheme="majorBidi"/>
                <w:noProof w:val="0"/>
                <w:color w:val="1F3864" w:themeColor="accent1" w:themeShade="80"/>
                <w:sz w:val="24"/>
                <w:szCs w:val="24"/>
                <w:lang w:val="en-GB"/>
              </w:rPr>
              <w:t>Buzaglo</w:t>
            </w:r>
            <w:proofErr w:type="spellEnd"/>
            <w:r w:rsidRPr="000425DF">
              <w:rPr>
                <w:rFonts w:asciiTheme="majorBidi" w:hAnsiTheme="majorBidi" w:cstheme="majorBidi"/>
                <w:noProof w:val="0"/>
                <w:color w:val="1F3864" w:themeColor="accent1" w:themeShade="80"/>
                <w:sz w:val="24"/>
                <w:szCs w:val="24"/>
                <w:lang w:val="en-GB"/>
              </w:rPr>
              <w:t xml:space="preserve"> </w:t>
            </w:r>
            <w:r w:rsidRPr="000425DF">
              <w:rPr>
                <w:rFonts w:asciiTheme="majorBidi" w:hAnsiTheme="majorBidi" w:cstheme="majorBidi"/>
                <w:noProof w:val="0"/>
                <w:color w:val="1F3864" w:themeColor="accent1" w:themeShade="80"/>
                <w:sz w:val="24"/>
                <w:szCs w:val="24"/>
                <w:lang w:val="en-GB"/>
              </w:rPr>
              <w:lastRenderedPageBreak/>
              <w:t>2019). We will not consider th</w:t>
            </w:r>
            <w:r w:rsidR="00277725" w:rsidRPr="000425DF">
              <w:rPr>
                <w:rFonts w:asciiTheme="majorBidi" w:hAnsiTheme="majorBidi" w:cstheme="majorBidi"/>
                <w:noProof w:val="0"/>
                <w:color w:val="1F3864" w:themeColor="accent1" w:themeShade="80"/>
                <w:sz w:val="24"/>
                <w:szCs w:val="24"/>
                <w:lang w:val="en-GB"/>
              </w:rPr>
              <w:t>is</w:t>
            </w:r>
            <w:r w:rsidR="00F42767" w:rsidRPr="000425DF">
              <w:rPr>
                <w:rFonts w:asciiTheme="majorBidi" w:hAnsiTheme="majorBidi" w:cstheme="majorBidi"/>
                <w:noProof w:val="0"/>
                <w:color w:val="1F3864" w:themeColor="accent1" w:themeShade="80"/>
                <w:sz w:val="24"/>
                <w:szCs w:val="24"/>
                <w:lang w:val="en-GB"/>
              </w:rPr>
              <w:t xml:space="preserve"> new provision structure here as implementation is still too recent.</w:t>
            </w:r>
          </w:p>
        </w:tc>
        <w:tc>
          <w:tcPr>
            <w:tcW w:w="2821" w:type="dxa"/>
            <w:shd w:val="clear" w:color="auto" w:fill="auto"/>
          </w:tcPr>
          <w:p w14:paraId="77E4D583" w14:textId="4B8E808E" w:rsidR="00412FBA" w:rsidRPr="000425DF" w:rsidRDefault="00F63F5D" w:rsidP="0052333A">
            <w:pPr>
              <w:rPr>
                <w:rFonts w:asciiTheme="majorBidi" w:hAnsiTheme="majorBidi" w:cstheme="majorBidi"/>
                <w:noProof w:val="0"/>
                <w:color w:val="1F3864" w:themeColor="accent1" w:themeShade="80"/>
                <w:sz w:val="24"/>
                <w:szCs w:val="24"/>
                <w:lang w:val="en-GB"/>
              </w:rPr>
            </w:pPr>
            <w:r>
              <w:rPr>
                <w:rFonts w:asciiTheme="majorBidi" w:hAnsiTheme="majorBidi" w:cstheme="majorBidi"/>
                <w:color w:val="1F3864" w:themeColor="accent1" w:themeShade="80"/>
                <w:sz w:val="24"/>
                <w:szCs w:val="24"/>
                <w:lang w:val="en-GB"/>
              </w:rPr>
              <w:lastRenderedPageBreak/>
              <w:t>Asiskovitch, 2013; Ayalon, 2018; Borowski, 2015; Hasson &amp; Buzaglo, 2019; Schmid, 2009</w:t>
            </w:r>
          </w:p>
        </w:tc>
        <w:tc>
          <w:tcPr>
            <w:tcW w:w="1275" w:type="dxa"/>
            <w:shd w:val="clear" w:color="auto" w:fill="auto"/>
          </w:tcPr>
          <w:p w14:paraId="20DFE978" w14:textId="796AA6D0" w:rsidR="00412FBA" w:rsidRPr="000425DF" w:rsidRDefault="00DB47BD" w:rsidP="00DD2461">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High</w:t>
            </w:r>
          </w:p>
        </w:tc>
        <w:tc>
          <w:tcPr>
            <w:tcW w:w="706" w:type="dxa"/>
            <w:shd w:val="clear" w:color="auto" w:fill="auto"/>
          </w:tcPr>
          <w:p w14:paraId="490C6334" w14:textId="27EF1CBD" w:rsidR="00412FBA" w:rsidRPr="000425DF" w:rsidRDefault="00F42767" w:rsidP="00DD2461">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0.0</w:t>
            </w:r>
          </w:p>
        </w:tc>
        <w:tc>
          <w:tcPr>
            <w:tcW w:w="707" w:type="dxa"/>
            <w:shd w:val="clear" w:color="auto" w:fill="auto"/>
          </w:tcPr>
          <w:p w14:paraId="7B46AE15" w14:textId="497C6E23" w:rsidR="00412FBA" w:rsidRPr="00935C60" w:rsidRDefault="00F42767" w:rsidP="00DD2461">
            <w:pPr>
              <w:rPr>
                <w:rFonts w:asciiTheme="majorBidi" w:hAnsiTheme="majorBidi" w:cstheme="majorBidi"/>
                <w:noProof w:val="0"/>
                <w:color w:val="1F3864" w:themeColor="accent1" w:themeShade="80"/>
                <w:sz w:val="24"/>
                <w:szCs w:val="24"/>
                <w:lang w:val="en-GB"/>
              </w:rPr>
            </w:pPr>
            <w:r w:rsidRPr="00935C60">
              <w:rPr>
                <w:rFonts w:asciiTheme="majorBidi" w:hAnsiTheme="majorBidi" w:cstheme="majorBidi"/>
                <w:noProof w:val="0"/>
                <w:color w:val="1F3864" w:themeColor="accent1" w:themeShade="80"/>
                <w:sz w:val="24"/>
                <w:szCs w:val="24"/>
                <w:lang w:val="en-GB"/>
              </w:rPr>
              <w:t>0.17</w:t>
            </w:r>
          </w:p>
        </w:tc>
        <w:tc>
          <w:tcPr>
            <w:tcW w:w="708" w:type="dxa"/>
            <w:shd w:val="clear" w:color="auto" w:fill="auto"/>
          </w:tcPr>
          <w:p w14:paraId="619166EB" w14:textId="2C6A590F" w:rsidR="00412FBA" w:rsidRPr="000425DF" w:rsidRDefault="00F42767" w:rsidP="00DD2461">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0.67</w:t>
            </w:r>
          </w:p>
        </w:tc>
        <w:tc>
          <w:tcPr>
            <w:tcW w:w="708" w:type="dxa"/>
            <w:shd w:val="clear" w:color="auto" w:fill="auto"/>
          </w:tcPr>
          <w:p w14:paraId="222638FD" w14:textId="4C884264" w:rsidR="00412FBA" w:rsidRPr="000425DF" w:rsidRDefault="00F42767" w:rsidP="00DD2461">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0.0</w:t>
            </w:r>
          </w:p>
        </w:tc>
      </w:tr>
      <w:tr w:rsidR="00DD2461" w:rsidRPr="000425DF" w14:paraId="7126F057" w14:textId="77777777" w:rsidTr="00DD2461">
        <w:tc>
          <w:tcPr>
            <w:tcW w:w="1333" w:type="dxa"/>
            <w:shd w:val="clear" w:color="auto" w:fill="auto"/>
          </w:tcPr>
          <w:p w14:paraId="396AB3E4" w14:textId="7822CB8F" w:rsidR="00DD2461" w:rsidRPr="000425DF" w:rsidRDefault="00DD2461" w:rsidP="00DD2461">
            <w:pPr>
              <w:spacing w:after="160" w:line="259" w:lineRule="auto"/>
              <w:rPr>
                <w:rFonts w:asciiTheme="majorBidi" w:hAnsiTheme="majorBidi" w:cstheme="majorBidi"/>
                <w:noProof w:val="0"/>
                <w:sz w:val="24"/>
                <w:szCs w:val="24"/>
                <w:lang w:val="en-GB"/>
              </w:rPr>
            </w:pPr>
            <w:r w:rsidRPr="000425DF">
              <w:rPr>
                <w:rFonts w:asciiTheme="majorBidi" w:hAnsiTheme="majorBidi" w:cstheme="majorBidi"/>
                <w:noProof w:val="0"/>
                <w:sz w:val="24"/>
                <w:szCs w:val="24"/>
                <w:lang w:val="en-GB"/>
              </w:rPr>
              <w:t>Japan</w:t>
            </w:r>
            <w:r w:rsidR="00BC4D21" w:rsidRPr="000425DF">
              <w:rPr>
                <w:rFonts w:asciiTheme="majorBidi" w:hAnsiTheme="majorBidi" w:cstheme="majorBidi"/>
                <w:noProof w:val="0"/>
                <w:sz w:val="24"/>
                <w:szCs w:val="24"/>
                <w:lang w:val="en-GB"/>
              </w:rPr>
              <w:t xml:space="preserve"> </w:t>
            </w:r>
            <w:r w:rsidR="00935C60">
              <w:rPr>
                <w:rFonts w:asciiTheme="majorBidi" w:hAnsiTheme="majorBidi" w:cstheme="majorBidi"/>
                <w:noProof w:val="0"/>
                <w:sz w:val="24"/>
                <w:szCs w:val="24"/>
                <w:lang w:val="en-GB"/>
              </w:rPr>
              <w:t>(introduction)</w:t>
            </w:r>
          </w:p>
        </w:tc>
        <w:tc>
          <w:tcPr>
            <w:tcW w:w="6479" w:type="dxa"/>
            <w:shd w:val="clear" w:color="auto" w:fill="auto"/>
          </w:tcPr>
          <w:p w14:paraId="3E05FE5B" w14:textId="4F504211" w:rsidR="00567E07" w:rsidRPr="000425DF" w:rsidRDefault="00DD2461" w:rsidP="00DD2461">
            <w:pPr>
              <w:rPr>
                <w:rFonts w:asciiTheme="majorBidi" w:hAnsiTheme="majorBidi" w:cstheme="majorBidi"/>
                <w:noProof w:val="0"/>
                <w:sz w:val="24"/>
                <w:szCs w:val="24"/>
                <w:lang w:val="en-GB"/>
              </w:rPr>
            </w:pPr>
            <w:r w:rsidRPr="000425DF">
              <w:rPr>
                <w:rFonts w:asciiTheme="majorBidi" w:hAnsiTheme="majorBidi" w:cstheme="majorBidi"/>
                <w:noProof w:val="0"/>
                <w:sz w:val="24"/>
                <w:szCs w:val="24"/>
                <w:lang w:val="en-GB"/>
              </w:rPr>
              <w:t>The LTCI offers in-kind benefits, both for home</w:t>
            </w:r>
            <w:r w:rsidR="006241BE" w:rsidRPr="000425DF">
              <w:rPr>
                <w:rFonts w:asciiTheme="majorBidi" w:hAnsiTheme="majorBidi" w:cstheme="majorBidi"/>
                <w:noProof w:val="0"/>
                <w:sz w:val="24"/>
                <w:szCs w:val="24"/>
                <w:lang w:val="en-GB"/>
              </w:rPr>
              <w:t xml:space="preserve"> and </w:t>
            </w:r>
            <w:r w:rsidRPr="000425DF">
              <w:rPr>
                <w:rFonts w:asciiTheme="majorBidi" w:hAnsiTheme="majorBidi" w:cstheme="majorBidi"/>
                <w:noProof w:val="0"/>
                <w:sz w:val="24"/>
                <w:szCs w:val="24"/>
                <w:lang w:val="en-GB"/>
              </w:rPr>
              <w:t>community and residential care.</w:t>
            </w:r>
          </w:p>
          <w:p w14:paraId="5503566D" w14:textId="644CCC45" w:rsidR="00567E07" w:rsidRPr="000425DF" w:rsidRDefault="00567E07" w:rsidP="00DD2461">
            <w:pPr>
              <w:rPr>
                <w:rFonts w:asciiTheme="majorBidi" w:hAnsiTheme="majorBidi" w:cstheme="majorBidi"/>
                <w:noProof w:val="0"/>
                <w:sz w:val="24"/>
                <w:szCs w:val="24"/>
                <w:lang w:val="en-GB"/>
              </w:rPr>
            </w:pPr>
            <w:r w:rsidRPr="000425DF">
              <w:rPr>
                <w:rFonts w:asciiTheme="majorBidi" w:hAnsiTheme="majorBidi" w:cstheme="majorBidi"/>
                <w:noProof w:val="0"/>
                <w:sz w:val="24"/>
                <w:szCs w:val="24"/>
                <w:lang w:val="en-GB"/>
              </w:rPr>
              <w:t>In 2000, the user shares of benefit types were the following (Ikegami 2021):</w:t>
            </w:r>
          </w:p>
          <w:p w14:paraId="0EF7DEDA" w14:textId="2670D118" w:rsidR="00567E07" w:rsidRPr="000425DF" w:rsidRDefault="00567E07" w:rsidP="00DD2461">
            <w:pPr>
              <w:rPr>
                <w:rFonts w:asciiTheme="majorBidi" w:hAnsiTheme="majorBidi" w:cstheme="majorBidi"/>
                <w:noProof w:val="0"/>
                <w:sz w:val="24"/>
                <w:szCs w:val="24"/>
                <w:lang w:val="en-GB"/>
              </w:rPr>
            </w:pPr>
            <w:r w:rsidRPr="000425DF">
              <w:rPr>
                <w:rFonts w:asciiTheme="majorBidi" w:hAnsiTheme="majorBidi" w:cstheme="majorBidi"/>
                <w:noProof w:val="0"/>
                <w:sz w:val="24"/>
                <w:szCs w:val="24"/>
                <w:lang w:val="en-GB"/>
              </w:rPr>
              <w:t>Home help: 25%</w:t>
            </w:r>
          </w:p>
          <w:p w14:paraId="51124D6D" w14:textId="0F12F313" w:rsidR="00567E07" w:rsidRPr="000425DF" w:rsidRDefault="00567E07" w:rsidP="00DD2461">
            <w:pPr>
              <w:rPr>
                <w:rFonts w:asciiTheme="majorBidi" w:hAnsiTheme="majorBidi" w:cstheme="majorBidi"/>
                <w:noProof w:val="0"/>
                <w:sz w:val="24"/>
                <w:szCs w:val="24"/>
                <w:lang w:val="en-GB"/>
              </w:rPr>
            </w:pPr>
            <w:r w:rsidRPr="000425DF">
              <w:rPr>
                <w:rFonts w:asciiTheme="majorBidi" w:hAnsiTheme="majorBidi" w:cstheme="majorBidi"/>
                <w:noProof w:val="0"/>
                <w:sz w:val="24"/>
                <w:szCs w:val="24"/>
                <w:lang w:val="en-GB"/>
              </w:rPr>
              <w:t>Day care: 34.6%</w:t>
            </w:r>
          </w:p>
          <w:p w14:paraId="6503C66A" w14:textId="632C4C95" w:rsidR="00567E07" w:rsidRPr="000425DF" w:rsidRDefault="00567E07" w:rsidP="00DD2461">
            <w:pPr>
              <w:rPr>
                <w:rFonts w:asciiTheme="majorBidi" w:hAnsiTheme="majorBidi" w:cstheme="majorBidi"/>
                <w:noProof w:val="0"/>
                <w:sz w:val="24"/>
                <w:szCs w:val="24"/>
                <w:lang w:val="en-GB"/>
              </w:rPr>
            </w:pPr>
            <w:r w:rsidRPr="000425DF">
              <w:rPr>
                <w:rFonts w:asciiTheme="majorBidi" w:hAnsiTheme="majorBidi" w:cstheme="majorBidi"/>
                <w:noProof w:val="0"/>
                <w:sz w:val="24"/>
                <w:szCs w:val="24"/>
                <w:lang w:val="en-GB"/>
              </w:rPr>
              <w:t>Visiting nurse: 11.4%</w:t>
            </w:r>
          </w:p>
          <w:p w14:paraId="3582EAA3" w14:textId="5CB641E7" w:rsidR="00567E07" w:rsidRPr="000425DF" w:rsidRDefault="00567E07" w:rsidP="00567E07">
            <w:pPr>
              <w:pStyle w:val="Listenabsatz"/>
              <w:numPr>
                <w:ilvl w:val="0"/>
                <w:numId w:val="3"/>
              </w:numPr>
              <w:rPr>
                <w:rFonts w:asciiTheme="majorBidi" w:hAnsiTheme="majorBidi" w:cstheme="majorBidi"/>
                <w:noProof w:val="0"/>
                <w:sz w:val="24"/>
                <w:szCs w:val="24"/>
                <w:lang w:val="en-GB"/>
              </w:rPr>
            </w:pPr>
            <w:r w:rsidRPr="000425DF">
              <w:rPr>
                <w:rFonts w:asciiTheme="majorBidi" w:hAnsiTheme="majorBidi" w:cstheme="majorBidi"/>
                <w:noProof w:val="0"/>
                <w:sz w:val="24"/>
                <w:szCs w:val="24"/>
                <w:lang w:val="en-GB"/>
              </w:rPr>
              <w:t>Home and community services total: 71%</w:t>
            </w:r>
          </w:p>
          <w:p w14:paraId="570B12F5" w14:textId="61C79B07" w:rsidR="00567E07" w:rsidRPr="000425DF" w:rsidRDefault="00567E07" w:rsidP="00567E07">
            <w:pPr>
              <w:rPr>
                <w:rFonts w:asciiTheme="majorBidi" w:hAnsiTheme="majorBidi" w:cstheme="majorBidi"/>
                <w:noProof w:val="0"/>
                <w:sz w:val="24"/>
                <w:szCs w:val="24"/>
                <w:lang w:val="en-GB"/>
              </w:rPr>
            </w:pPr>
            <w:r w:rsidRPr="000425DF">
              <w:rPr>
                <w:rFonts w:asciiTheme="majorBidi" w:hAnsiTheme="majorBidi" w:cstheme="majorBidi"/>
                <w:noProof w:val="0"/>
                <w:sz w:val="24"/>
                <w:szCs w:val="24"/>
                <w:lang w:val="en-GB"/>
              </w:rPr>
              <w:t>Institutional care: 29%</w:t>
            </w:r>
          </w:p>
          <w:p w14:paraId="4D83F6C3" w14:textId="1846F206" w:rsidR="00A14265" w:rsidRPr="000425DF" w:rsidRDefault="00DD2461" w:rsidP="00DD2461">
            <w:pPr>
              <w:rPr>
                <w:rFonts w:asciiTheme="majorBidi" w:hAnsiTheme="majorBidi" w:cstheme="majorBidi"/>
                <w:noProof w:val="0"/>
                <w:sz w:val="24"/>
                <w:szCs w:val="24"/>
                <w:lang w:val="en-GB"/>
              </w:rPr>
            </w:pPr>
            <w:r w:rsidRPr="000425DF">
              <w:rPr>
                <w:rFonts w:asciiTheme="majorBidi" w:hAnsiTheme="majorBidi" w:cstheme="majorBidi"/>
                <w:noProof w:val="0"/>
                <w:sz w:val="24"/>
                <w:szCs w:val="24"/>
                <w:lang w:val="en-GB"/>
              </w:rPr>
              <w:br/>
              <w:t>In the home care sector, all types of (formal) providers (state, societal, private for-profit) are allowed, in residential care delivery is restricted to public agencies (state and societal actors). In 2005, shares of actor types in home help services were the following (Saito 2014):</w:t>
            </w:r>
            <w:r w:rsidRPr="000425DF">
              <w:rPr>
                <w:rFonts w:asciiTheme="majorBidi" w:hAnsiTheme="majorBidi" w:cstheme="majorBidi"/>
                <w:noProof w:val="0"/>
                <w:sz w:val="24"/>
                <w:szCs w:val="24"/>
                <w:lang w:val="en-GB"/>
              </w:rPr>
              <w:br/>
              <w:t>Municipalities: 0.7%</w:t>
            </w:r>
            <w:r w:rsidRPr="000425DF">
              <w:rPr>
                <w:rFonts w:asciiTheme="majorBidi" w:hAnsiTheme="majorBidi" w:cstheme="majorBidi"/>
                <w:noProof w:val="0"/>
                <w:sz w:val="24"/>
                <w:szCs w:val="24"/>
                <w:lang w:val="en-GB"/>
              </w:rPr>
              <w:br/>
              <w:t>Societal actors/non-profit (social welfare corporations, medical corporations, NPO, agricultural cooperatives): 43.2%</w:t>
            </w:r>
            <w:r w:rsidRPr="000425DF">
              <w:rPr>
                <w:rFonts w:asciiTheme="majorBidi" w:hAnsiTheme="majorBidi" w:cstheme="majorBidi"/>
                <w:noProof w:val="0"/>
                <w:sz w:val="24"/>
                <w:szCs w:val="24"/>
                <w:lang w:val="en-GB"/>
              </w:rPr>
              <w:br/>
              <w:t>For-profit organisations: 53.9%</w:t>
            </w:r>
            <w:r w:rsidRPr="000425DF">
              <w:rPr>
                <w:rFonts w:asciiTheme="majorBidi" w:hAnsiTheme="majorBidi" w:cstheme="majorBidi"/>
                <w:noProof w:val="0"/>
                <w:sz w:val="24"/>
                <w:szCs w:val="24"/>
                <w:lang w:val="en-GB"/>
              </w:rPr>
              <w:br/>
              <w:t>Others: 2.3%</w:t>
            </w:r>
            <w:r w:rsidRPr="000425DF">
              <w:rPr>
                <w:rFonts w:asciiTheme="majorBidi" w:hAnsiTheme="majorBidi" w:cstheme="majorBidi"/>
                <w:noProof w:val="0"/>
                <w:sz w:val="24"/>
                <w:szCs w:val="24"/>
                <w:lang w:val="en-GB"/>
              </w:rPr>
              <w:br/>
              <w:t xml:space="preserve">Residential care is provided 70-90% </w:t>
            </w:r>
            <w:r w:rsidR="00A14265" w:rsidRPr="000425DF">
              <w:rPr>
                <w:rFonts w:asciiTheme="majorBidi" w:hAnsiTheme="majorBidi" w:cstheme="majorBidi"/>
                <w:noProof w:val="0"/>
                <w:sz w:val="24"/>
                <w:szCs w:val="24"/>
                <w:lang w:val="en-GB"/>
              </w:rPr>
              <w:t xml:space="preserve">(depending on type) </w:t>
            </w:r>
            <w:r w:rsidRPr="000425DF">
              <w:rPr>
                <w:rFonts w:asciiTheme="majorBidi" w:hAnsiTheme="majorBidi" w:cstheme="majorBidi"/>
                <w:noProof w:val="0"/>
                <w:sz w:val="24"/>
                <w:szCs w:val="24"/>
                <w:lang w:val="en-GB"/>
              </w:rPr>
              <w:t>by traditional non-profit providers (Saito</w:t>
            </w:r>
            <w:r w:rsidR="0052333A" w:rsidRPr="000425DF">
              <w:rPr>
                <w:rFonts w:asciiTheme="majorBidi" w:hAnsiTheme="majorBidi" w:cstheme="majorBidi"/>
                <w:noProof w:val="0"/>
                <w:sz w:val="24"/>
                <w:szCs w:val="24"/>
                <w:lang w:val="en-GB"/>
              </w:rPr>
              <w:t xml:space="preserve"> </w:t>
            </w:r>
            <w:r w:rsidRPr="000425DF">
              <w:rPr>
                <w:rFonts w:asciiTheme="majorBidi" w:hAnsiTheme="majorBidi" w:cstheme="majorBidi"/>
                <w:noProof w:val="0"/>
                <w:sz w:val="24"/>
                <w:szCs w:val="24"/>
                <w:lang w:val="en-GB"/>
              </w:rPr>
              <w:t>2014).</w:t>
            </w:r>
          </w:p>
          <w:p w14:paraId="0DFFAB4A" w14:textId="245AE46A" w:rsidR="00567E07" w:rsidRPr="000425DF" w:rsidRDefault="00567E07" w:rsidP="00DD2461">
            <w:pPr>
              <w:rPr>
                <w:rFonts w:asciiTheme="majorBidi" w:hAnsiTheme="majorBidi" w:cstheme="majorBidi"/>
                <w:noProof w:val="0"/>
                <w:sz w:val="24"/>
                <w:szCs w:val="24"/>
                <w:lang w:val="en-GB"/>
              </w:rPr>
            </w:pPr>
          </w:p>
          <w:p w14:paraId="11C2A3B9" w14:textId="3A804B91" w:rsidR="00567E07" w:rsidRPr="000425DF" w:rsidRDefault="00567E07" w:rsidP="00567E07">
            <w:pPr>
              <w:rPr>
                <w:rFonts w:asciiTheme="majorBidi" w:hAnsiTheme="majorBidi" w:cstheme="majorBidi"/>
                <w:noProof w:val="0"/>
                <w:sz w:val="24"/>
                <w:szCs w:val="24"/>
                <w:lang w:val="en-GB"/>
              </w:rPr>
            </w:pPr>
            <w:r w:rsidRPr="000425DF">
              <w:rPr>
                <w:rFonts w:asciiTheme="majorBidi" w:hAnsiTheme="majorBidi" w:cstheme="majorBidi"/>
                <w:noProof w:val="0"/>
                <w:sz w:val="24"/>
                <w:szCs w:val="24"/>
                <w:lang w:val="en-GB"/>
              </w:rPr>
              <w:t>Ikegami (2021) specifies the share of users serviced by for-profit providers in different home-based care services 2000 as follows:</w:t>
            </w:r>
          </w:p>
          <w:p w14:paraId="730FA720" w14:textId="68C6F04E" w:rsidR="00567E07" w:rsidRPr="000425DF" w:rsidRDefault="00567E07" w:rsidP="00567E07">
            <w:pPr>
              <w:rPr>
                <w:rFonts w:asciiTheme="majorBidi" w:hAnsiTheme="majorBidi" w:cstheme="majorBidi"/>
                <w:noProof w:val="0"/>
                <w:sz w:val="24"/>
                <w:szCs w:val="24"/>
                <w:lang w:val="en-GB"/>
              </w:rPr>
            </w:pPr>
            <w:r w:rsidRPr="000425DF">
              <w:rPr>
                <w:rFonts w:asciiTheme="majorBidi" w:hAnsiTheme="majorBidi" w:cstheme="majorBidi"/>
                <w:noProof w:val="0"/>
                <w:sz w:val="24"/>
                <w:szCs w:val="24"/>
                <w:lang w:val="en-GB"/>
              </w:rPr>
              <w:t>Home help: 30.3%</w:t>
            </w:r>
          </w:p>
          <w:p w14:paraId="3A8B7C4C" w14:textId="16309414" w:rsidR="00567E07" w:rsidRPr="000425DF" w:rsidRDefault="00567E07" w:rsidP="00567E07">
            <w:pPr>
              <w:rPr>
                <w:rFonts w:asciiTheme="majorBidi" w:hAnsiTheme="majorBidi" w:cstheme="majorBidi"/>
                <w:noProof w:val="0"/>
                <w:sz w:val="24"/>
                <w:szCs w:val="24"/>
                <w:lang w:val="en-GB"/>
              </w:rPr>
            </w:pPr>
            <w:r w:rsidRPr="000425DF">
              <w:rPr>
                <w:rFonts w:asciiTheme="majorBidi" w:hAnsiTheme="majorBidi" w:cstheme="majorBidi"/>
                <w:noProof w:val="0"/>
                <w:sz w:val="24"/>
                <w:szCs w:val="24"/>
                <w:lang w:val="en-GB"/>
              </w:rPr>
              <w:t>Day care: 4.5%</w:t>
            </w:r>
          </w:p>
          <w:p w14:paraId="142C4B40" w14:textId="348872B5" w:rsidR="00567E07" w:rsidRPr="000425DF" w:rsidRDefault="00567E07" w:rsidP="00567E07">
            <w:pPr>
              <w:rPr>
                <w:rFonts w:asciiTheme="majorBidi" w:hAnsiTheme="majorBidi" w:cstheme="majorBidi"/>
                <w:noProof w:val="0"/>
                <w:sz w:val="24"/>
                <w:szCs w:val="24"/>
                <w:lang w:val="en-GB"/>
              </w:rPr>
            </w:pPr>
            <w:r w:rsidRPr="000425DF">
              <w:rPr>
                <w:rFonts w:asciiTheme="majorBidi" w:hAnsiTheme="majorBidi" w:cstheme="majorBidi"/>
                <w:noProof w:val="0"/>
                <w:sz w:val="24"/>
                <w:szCs w:val="24"/>
                <w:lang w:val="en-GB"/>
              </w:rPr>
              <w:t>Visiting nurse: 6%</w:t>
            </w:r>
          </w:p>
          <w:p w14:paraId="5A9E74E0" w14:textId="77777777" w:rsidR="00A14265" w:rsidRPr="000425DF" w:rsidRDefault="00A14265" w:rsidP="00DD2461">
            <w:pPr>
              <w:rPr>
                <w:rFonts w:asciiTheme="majorBidi" w:hAnsiTheme="majorBidi" w:cstheme="majorBidi"/>
                <w:noProof w:val="0"/>
                <w:sz w:val="24"/>
                <w:szCs w:val="24"/>
                <w:lang w:val="en-GB"/>
              </w:rPr>
            </w:pPr>
          </w:p>
          <w:p w14:paraId="0BF68DA5" w14:textId="1EFCAADF" w:rsidR="00A14265" w:rsidRPr="000425DF" w:rsidRDefault="00A14265" w:rsidP="00DD2461">
            <w:pPr>
              <w:rPr>
                <w:rFonts w:asciiTheme="majorBidi" w:hAnsiTheme="majorBidi" w:cstheme="majorBidi"/>
                <w:noProof w:val="0"/>
                <w:sz w:val="24"/>
                <w:szCs w:val="24"/>
                <w:lang w:val="en-GB"/>
              </w:rPr>
            </w:pPr>
            <w:r w:rsidRPr="000425DF">
              <w:rPr>
                <w:rFonts w:asciiTheme="majorBidi" w:hAnsiTheme="majorBidi" w:cstheme="majorBidi"/>
                <w:noProof w:val="0"/>
                <w:sz w:val="24"/>
                <w:szCs w:val="24"/>
                <w:lang w:val="en-GB"/>
              </w:rPr>
              <w:lastRenderedPageBreak/>
              <w:t xml:space="preserve">Based on this data, overall actor shares </w:t>
            </w:r>
            <w:r w:rsidR="002F0BF9" w:rsidRPr="000425DF">
              <w:rPr>
                <w:rFonts w:asciiTheme="majorBidi" w:hAnsiTheme="majorBidi" w:cstheme="majorBidi"/>
                <w:noProof w:val="0"/>
                <w:sz w:val="24"/>
                <w:szCs w:val="24"/>
                <w:lang w:val="en-GB"/>
              </w:rPr>
              <w:t xml:space="preserve">for the mid-2000s </w:t>
            </w:r>
            <w:r w:rsidRPr="000425DF">
              <w:rPr>
                <w:rFonts w:asciiTheme="majorBidi" w:hAnsiTheme="majorBidi" w:cstheme="majorBidi"/>
                <w:noProof w:val="0"/>
                <w:sz w:val="24"/>
                <w:szCs w:val="24"/>
                <w:lang w:val="en-GB"/>
              </w:rPr>
              <w:t>are approximately the following</w:t>
            </w:r>
            <w:r w:rsidR="002F0BF9" w:rsidRPr="000425DF">
              <w:rPr>
                <w:rFonts w:asciiTheme="majorBidi" w:hAnsiTheme="majorBidi" w:cstheme="majorBidi"/>
                <w:noProof w:val="0"/>
                <w:sz w:val="24"/>
                <w:szCs w:val="24"/>
                <w:lang w:val="en-GB"/>
              </w:rPr>
              <w:t>.</w:t>
            </w:r>
          </w:p>
          <w:p w14:paraId="7D848101" w14:textId="16F1C895" w:rsidR="00BC4D21" w:rsidRPr="000425DF" w:rsidRDefault="00567E07" w:rsidP="00F655E3">
            <w:pPr>
              <w:rPr>
                <w:rFonts w:asciiTheme="majorBidi" w:hAnsiTheme="majorBidi" w:cstheme="majorBidi"/>
                <w:noProof w:val="0"/>
                <w:sz w:val="24"/>
                <w:szCs w:val="24"/>
                <w:lang w:val="en-GB"/>
              </w:rPr>
            </w:pPr>
            <w:r w:rsidRPr="000425DF">
              <w:rPr>
                <w:rFonts w:asciiTheme="majorBidi" w:hAnsiTheme="majorBidi" w:cstheme="majorBidi"/>
                <w:noProof w:val="0"/>
                <w:sz w:val="24"/>
                <w:szCs w:val="24"/>
                <w:lang w:val="en-GB"/>
              </w:rPr>
              <w:t>State:</w:t>
            </w:r>
            <w:r w:rsidR="002F0BF9" w:rsidRPr="000425DF">
              <w:rPr>
                <w:rFonts w:asciiTheme="majorBidi" w:hAnsiTheme="majorBidi" w:cstheme="majorBidi"/>
                <w:noProof w:val="0"/>
                <w:sz w:val="24"/>
                <w:szCs w:val="24"/>
                <w:lang w:val="en-GB"/>
              </w:rPr>
              <w:t xml:space="preserve"> below 10%</w:t>
            </w:r>
          </w:p>
          <w:p w14:paraId="5B02F1FD" w14:textId="47141189" w:rsidR="00567E07" w:rsidRPr="000425DF" w:rsidRDefault="00567E07" w:rsidP="00F655E3">
            <w:pPr>
              <w:rPr>
                <w:rFonts w:asciiTheme="majorBidi" w:hAnsiTheme="majorBidi" w:cstheme="majorBidi"/>
                <w:noProof w:val="0"/>
                <w:sz w:val="24"/>
                <w:szCs w:val="24"/>
                <w:lang w:val="en-GB"/>
              </w:rPr>
            </w:pPr>
            <w:r w:rsidRPr="000425DF">
              <w:rPr>
                <w:rFonts w:asciiTheme="majorBidi" w:hAnsiTheme="majorBidi" w:cstheme="majorBidi"/>
                <w:noProof w:val="0"/>
                <w:sz w:val="24"/>
                <w:szCs w:val="24"/>
                <w:lang w:val="en-GB"/>
              </w:rPr>
              <w:t>Non-profit</w:t>
            </w:r>
            <w:r w:rsidR="002F0BF9" w:rsidRPr="000425DF">
              <w:rPr>
                <w:rFonts w:asciiTheme="majorBidi" w:hAnsiTheme="majorBidi" w:cstheme="majorBidi"/>
                <w:noProof w:val="0"/>
                <w:sz w:val="24"/>
                <w:szCs w:val="24"/>
                <w:lang w:val="en-GB"/>
              </w:rPr>
              <w:t>: 51-60%</w:t>
            </w:r>
          </w:p>
          <w:p w14:paraId="07A83003" w14:textId="5E33ED13" w:rsidR="00BC4D21" w:rsidRPr="000425DF" w:rsidRDefault="00567E07" w:rsidP="002F0BF9">
            <w:pPr>
              <w:rPr>
                <w:rFonts w:asciiTheme="majorBidi" w:hAnsiTheme="majorBidi" w:cstheme="majorBidi"/>
                <w:noProof w:val="0"/>
                <w:sz w:val="24"/>
                <w:szCs w:val="24"/>
                <w:lang w:val="en-GB"/>
              </w:rPr>
            </w:pPr>
            <w:r w:rsidRPr="000425DF">
              <w:rPr>
                <w:rFonts w:asciiTheme="majorBidi" w:hAnsiTheme="majorBidi" w:cstheme="majorBidi"/>
                <w:noProof w:val="0"/>
                <w:sz w:val="24"/>
                <w:szCs w:val="24"/>
                <w:lang w:val="en-GB"/>
              </w:rPr>
              <w:t>For-profit:</w:t>
            </w:r>
            <w:r w:rsidR="002F0BF9" w:rsidRPr="000425DF">
              <w:rPr>
                <w:rFonts w:asciiTheme="majorBidi" w:hAnsiTheme="majorBidi" w:cstheme="majorBidi"/>
                <w:noProof w:val="0"/>
                <w:sz w:val="24"/>
                <w:szCs w:val="24"/>
                <w:lang w:val="en-GB"/>
              </w:rPr>
              <w:t xml:space="preserve"> 38%</w:t>
            </w:r>
          </w:p>
          <w:p w14:paraId="0AF36B6B" w14:textId="4106E017" w:rsidR="002F0BF9" w:rsidRPr="000425DF" w:rsidRDefault="00D150B0" w:rsidP="0052333A">
            <w:pPr>
              <w:rPr>
                <w:rFonts w:asciiTheme="majorBidi" w:hAnsiTheme="majorBidi" w:cstheme="majorBidi"/>
                <w:noProof w:val="0"/>
                <w:sz w:val="24"/>
                <w:szCs w:val="24"/>
                <w:lang w:val="en-GB"/>
              </w:rPr>
            </w:pPr>
            <w:r w:rsidRPr="000425DF">
              <w:rPr>
                <w:rFonts w:asciiTheme="majorBidi" w:hAnsiTheme="majorBidi" w:cstheme="majorBidi"/>
                <w:noProof w:val="0"/>
                <w:sz w:val="24"/>
                <w:szCs w:val="24"/>
                <w:lang w:val="en-GB"/>
              </w:rPr>
              <w:t>In 2000, the for-profit share was still at 10% (Ikegami 2021).</w:t>
            </w:r>
            <w:r w:rsidR="0052333A" w:rsidRPr="000425DF">
              <w:rPr>
                <w:rFonts w:asciiTheme="majorBidi" w:hAnsiTheme="majorBidi" w:cstheme="majorBidi"/>
                <w:noProof w:val="0"/>
                <w:sz w:val="24"/>
                <w:szCs w:val="24"/>
                <w:lang w:val="en-GB"/>
              </w:rPr>
              <w:t xml:space="preserve"> </w:t>
            </w:r>
            <w:r w:rsidRPr="000425DF">
              <w:rPr>
                <w:rFonts w:asciiTheme="majorBidi" w:hAnsiTheme="majorBidi" w:cstheme="majorBidi"/>
                <w:noProof w:val="0"/>
                <w:sz w:val="24"/>
                <w:szCs w:val="24"/>
                <w:lang w:val="en-GB"/>
              </w:rPr>
              <w:t>Therefore, we code</w:t>
            </w:r>
            <w:r w:rsidR="0052333A" w:rsidRPr="000425DF">
              <w:rPr>
                <w:rFonts w:asciiTheme="majorBidi" w:hAnsiTheme="majorBidi" w:cstheme="majorBidi"/>
                <w:noProof w:val="0"/>
                <w:sz w:val="24"/>
                <w:szCs w:val="24"/>
                <w:lang w:val="en-GB"/>
              </w:rPr>
              <w:t xml:space="preserve"> mostly not </w:t>
            </w:r>
            <w:r w:rsidRPr="000425DF">
              <w:rPr>
                <w:rFonts w:asciiTheme="majorBidi" w:hAnsiTheme="majorBidi" w:cstheme="majorBidi"/>
                <w:noProof w:val="0"/>
                <w:sz w:val="24"/>
                <w:szCs w:val="24"/>
                <w:lang w:val="en-GB"/>
              </w:rPr>
              <w:t>provided by for-profit actors (0.17).</w:t>
            </w:r>
          </w:p>
        </w:tc>
        <w:tc>
          <w:tcPr>
            <w:tcW w:w="2821" w:type="dxa"/>
            <w:shd w:val="clear" w:color="auto" w:fill="auto"/>
          </w:tcPr>
          <w:p w14:paraId="376CB0DA" w14:textId="4E170733" w:rsidR="00DD2461" w:rsidRPr="000425DF" w:rsidRDefault="00F63F5D" w:rsidP="00E41386">
            <w:pPr>
              <w:rPr>
                <w:rFonts w:asciiTheme="majorBidi" w:hAnsiTheme="majorBidi" w:cstheme="majorBidi"/>
                <w:noProof w:val="0"/>
                <w:color w:val="000000"/>
                <w:sz w:val="24"/>
                <w:szCs w:val="24"/>
                <w:lang w:val="en-GB"/>
              </w:rPr>
            </w:pPr>
            <w:r>
              <w:rPr>
                <w:rFonts w:asciiTheme="majorBidi" w:hAnsiTheme="majorBidi" w:cstheme="majorBidi"/>
                <w:color w:val="000000"/>
                <w:sz w:val="24"/>
                <w:szCs w:val="24"/>
                <w:lang w:val="en-GB"/>
              </w:rPr>
              <w:lastRenderedPageBreak/>
              <w:t>Campbell, 2014; Campbell &amp; Ikegami, 2003; Ikegami, 2021; Ozawa &amp; Nakayama, 2005; Saito, 2014</w:t>
            </w:r>
          </w:p>
        </w:tc>
        <w:tc>
          <w:tcPr>
            <w:tcW w:w="1275" w:type="dxa"/>
            <w:shd w:val="clear" w:color="auto" w:fill="auto"/>
          </w:tcPr>
          <w:p w14:paraId="5FC971E3" w14:textId="77777777" w:rsidR="00DD2461" w:rsidRPr="000425DF" w:rsidRDefault="00DD2461" w:rsidP="00DD2461">
            <w:pPr>
              <w:rPr>
                <w:rFonts w:asciiTheme="majorBidi" w:hAnsiTheme="majorBidi" w:cstheme="majorBidi"/>
                <w:noProof w:val="0"/>
                <w:color w:val="000000"/>
                <w:sz w:val="24"/>
                <w:szCs w:val="24"/>
                <w:lang w:val="en-GB"/>
              </w:rPr>
            </w:pPr>
            <w:r w:rsidRPr="000425DF">
              <w:rPr>
                <w:rFonts w:asciiTheme="majorBidi" w:hAnsiTheme="majorBidi" w:cstheme="majorBidi"/>
                <w:noProof w:val="0"/>
                <w:color w:val="000000"/>
                <w:sz w:val="24"/>
                <w:szCs w:val="24"/>
                <w:lang w:val="en-GB"/>
              </w:rPr>
              <w:t>Medium</w:t>
            </w:r>
          </w:p>
        </w:tc>
        <w:tc>
          <w:tcPr>
            <w:tcW w:w="706" w:type="dxa"/>
            <w:shd w:val="clear" w:color="auto" w:fill="auto"/>
          </w:tcPr>
          <w:p w14:paraId="4E22F15F" w14:textId="77777777" w:rsidR="00DD2461" w:rsidRPr="000425DF" w:rsidRDefault="00F655E3" w:rsidP="00DD2461">
            <w:pPr>
              <w:rPr>
                <w:rFonts w:asciiTheme="majorBidi" w:hAnsiTheme="majorBidi" w:cstheme="majorBidi"/>
                <w:noProof w:val="0"/>
                <w:color w:val="000000"/>
                <w:sz w:val="24"/>
                <w:szCs w:val="24"/>
                <w:lang w:val="en-GB"/>
              </w:rPr>
            </w:pPr>
            <w:r w:rsidRPr="000425DF">
              <w:rPr>
                <w:rFonts w:asciiTheme="majorBidi" w:hAnsiTheme="majorBidi" w:cstheme="majorBidi"/>
                <w:noProof w:val="0"/>
                <w:color w:val="000000"/>
                <w:sz w:val="24"/>
                <w:szCs w:val="24"/>
                <w:lang w:val="en-GB"/>
              </w:rPr>
              <w:t>0.0</w:t>
            </w:r>
          </w:p>
        </w:tc>
        <w:tc>
          <w:tcPr>
            <w:tcW w:w="707" w:type="dxa"/>
            <w:shd w:val="clear" w:color="auto" w:fill="auto"/>
          </w:tcPr>
          <w:p w14:paraId="2D92B689" w14:textId="2B771C6C" w:rsidR="00DD2461" w:rsidRPr="00935C60" w:rsidRDefault="00F655E3" w:rsidP="00DD2461">
            <w:pPr>
              <w:rPr>
                <w:rFonts w:asciiTheme="majorBidi" w:hAnsiTheme="majorBidi" w:cstheme="majorBidi"/>
                <w:noProof w:val="0"/>
                <w:color w:val="000000"/>
                <w:sz w:val="24"/>
                <w:szCs w:val="24"/>
                <w:lang w:val="en-GB"/>
              </w:rPr>
            </w:pPr>
            <w:r w:rsidRPr="00935C60">
              <w:rPr>
                <w:rFonts w:asciiTheme="majorBidi" w:hAnsiTheme="majorBidi" w:cstheme="majorBidi"/>
                <w:noProof w:val="0"/>
                <w:sz w:val="24"/>
                <w:szCs w:val="24"/>
                <w:lang w:val="en-GB"/>
              </w:rPr>
              <w:t>0.</w:t>
            </w:r>
            <w:r w:rsidR="002F0BF9" w:rsidRPr="00935C60">
              <w:rPr>
                <w:rFonts w:asciiTheme="majorBidi" w:hAnsiTheme="majorBidi" w:cstheme="majorBidi"/>
                <w:noProof w:val="0"/>
                <w:sz w:val="24"/>
                <w:szCs w:val="24"/>
                <w:lang w:val="en-GB"/>
              </w:rPr>
              <w:t>67</w:t>
            </w:r>
          </w:p>
        </w:tc>
        <w:tc>
          <w:tcPr>
            <w:tcW w:w="708" w:type="dxa"/>
            <w:shd w:val="clear" w:color="auto" w:fill="auto"/>
          </w:tcPr>
          <w:p w14:paraId="70716442" w14:textId="6CC8FA8B" w:rsidR="00DD2461" w:rsidRPr="000425DF" w:rsidRDefault="00F655E3" w:rsidP="00DD2461">
            <w:pPr>
              <w:rPr>
                <w:rFonts w:asciiTheme="majorBidi" w:hAnsiTheme="majorBidi" w:cstheme="majorBidi"/>
                <w:noProof w:val="0"/>
                <w:color w:val="000000"/>
                <w:sz w:val="24"/>
                <w:szCs w:val="24"/>
                <w:lang w:val="en-GB"/>
              </w:rPr>
            </w:pPr>
            <w:r w:rsidRPr="000425DF">
              <w:rPr>
                <w:rFonts w:asciiTheme="majorBidi" w:hAnsiTheme="majorBidi" w:cstheme="majorBidi"/>
                <w:noProof w:val="0"/>
                <w:color w:val="000000"/>
                <w:sz w:val="24"/>
                <w:szCs w:val="24"/>
                <w:lang w:val="en-GB"/>
              </w:rPr>
              <w:t>0.</w:t>
            </w:r>
            <w:r w:rsidR="00D150B0" w:rsidRPr="000425DF">
              <w:rPr>
                <w:rFonts w:asciiTheme="majorBidi" w:hAnsiTheme="majorBidi" w:cstheme="majorBidi"/>
                <w:noProof w:val="0"/>
                <w:color w:val="000000"/>
                <w:sz w:val="24"/>
                <w:szCs w:val="24"/>
                <w:lang w:val="en-GB"/>
              </w:rPr>
              <w:t>17</w:t>
            </w:r>
          </w:p>
        </w:tc>
        <w:tc>
          <w:tcPr>
            <w:tcW w:w="708" w:type="dxa"/>
            <w:shd w:val="clear" w:color="auto" w:fill="auto"/>
          </w:tcPr>
          <w:p w14:paraId="4920248C" w14:textId="77777777" w:rsidR="00DD2461" w:rsidRPr="000425DF" w:rsidRDefault="00A14265" w:rsidP="00DD2461">
            <w:pPr>
              <w:rPr>
                <w:rFonts w:asciiTheme="majorBidi" w:hAnsiTheme="majorBidi" w:cstheme="majorBidi"/>
                <w:noProof w:val="0"/>
                <w:color w:val="000000"/>
                <w:sz w:val="24"/>
                <w:szCs w:val="24"/>
                <w:lang w:val="en-GB"/>
              </w:rPr>
            </w:pPr>
            <w:r w:rsidRPr="000425DF">
              <w:rPr>
                <w:rFonts w:asciiTheme="majorBidi" w:hAnsiTheme="majorBidi" w:cstheme="majorBidi"/>
                <w:noProof w:val="0"/>
                <w:color w:val="000000"/>
                <w:sz w:val="24"/>
                <w:szCs w:val="24"/>
                <w:lang w:val="en-GB"/>
              </w:rPr>
              <w:t>0.0</w:t>
            </w:r>
          </w:p>
        </w:tc>
      </w:tr>
      <w:tr w:rsidR="00BC4D21" w:rsidRPr="000425DF" w14:paraId="7205744E" w14:textId="77777777" w:rsidTr="00DD2461">
        <w:tc>
          <w:tcPr>
            <w:tcW w:w="1333" w:type="dxa"/>
            <w:shd w:val="clear" w:color="auto" w:fill="auto"/>
          </w:tcPr>
          <w:p w14:paraId="5EA501CD" w14:textId="5E10324F" w:rsidR="00BC4D21" w:rsidRPr="000425DF" w:rsidRDefault="00BC4D21" w:rsidP="00DD2461">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 xml:space="preserve">Japan </w:t>
            </w:r>
            <w:r w:rsidR="00935C60">
              <w:rPr>
                <w:rFonts w:asciiTheme="majorBidi" w:hAnsiTheme="majorBidi" w:cstheme="majorBidi"/>
                <w:noProof w:val="0"/>
                <w:color w:val="1F3864" w:themeColor="accent1" w:themeShade="80"/>
                <w:sz w:val="24"/>
                <w:szCs w:val="24"/>
                <w:lang w:val="en-GB"/>
              </w:rPr>
              <w:t>(today)</w:t>
            </w:r>
          </w:p>
        </w:tc>
        <w:tc>
          <w:tcPr>
            <w:tcW w:w="6479" w:type="dxa"/>
            <w:shd w:val="clear" w:color="auto" w:fill="auto"/>
          </w:tcPr>
          <w:p w14:paraId="59645EC6" w14:textId="5FA85F04" w:rsidR="00B82A89" w:rsidRPr="000425DF" w:rsidRDefault="00B82A89" w:rsidP="00DD2461">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The shares of different service types in 2016 were the following according to the Ministry of Health, Labour and Welfare (2017):</w:t>
            </w:r>
          </w:p>
          <w:p w14:paraId="3D19B69A" w14:textId="77777777" w:rsidR="00B82A89" w:rsidRPr="000425DF" w:rsidRDefault="00B82A89" w:rsidP="00B82A89">
            <w:pPr>
              <w:spacing w:line="259" w:lineRule="auto"/>
              <w:rPr>
                <w:rFonts w:asciiTheme="majorBidi" w:hAnsiTheme="majorBidi" w:cstheme="majorBidi"/>
                <w:color w:val="1F3864" w:themeColor="accent1" w:themeShade="80"/>
                <w:sz w:val="24"/>
                <w:szCs w:val="24"/>
                <w:lang w:val="en-GB" w:eastAsia="ko-KR"/>
              </w:rPr>
            </w:pPr>
            <w:r w:rsidRPr="000425DF">
              <w:rPr>
                <w:rFonts w:asciiTheme="majorBidi" w:hAnsiTheme="majorBidi" w:cstheme="majorBidi"/>
                <w:color w:val="1F3864" w:themeColor="accent1" w:themeShade="80"/>
                <w:sz w:val="24"/>
                <w:szCs w:val="24"/>
                <w:lang w:val="en-GB" w:eastAsia="ko-KR"/>
              </w:rPr>
              <w:t>73% in-home services</w:t>
            </w:r>
          </w:p>
          <w:p w14:paraId="1E7F06D7" w14:textId="77777777" w:rsidR="00B82A89" w:rsidRPr="000425DF" w:rsidRDefault="00B82A89" w:rsidP="00B82A89">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color w:val="1F3864" w:themeColor="accent1" w:themeShade="80"/>
                <w:sz w:val="24"/>
                <w:szCs w:val="24"/>
                <w:lang w:val="en-GB" w:eastAsia="ko-KR"/>
              </w:rPr>
              <w:t>27% residential/in-facility services</w:t>
            </w:r>
          </w:p>
          <w:p w14:paraId="595215C3" w14:textId="18D8635F" w:rsidR="00B82A89" w:rsidRPr="000425DF" w:rsidRDefault="00B82A89" w:rsidP="00DD2461">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Splitting up the in-home services, Ikegami (2021) specifies different services as follows:</w:t>
            </w:r>
          </w:p>
          <w:p w14:paraId="00A4C406" w14:textId="62E3D15A" w:rsidR="00452712" w:rsidRPr="000425DF" w:rsidRDefault="00452712" w:rsidP="00DD2461">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Home help: 27.4%</w:t>
            </w:r>
          </w:p>
          <w:p w14:paraId="58E35EBB" w14:textId="14F36AC5" w:rsidR="00452712" w:rsidRPr="000425DF" w:rsidRDefault="00452712" w:rsidP="00DD2461">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Day care: 31.9%</w:t>
            </w:r>
          </w:p>
          <w:p w14:paraId="5953BA4B" w14:textId="3A72122F" w:rsidR="00452712" w:rsidRPr="000425DF" w:rsidRDefault="00452712" w:rsidP="00DD2461">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Visiting nurse: 12.8%</w:t>
            </w:r>
          </w:p>
          <w:p w14:paraId="26D50127" w14:textId="5499FEAC" w:rsidR="008204BD" w:rsidRPr="000425DF" w:rsidRDefault="008204BD" w:rsidP="00DD2461">
            <w:pPr>
              <w:rPr>
                <w:rFonts w:asciiTheme="majorBidi" w:hAnsiTheme="majorBidi" w:cstheme="majorBidi"/>
                <w:noProof w:val="0"/>
                <w:color w:val="1F3864" w:themeColor="accent1" w:themeShade="80"/>
                <w:sz w:val="24"/>
                <w:szCs w:val="24"/>
                <w:lang w:val="en-GB"/>
              </w:rPr>
            </w:pPr>
          </w:p>
          <w:p w14:paraId="5466A347" w14:textId="7402007E" w:rsidR="008204BD" w:rsidRPr="000425DF" w:rsidRDefault="00B82A89" w:rsidP="008204BD">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These are the shares of provider types in h</w:t>
            </w:r>
            <w:r w:rsidR="008204BD" w:rsidRPr="000425DF">
              <w:rPr>
                <w:rFonts w:asciiTheme="majorBidi" w:hAnsiTheme="majorBidi" w:cstheme="majorBidi"/>
                <w:noProof w:val="0"/>
                <w:color w:val="1F3864" w:themeColor="accent1" w:themeShade="80"/>
                <w:sz w:val="24"/>
                <w:szCs w:val="24"/>
                <w:lang w:val="en-GB"/>
              </w:rPr>
              <w:t xml:space="preserve">ome-based care </w:t>
            </w:r>
            <w:r w:rsidRPr="000425DF">
              <w:rPr>
                <w:rFonts w:asciiTheme="majorBidi" w:hAnsiTheme="majorBidi" w:cstheme="majorBidi"/>
                <w:noProof w:val="0"/>
                <w:color w:val="1F3864" w:themeColor="accent1" w:themeShade="80"/>
                <w:sz w:val="24"/>
                <w:szCs w:val="24"/>
                <w:lang w:val="en-GB"/>
              </w:rPr>
              <w:t xml:space="preserve">services in 2014 as specified by </w:t>
            </w:r>
            <w:r w:rsidR="008204BD" w:rsidRPr="000425DF">
              <w:rPr>
                <w:rFonts w:asciiTheme="majorBidi" w:hAnsiTheme="majorBidi" w:cstheme="majorBidi"/>
                <w:noProof w:val="0"/>
                <w:color w:val="1F3864" w:themeColor="accent1" w:themeShade="80"/>
                <w:sz w:val="24"/>
                <w:szCs w:val="24"/>
                <w:lang w:val="en-GB"/>
              </w:rPr>
              <w:t>Theobald et al</w:t>
            </w:r>
            <w:r w:rsidRPr="000425DF">
              <w:rPr>
                <w:rFonts w:asciiTheme="majorBidi" w:hAnsiTheme="majorBidi" w:cstheme="majorBidi"/>
                <w:noProof w:val="0"/>
                <w:color w:val="1F3864" w:themeColor="accent1" w:themeShade="80"/>
                <w:sz w:val="24"/>
                <w:szCs w:val="24"/>
                <w:lang w:val="en-GB"/>
              </w:rPr>
              <w:t>.</w:t>
            </w:r>
            <w:r w:rsidR="008204BD" w:rsidRPr="000425DF">
              <w:rPr>
                <w:rFonts w:asciiTheme="majorBidi" w:hAnsiTheme="majorBidi" w:cstheme="majorBidi"/>
                <w:noProof w:val="0"/>
                <w:color w:val="1F3864" w:themeColor="accent1" w:themeShade="80"/>
                <w:sz w:val="24"/>
                <w:szCs w:val="24"/>
                <w:lang w:val="en-GB"/>
              </w:rPr>
              <w:t xml:space="preserve"> </w:t>
            </w:r>
            <w:r w:rsidR="00E41386" w:rsidRPr="000425DF">
              <w:rPr>
                <w:rFonts w:asciiTheme="majorBidi" w:hAnsiTheme="majorBidi" w:cstheme="majorBidi"/>
                <w:noProof w:val="0"/>
                <w:color w:val="1F3864" w:themeColor="accent1" w:themeShade="80"/>
                <w:sz w:val="24"/>
                <w:szCs w:val="24"/>
                <w:lang w:val="en-GB"/>
              </w:rPr>
              <w:t>(</w:t>
            </w:r>
            <w:r w:rsidR="008204BD" w:rsidRPr="000425DF">
              <w:rPr>
                <w:rFonts w:asciiTheme="majorBidi" w:hAnsiTheme="majorBidi" w:cstheme="majorBidi"/>
                <w:noProof w:val="0"/>
                <w:color w:val="1F3864" w:themeColor="accent1" w:themeShade="80"/>
                <w:sz w:val="24"/>
                <w:szCs w:val="24"/>
                <w:lang w:val="en-GB"/>
              </w:rPr>
              <w:t>2018</w:t>
            </w:r>
            <w:r w:rsidR="00E41386" w:rsidRPr="000425DF">
              <w:rPr>
                <w:rFonts w:asciiTheme="majorBidi" w:hAnsiTheme="majorBidi" w:cstheme="majorBidi"/>
                <w:noProof w:val="0"/>
                <w:color w:val="1F3864" w:themeColor="accent1" w:themeShade="80"/>
                <w:sz w:val="24"/>
                <w:szCs w:val="24"/>
                <w:lang w:val="en-GB"/>
              </w:rPr>
              <w:t>)</w:t>
            </w:r>
            <w:r w:rsidR="008204BD" w:rsidRPr="000425DF">
              <w:rPr>
                <w:rFonts w:asciiTheme="majorBidi" w:hAnsiTheme="majorBidi" w:cstheme="majorBidi"/>
                <w:noProof w:val="0"/>
                <w:color w:val="1F3864" w:themeColor="accent1" w:themeShade="80"/>
                <w:sz w:val="24"/>
                <w:szCs w:val="24"/>
                <w:lang w:val="en-GB"/>
              </w:rPr>
              <w:t>:</w:t>
            </w:r>
          </w:p>
          <w:p w14:paraId="0092CA71" w14:textId="77777777" w:rsidR="008204BD" w:rsidRPr="000425DF" w:rsidRDefault="008204BD" w:rsidP="008204BD">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Public: 0.3%</w:t>
            </w:r>
          </w:p>
          <w:p w14:paraId="1A6CF6E4" w14:textId="2D2C0227" w:rsidR="008204BD" w:rsidRPr="000425DF" w:rsidRDefault="008204BD" w:rsidP="008204BD">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 xml:space="preserve">Non-profit providers: </w:t>
            </w:r>
            <w:r w:rsidR="000A5741" w:rsidRPr="000425DF">
              <w:rPr>
                <w:rFonts w:asciiTheme="majorBidi" w:hAnsiTheme="majorBidi" w:cstheme="majorBidi"/>
                <w:noProof w:val="0"/>
                <w:color w:val="1F3864" w:themeColor="accent1" w:themeShade="80"/>
                <w:sz w:val="24"/>
                <w:szCs w:val="24"/>
                <w:lang w:val="en-GB"/>
              </w:rPr>
              <w:t>3</w:t>
            </w:r>
            <w:r w:rsidRPr="000425DF">
              <w:rPr>
                <w:rFonts w:asciiTheme="majorBidi" w:hAnsiTheme="majorBidi" w:cstheme="majorBidi"/>
                <w:noProof w:val="0"/>
                <w:color w:val="1F3864" w:themeColor="accent1" w:themeShade="80"/>
                <w:sz w:val="24"/>
                <w:szCs w:val="24"/>
                <w:lang w:val="en-GB"/>
              </w:rPr>
              <w:t>5.3%</w:t>
            </w:r>
          </w:p>
          <w:p w14:paraId="391D279F" w14:textId="75B2F5FD" w:rsidR="00E25F42" w:rsidRPr="000425DF" w:rsidRDefault="008204BD" w:rsidP="002436C9">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For-profit providers: 64.4%</w:t>
            </w:r>
          </w:p>
          <w:p w14:paraId="12660D5C" w14:textId="78D17A88" w:rsidR="00E25F42" w:rsidRPr="000425DF" w:rsidRDefault="00B82A89" w:rsidP="00E25F42">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Ikegami (2021) specifies the share of users serviced by for-profit providers in different home-based care services 2016 as follows:</w:t>
            </w:r>
          </w:p>
          <w:p w14:paraId="529AD9F3" w14:textId="40CE3E71" w:rsidR="00B82A89" w:rsidRPr="000425DF" w:rsidRDefault="00B82A89" w:rsidP="00B82A89">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Home help 64.1%</w:t>
            </w:r>
          </w:p>
          <w:p w14:paraId="433E4FCA" w14:textId="62660128" w:rsidR="00B82A89" w:rsidRPr="000425DF" w:rsidRDefault="00B82A89" w:rsidP="00B82A89">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Day care 44.9%</w:t>
            </w:r>
          </w:p>
          <w:p w14:paraId="7E47585C" w14:textId="38804756" w:rsidR="00B82A89" w:rsidRPr="000425DF" w:rsidRDefault="00B82A89" w:rsidP="00B82A89">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Visiting nurse: 47.2%</w:t>
            </w:r>
          </w:p>
          <w:p w14:paraId="2C3D708E" w14:textId="4C13C7E9" w:rsidR="00B82A89" w:rsidRPr="000425DF" w:rsidRDefault="00B82A89" w:rsidP="00B82A89">
            <w:pPr>
              <w:rPr>
                <w:rFonts w:asciiTheme="majorBidi" w:hAnsiTheme="majorBidi" w:cstheme="majorBidi"/>
                <w:noProof w:val="0"/>
                <w:color w:val="1F3864" w:themeColor="accent1" w:themeShade="80"/>
                <w:sz w:val="24"/>
                <w:szCs w:val="24"/>
                <w:lang w:val="en-GB"/>
              </w:rPr>
            </w:pPr>
          </w:p>
          <w:p w14:paraId="58FEF9B4" w14:textId="3933077C" w:rsidR="00BC4D21" w:rsidRPr="000425DF" w:rsidRDefault="00B82A89" w:rsidP="002436C9">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lastRenderedPageBreak/>
              <w:t>In institutional care, no private for-profit providers are allowed. Institutional care is provided 70-90% (depending on type) by traditional non-profit providers (Saito 2014).</w:t>
            </w:r>
          </w:p>
          <w:p w14:paraId="4E7975B6" w14:textId="2477F71F" w:rsidR="00B82A89" w:rsidRPr="000425DF" w:rsidRDefault="005A0947" w:rsidP="00DD2461">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Based on this data, the o</w:t>
            </w:r>
            <w:r w:rsidR="00B82A89" w:rsidRPr="000425DF">
              <w:rPr>
                <w:rFonts w:asciiTheme="majorBidi" w:hAnsiTheme="majorBidi" w:cstheme="majorBidi"/>
                <w:noProof w:val="0"/>
                <w:color w:val="1F3864" w:themeColor="accent1" w:themeShade="80"/>
                <w:sz w:val="24"/>
                <w:szCs w:val="24"/>
                <w:lang w:val="en-GB"/>
              </w:rPr>
              <w:t>verall weighted shares (2014/6)</w:t>
            </w:r>
            <w:r w:rsidRPr="000425DF">
              <w:rPr>
                <w:rFonts w:asciiTheme="majorBidi" w:hAnsiTheme="majorBidi" w:cstheme="majorBidi"/>
                <w:noProof w:val="0"/>
                <w:color w:val="1F3864" w:themeColor="accent1" w:themeShade="80"/>
                <w:sz w:val="24"/>
                <w:szCs w:val="24"/>
                <w:lang w:val="en-GB"/>
              </w:rPr>
              <w:t xml:space="preserve"> of provider types are approximately:</w:t>
            </w:r>
          </w:p>
          <w:p w14:paraId="4EEBD932" w14:textId="77777777" w:rsidR="005A0947" w:rsidRPr="000425DF" w:rsidRDefault="005A0947" w:rsidP="005A0947">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State: below 10%</w:t>
            </w:r>
          </w:p>
          <w:p w14:paraId="52D54957" w14:textId="77777777" w:rsidR="005A0947" w:rsidRPr="000425DF" w:rsidRDefault="005A0947" w:rsidP="005A0947">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Non-profit: 55-63%</w:t>
            </w:r>
          </w:p>
          <w:p w14:paraId="7B430BA2" w14:textId="7AF8E340" w:rsidR="00BC4D21" w:rsidRPr="000425DF" w:rsidRDefault="000A5741" w:rsidP="002436C9">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For-profit: 38-47%</w:t>
            </w:r>
          </w:p>
        </w:tc>
        <w:tc>
          <w:tcPr>
            <w:tcW w:w="2821" w:type="dxa"/>
            <w:shd w:val="clear" w:color="auto" w:fill="auto"/>
          </w:tcPr>
          <w:p w14:paraId="562230D9" w14:textId="51FE2836" w:rsidR="00BC4D21" w:rsidRPr="000425DF" w:rsidRDefault="00F63F5D" w:rsidP="002436C9">
            <w:pPr>
              <w:rPr>
                <w:rFonts w:asciiTheme="majorBidi" w:hAnsiTheme="majorBidi" w:cstheme="majorBidi"/>
                <w:noProof w:val="0"/>
                <w:color w:val="1F3864" w:themeColor="accent1" w:themeShade="80"/>
                <w:sz w:val="24"/>
                <w:szCs w:val="24"/>
              </w:rPr>
            </w:pPr>
            <w:r>
              <w:rPr>
                <w:rFonts w:asciiTheme="majorBidi" w:hAnsiTheme="majorBidi" w:cstheme="majorBidi"/>
                <w:color w:val="1F3864" w:themeColor="accent1" w:themeShade="80"/>
                <w:sz w:val="24"/>
                <w:szCs w:val="24"/>
              </w:rPr>
              <w:lastRenderedPageBreak/>
              <w:t>Ikegami, 2021; MHLW, 2017; Saito, 2014; Theobald et al., 2018</w:t>
            </w:r>
          </w:p>
        </w:tc>
        <w:tc>
          <w:tcPr>
            <w:tcW w:w="1275" w:type="dxa"/>
            <w:shd w:val="clear" w:color="auto" w:fill="auto"/>
          </w:tcPr>
          <w:p w14:paraId="78B8DD5B" w14:textId="5523532E" w:rsidR="00BC4D21" w:rsidRPr="000425DF" w:rsidRDefault="005A0947" w:rsidP="00DD2461">
            <w:pPr>
              <w:rPr>
                <w:rFonts w:asciiTheme="majorBidi" w:hAnsiTheme="majorBidi" w:cstheme="majorBidi"/>
                <w:noProof w:val="0"/>
                <w:color w:val="1F3864" w:themeColor="accent1" w:themeShade="80"/>
                <w:sz w:val="24"/>
                <w:szCs w:val="24"/>
              </w:rPr>
            </w:pPr>
            <w:r w:rsidRPr="000425DF">
              <w:rPr>
                <w:rFonts w:asciiTheme="majorBidi" w:hAnsiTheme="majorBidi" w:cstheme="majorBidi"/>
                <w:noProof w:val="0"/>
                <w:color w:val="1F3864" w:themeColor="accent1" w:themeShade="80"/>
                <w:sz w:val="24"/>
                <w:szCs w:val="24"/>
              </w:rPr>
              <w:t>Medium</w:t>
            </w:r>
          </w:p>
        </w:tc>
        <w:tc>
          <w:tcPr>
            <w:tcW w:w="706" w:type="dxa"/>
            <w:shd w:val="clear" w:color="auto" w:fill="auto"/>
          </w:tcPr>
          <w:p w14:paraId="6710D4CE" w14:textId="74DFA190" w:rsidR="00BC4D21" w:rsidRPr="000425DF" w:rsidRDefault="005A0947" w:rsidP="00DD2461">
            <w:pPr>
              <w:rPr>
                <w:rFonts w:asciiTheme="majorBidi" w:hAnsiTheme="majorBidi" w:cstheme="majorBidi"/>
                <w:noProof w:val="0"/>
                <w:color w:val="1F3864" w:themeColor="accent1" w:themeShade="80"/>
                <w:sz w:val="24"/>
                <w:szCs w:val="24"/>
              </w:rPr>
            </w:pPr>
            <w:r w:rsidRPr="000425DF">
              <w:rPr>
                <w:rFonts w:asciiTheme="majorBidi" w:hAnsiTheme="majorBidi" w:cstheme="majorBidi"/>
                <w:noProof w:val="0"/>
                <w:color w:val="1F3864" w:themeColor="accent1" w:themeShade="80"/>
                <w:sz w:val="24"/>
                <w:szCs w:val="24"/>
              </w:rPr>
              <w:t>0.0</w:t>
            </w:r>
          </w:p>
        </w:tc>
        <w:tc>
          <w:tcPr>
            <w:tcW w:w="707" w:type="dxa"/>
            <w:shd w:val="clear" w:color="auto" w:fill="auto"/>
          </w:tcPr>
          <w:p w14:paraId="0BC0E0A5" w14:textId="7912B566" w:rsidR="00BC4D21" w:rsidRPr="00935C60" w:rsidRDefault="005A0947" w:rsidP="00DD2461">
            <w:pPr>
              <w:rPr>
                <w:rFonts w:asciiTheme="majorBidi" w:hAnsiTheme="majorBidi" w:cstheme="majorBidi"/>
                <w:noProof w:val="0"/>
                <w:color w:val="1F3864" w:themeColor="accent1" w:themeShade="80"/>
                <w:sz w:val="24"/>
                <w:szCs w:val="24"/>
              </w:rPr>
            </w:pPr>
            <w:r w:rsidRPr="00935C60">
              <w:rPr>
                <w:rFonts w:asciiTheme="majorBidi" w:hAnsiTheme="majorBidi" w:cstheme="majorBidi"/>
                <w:noProof w:val="0"/>
                <w:color w:val="1F3864" w:themeColor="accent1" w:themeShade="80"/>
                <w:sz w:val="24"/>
                <w:szCs w:val="24"/>
              </w:rPr>
              <w:t>0.67</w:t>
            </w:r>
          </w:p>
        </w:tc>
        <w:tc>
          <w:tcPr>
            <w:tcW w:w="708" w:type="dxa"/>
            <w:shd w:val="clear" w:color="auto" w:fill="auto"/>
          </w:tcPr>
          <w:p w14:paraId="0176CC72" w14:textId="6B17E240" w:rsidR="00BC4D21" w:rsidRPr="000425DF" w:rsidRDefault="005A0947" w:rsidP="00DD2461">
            <w:pPr>
              <w:rPr>
                <w:rFonts w:asciiTheme="majorBidi" w:hAnsiTheme="majorBidi" w:cstheme="majorBidi"/>
                <w:noProof w:val="0"/>
                <w:color w:val="1F3864" w:themeColor="accent1" w:themeShade="80"/>
                <w:sz w:val="24"/>
                <w:szCs w:val="24"/>
              </w:rPr>
            </w:pPr>
            <w:r w:rsidRPr="000425DF">
              <w:rPr>
                <w:rFonts w:asciiTheme="majorBidi" w:hAnsiTheme="majorBidi" w:cstheme="majorBidi"/>
                <w:noProof w:val="0"/>
                <w:color w:val="1F3864" w:themeColor="accent1" w:themeShade="80"/>
                <w:sz w:val="24"/>
                <w:szCs w:val="24"/>
              </w:rPr>
              <w:t>0.33</w:t>
            </w:r>
          </w:p>
        </w:tc>
        <w:tc>
          <w:tcPr>
            <w:tcW w:w="708" w:type="dxa"/>
            <w:shd w:val="clear" w:color="auto" w:fill="auto"/>
          </w:tcPr>
          <w:p w14:paraId="458DF539" w14:textId="17CF0DFF" w:rsidR="00BC4D21" w:rsidRPr="000425DF" w:rsidRDefault="005A0947" w:rsidP="00DD2461">
            <w:pPr>
              <w:rPr>
                <w:rFonts w:asciiTheme="majorBidi" w:hAnsiTheme="majorBidi" w:cstheme="majorBidi"/>
                <w:noProof w:val="0"/>
                <w:color w:val="1F3864" w:themeColor="accent1" w:themeShade="80"/>
                <w:sz w:val="24"/>
                <w:szCs w:val="24"/>
              </w:rPr>
            </w:pPr>
            <w:r w:rsidRPr="000425DF">
              <w:rPr>
                <w:rFonts w:asciiTheme="majorBidi" w:hAnsiTheme="majorBidi" w:cstheme="majorBidi"/>
                <w:noProof w:val="0"/>
                <w:color w:val="1F3864" w:themeColor="accent1" w:themeShade="80"/>
                <w:sz w:val="24"/>
                <w:szCs w:val="24"/>
              </w:rPr>
              <w:t>0.0</w:t>
            </w:r>
          </w:p>
        </w:tc>
      </w:tr>
      <w:tr w:rsidR="00DD2461" w:rsidRPr="000425DF" w14:paraId="7CE88EFF" w14:textId="77777777" w:rsidTr="00DD2461">
        <w:tc>
          <w:tcPr>
            <w:tcW w:w="1333" w:type="dxa"/>
            <w:shd w:val="clear" w:color="auto" w:fill="auto"/>
          </w:tcPr>
          <w:p w14:paraId="7DDF1F81" w14:textId="618CA67F" w:rsidR="00DD2461" w:rsidRPr="000425DF" w:rsidRDefault="00DD2461" w:rsidP="00DD2461">
            <w:pPr>
              <w:spacing w:after="160" w:line="259" w:lineRule="auto"/>
              <w:rPr>
                <w:rFonts w:asciiTheme="majorBidi" w:hAnsiTheme="majorBidi" w:cstheme="majorBidi"/>
                <w:noProof w:val="0"/>
                <w:sz w:val="24"/>
                <w:szCs w:val="24"/>
                <w:lang w:val="en-GB"/>
              </w:rPr>
            </w:pPr>
            <w:r w:rsidRPr="000425DF">
              <w:rPr>
                <w:rFonts w:asciiTheme="majorBidi" w:hAnsiTheme="majorBidi" w:cstheme="majorBidi"/>
                <w:noProof w:val="0"/>
                <w:sz w:val="24"/>
                <w:szCs w:val="24"/>
                <w:lang w:val="en-GB"/>
              </w:rPr>
              <w:t>Luxembourg</w:t>
            </w:r>
            <w:r w:rsidR="009A4B0B" w:rsidRPr="000425DF">
              <w:rPr>
                <w:rFonts w:asciiTheme="majorBidi" w:hAnsiTheme="majorBidi" w:cstheme="majorBidi"/>
                <w:noProof w:val="0"/>
                <w:sz w:val="24"/>
                <w:szCs w:val="24"/>
                <w:lang w:val="en-GB"/>
              </w:rPr>
              <w:t xml:space="preserve"> </w:t>
            </w:r>
            <w:r w:rsidR="00935C60">
              <w:rPr>
                <w:rFonts w:asciiTheme="majorBidi" w:hAnsiTheme="majorBidi" w:cstheme="majorBidi"/>
                <w:noProof w:val="0"/>
                <w:sz w:val="24"/>
                <w:szCs w:val="24"/>
                <w:lang w:val="en-GB"/>
              </w:rPr>
              <w:t>(introduction)</w:t>
            </w:r>
          </w:p>
        </w:tc>
        <w:tc>
          <w:tcPr>
            <w:tcW w:w="6479" w:type="dxa"/>
            <w:shd w:val="clear" w:color="auto" w:fill="auto"/>
          </w:tcPr>
          <w:p w14:paraId="73C89943" w14:textId="60ADCDE8" w:rsidR="00DD2461" w:rsidRPr="000425DF" w:rsidRDefault="00DD2461" w:rsidP="00DD2461">
            <w:pPr>
              <w:rPr>
                <w:rFonts w:asciiTheme="majorBidi" w:hAnsiTheme="majorBidi" w:cstheme="majorBidi"/>
                <w:noProof w:val="0"/>
                <w:color w:val="FF0000"/>
                <w:sz w:val="24"/>
                <w:szCs w:val="24"/>
                <w:lang w:val="en-GB"/>
              </w:rPr>
            </w:pPr>
            <w:r w:rsidRPr="000425DF">
              <w:rPr>
                <w:rFonts w:asciiTheme="majorBidi" w:hAnsiTheme="majorBidi" w:cstheme="majorBidi"/>
                <w:noProof w:val="0"/>
                <w:sz w:val="24"/>
                <w:szCs w:val="24"/>
                <w:lang w:val="en-GB"/>
              </w:rPr>
              <w:t>The AD offers both home/community and residential in-kind care services as well as monetary benefits (for home care). In home care, a combination of in-kind and cash benefits is possible and common. In 2002, shares of care recipients were distributed as follow</w:t>
            </w:r>
            <w:r w:rsidR="00203EE6" w:rsidRPr="000425DF">
              <w:rPr>
                <w:rFonts w:asciiTheme="majorBidi" w:hAnsiTheme="majorBidi" w:cstheme="majorBidi"/>
                <w:noProof w:val="0"/>
                <w:sz w:val="24"/>
                <w:szCs w:val="24"/>
                <w:lang w:val="en-GB"/>
              </w:rPr>
              <w:t>s</w:t>
            </w:r>
            <w:r w:rsidRPr="000425DF">
              <w:rPr>
                <w:rFonts w:asciiTheme="majorBidi" w:hAnsiTheme="majorBidi" w:cstheme="majorBidi"/>
                <w:noProof w:val="0"/>
                <w:sz w:val="24"/>
                <w:szCs w:val="24"/>
                <w:lang w:val="en-GB"/>
              </w:rPr>
              <w:t xml:space="preserve"> (OECD 2005):</w:t>
            </w:r>
            <w:r w:rsidRPr="000425DF">
              <w:rPr>
                <w:rFonts w:asciiTheme="majorBidi" w:hAnsiTheme="majorBidi" w:cstheme="majorBidi"/>
                <w:noProof w:val="0"/>
                <w:sz w:val="24"/>
                <w:szCs w:val="24"/>
                <w:lang w:val="en-GB"/>
              </w:rPr>
              <w:br/>
              <w:t>Institutional care: 47%</w:t>
            </w:r>
            <w:r w:rsidRPr="000425DF">
              <w:rPr>
                <w:rFonts w:asciiTheme="majorBidi" w:hAnsiTheme="majorBidi" w:cstheme="majorBidi"/>
                <w:noProof w:val="0"/>
                <w:sz w:val="24"/>
                <w:szCs w:val="24"/>
                <w:lang w:val="en-GB"/>
              </w:rPr>
              <w:br/>
              <w:t>Home care, cash benefits: 26%</w:t>
            </w:r>
            <w:r w:rsidRPr="000425DF">
              <w:rPr>
                <w:rFonts w:asciiTheme="majorBidi" w:hAnsiTheme="majorBidi" w:cstheme="majorBidi"/>
                <w:noProof w:val="0"/>
                <w:sz w:val="24"/>
                <w:szCs w:val="24"/>
                <w:lang w:val="en-GB"/>
              </w:rPr>
              <w:br/>
              <w:t>Home care, combination: 22%</w:t>
            </w:r>
            <w:r w:rsidRPr="000425DF">
              <w:rPr>
                <w:rFonts w:asciiTheme="majorBidi" w:hAnsiTheme="majorBidi" w:cstheme="majorBidi"/>
                <w:noProof w:val="0"/>
                <w:sz w:val="24"/>
                <w:szCs w:val="24"/>
                <w:lang w:val="en-GB"/>
              </w:rPr>
              <w:br/>
              <w:t>Home care, services: 5%</w:t>
            </w:r>
            <w:r w:rsidRPr="000425DF">
              <w:rPr>
                <w:rFonts w:asciiTheme="majorBidi" w:hAnsiTheme="majorBidi" w:cstheme="majorBidi"/>
                <w:noProof w:val="0"/>
                <w:color w:val="FF0000"/>
                <w:sz w:val="24"/>
                <w:szCs w:val="24"/>
                <w:lang w:val="en-GB"/>
              </w:rPr>
              <w:br/>
            </w:r>
            <w:r w:rsidRPr="000425DF">
              <w:rPr>
                <w:rFonts w:asciiTheme="majorBidi" w:hAnsiTheme="majorBidi" w:cstheme="majorBidi"/>
                <w:noProof w:val="0"/>
                <w:color w:val="FF0000"/>
                <w:sz w:val="24"/>
                <w:szCs w:val="24"/>
                <w:lang w:val="en-GB"/>
              </w:rPr>
              <w:br/>
            </w:r>
            <w:r w:rsidRPr="000425DF">
              <w:rPr>
                <w:rFonts w:asciiTheme="majorBidi" w:hAnsiTheme="majorBidi" w:cstheme="majorBidi"/>
                <w:noProof w:val="0"/>
                <w:sz w:val="24"/>
                <w:szCs w:val="24"/>
                <w:lang w:val="en-GB"/>
              </w:rPr>
              <w:t xml:space="preserve">From these shares we can conclude that the majority (74%) of recipients receive at least some formally provided care. There is no data on actor shares of formal care available (cf. Pacolet </w:t>
            </w:r>
            <w:r w:rsidR="002436C9" w:rsidRPr="000425DF">
              <w:rPr>
                <w:rFonts w:asciiTheme="majorBidi" w:hAnsiTheme="majorBidi" w:cstheme="majorBidi"/>
                <w:noProof w:val="0"/>
                <w:sz w:val="24"/>
                <w:szCs w:val="24"/>
                <w:lang w:val="en-GB"/>
              </w:rPr>
              <w:t>and</w:t>
            </w:r>
            <w:r w:rsidRPr="000425DF">
              <w:rPr>
                <w:rFonts w:asciiTheme="majorBidi" w:hAnsiTheme="majorBidi" w:cstheme="majorBidi"/>
                <w:noProof w:val="0"/>
                <w:sz w:val="24"/>
                <w:szCs w:val="24"/>
                <w:lang w:val="en-GB"/>
              </w:rPr>
              <w:t xml:space="preserve"> De </w:t>
            </w:r>
            <w:proofErr w:type="spellStart"/>
            <w:r w:rsidRPr="000425DF">
              <w:rPr>
                <w:rFonts w:asciiTheme="majorBidi" w:hAnsiTheme="majorBidi" w:cstheme="majorBidi"/>
                <w:noProof w:val="0"/>
                <w:sz w:val="24"/>
                <w:szCs w:val="24"/>
                <w:lang w:val="en-GB"/>
              </w:rPr>
              <w:t>Wispelaere</w:t>
            </w:r>
            <w:proofErr w:type="spellEnd"/>
            <w:r w:rsidRPr="000425DF">
              <w:rPr>
                <w:rFonts w:asciiTheme="majorBidi" w:hAnsiTheme="majorBidi" w:cstheme="majorBidi"/>
                <w:noProof w:val="0"/>
                <w:sz w:val="24"/>
                <w:szCs w:val="24"/>
                <w:lang w:val="en-GB"/>
              </w:rPr>
              <w:t xml:space="preserve"> 2018). All three provider types (state, societal actors, private-for profit actors) are present in both home and residential care. State providers seem to be a minority compared to non-/for-profit agencies (</w:t>
            </w:r>
            <w:proofErr w:type="spellStart"/>
            <w:r w:rsidRPr="000425DF">
              <w:rPr>
                <w:rFonts w:asciiTheme="majorBidi" w:hAnsiTheme="majorBidi" w:cstheme="majorBidi"/>
                <w:noProof w:val="0"/>
                <w:sz w:val="24"/>
                <w:szCs w:val="24"/>
                <w:lang w:val="en-GB"/>
              </w:rPr>
              <w:t>Köstler</w:t>
            </w:r>
            <w:proofErr w:type="spellEnd"/>
            <w:r w:rsidRPr="000425DF">
              <w:rPr>
                <w:rFonts w:asciiTheme="majorBidi" w:hAnsiTheme="majorBidi" w:cstheme="majorBidi"/>
                <w:noProof w:val="0"/>
                <w:sz w:val="24"/>
                <w:szCs w:val="24"/>
                <w:lang w:val="en-GB"/>
              </w:rPr>
              <w:t xml:space="preserve"> 1999; </w:t>
            </w:r>
            <w:proofErr w:type="spellStart"/>
            <w:r w:rsidRPr="000425DF">
              <w:rPr>
                <w:rFonts w:asciiTheme="majorBidi" w:hAnsiTheme="majorBidi" w:cstheme="majorBidi"/>
                <w:noProof w:val="0"/>
                <w:sz w:val="24"/>
                <w:szCs w:val="24"/>
                <w:lang w:val="en-GB"/>
              </w:rPr>
              <w:t>Koster</w:t>
            </w:r>
            <w:proofErr w:type="spellEnd"/>
            <w:r w:rsidRPr="000425DF">
              <w:rPr>
                <w:rFonts w:asciiTheme="majorBidi" w:hAnsiTheme="majorBidi" w:cstheme="majorBidi"/>
                <w:noProof w:val="0"/>
                <w:sz w:val="24"/>
                <w:szCs w:val="24"/>
                <w:lang w:val="en-GB"/>
              </w:rPr>
              <w:t xml:space="preserve"> </w:t>
            </w:r>
            <w:r w:rsidR="002436C9" w:rsidRPr="000425DF">
              <w:rPr>
                <w:rFonts w:asciiTheme="majorBidi" w:hAnsiTheme="majorBidi" w:cstheme="majorBidi"/>
                <w:noProof w:val="0"/>
                <w:sz w:val="24"/>
                <w:szCs w:val="24"/>
                <w:lang w:val="en-GB"/>
              </w:rPr>
              <w:t>and</w:t>
            </w:r>
            <w:r w:rsidRPr="000425DF">
              <w:rPr>
                <w:rFonts w:asciiTheme="majorBidi" w:hAnsiTheme="majorBidi" w:cstheme="majorBidi"/>
                <w:noProof w:val="0"/>
                <w:sz w:val="24"/>
                <w:szCs w:val="24"/>
                <w:lang w:val="en-GB"/>
              </w:rPr>
              <w:t xml:space="preserve"> Ribeiro 2010). While no single dominant actor can be determined with the data available, it can be concluded that societal actors and private-for profit actors</w:t>
            </w:r>
            <w:r w:rsidR="003D3FCC" w:rsidRPr="000425DF">
              <w:rPr>
                <w:rFonts w:asciiTheme="majorBidi" w:hAnsiTheme="majorBidi" w:cstheme="majorBidi"/>
                <w:noProof w:val="0"/>
                <w:sz w:val="24"/>
                <w:szCs w:val="24"/>
                <w:lang w:val="en-GB"/>
              </w:rPr>
              <w:t xml:space="preserve"> are more relevant than state actors. Lacking more specific information, we assume that the state is mostly not providing and private for-profit and societal actors with similar shares not dominantly providing.</w:t>
            </w:r>
            <w:r w:rsidRPr="000425DF">
              <w:rPr>
                <w:rFonts w:asciiTheme="majorBidi" w:hAnsiTheme="majorBidi" w:cstheme="majorBidi"/>
                <w:noProof w:val="0"/>
                <w:sz w:val="24"/>
                <w:szCs w:val="24"/>
                <w:lang w:val="en-GB"/>
              </w:rPr>
              <w:br/>
            </w:r>
            <w:r w:rsidRPr="000425DF">
              <w:rPr>
                <w:rFonts w:asciiTheme="majorBidi" w:hAnsiTheme="majorBidi" w:cstheme="majorBidi"/>
                <w:noProof w:val="0"/>
                <w:sz w:val="24"/>
                <w:szCs w:val="24"/>
                <w:lang w:val="en-GB"/>
              </w:rPr>
              <w:lastRenderedPageBreak/>
              <w:t>(Informal care for cash beneficiaries can be provided by private individual and/or private for-profit actors (</w:t>
            </w:r>
            <w:r w:rsidR="002436C9" w:rsidRPr="000425DF">
              <w:rPr>
                <w:rFonts w:asciiTheme="majorBidi" w:hAnsiTheme="majorBidi" w:cstheme="majorBidi"/>
                <w:noProof w:val="0"/>
                <w:sz w:val="24"/>
                <w:szCs w:val="24"/>
                <w:lang w:val="en-GB"/>
              </w:rPr>
              <w:t>MISSOC</w:t>
            </w:r>
            <w:r w:rsidRPr="000425DF">
              <w:rPr>
                <w:rFonts w:asciiTheme="majorBidi" w:hAnsiTheme="majorBidi" w:cstheme="majorBidi"/>
                <w:noProof w:val="0"/>
                <w:sz w:val="24"/>
                <w:szCs w:val="24"/>
                <w:lang w:val="en-GB"/>
              </w:rPr>
              <w:t xml:space="preserve"> 2009).)</w:t>
            </w:r>
          </w:p>
        </w:tc>
        <w:tc>
          <w:tcPr>
            <w:tcW w:w="2821" w:type="dxa"/>
            <w:shd w:val="clear" w:color="auto" w:fill="auto"/>
          </w:tcPr>
          <w:p w14:paraId="71AC93DA" w14:textId="19B9878C" w:rsidR="00DD2461" w:rsidRPr="000425DF" w:rsidRDefault="00F63F5D" w:rsidP="002436C9">
            <w:pPr>
              <w:rPr>
                <w:rFonts w:asciiTheme="majorBidi" w:hAnsiTheme="majorBidi" w:cstheme="majorBidi"/>
                <w:noProof w:val="0"/>
                <w:color w:val="000000"/>
                <w:sz w:val="24"/>
                <w:szCs w:val="24"/>
                <w:lang w:val="en-GB"/>
              </w:rPr>
            </w:pPr>
            <w:r>
              <w:rPr>
                <w:rFonts w:asciiTheme="majorBidi" w:hAnsiTheme="majorBidi" w:cstheme="majorBidi"/>
                <w:color w:val="000000"/>
                <w:sz w:val="24"/>
                <w:szCs w:val="24"/>
                <w:lang w:val="en-GB"/>
              </w:rPr>
              <w:lastRenderedPageBreak/>
              <w:t>Kerschen, 2008; Koster &amp; Ribeiro, 2010; Köstler, 1999; Mutual Information System on Social Protection in the EU member states, the EEA and Switzerland [MISSOC], 2009; OECD, 2005; Pacolet &amp; Wispelaere, 2018</w:t>
            </w:r>
          </w:p>
        </w:tc>
        <w:tc>
          <w:tcPr>
            <w:tcW w:w="1275" w:type="dxa"/>
            <w:shd w:val="clear" w:color="auto" w:fill="auto"/>
          </w:tcPr>
          <w:p w14:paraId="04B0FD6C" w14:textId="77777777" w:rsidR="00DD2461" w:rsidRPr="000425DF" w:rsidRDefault="00E211CC" w:rsidP="00DD2461">
            <w:pPr>
              <w:rPr>
                <w:rFonts w:asciiTheme="majorBidi" w:hAnsiTheme="majorBidi" w:cstheme="majorBidi"/>
                <w:noProof w:val="0"/>
                <w:color w:val="000000"/>
                <w:sz w:val="24"/>
                <w:szCs w:val="24"/>
                <w:lang w:val="en-GB"/>
              </w:rPr>
            </w:pPr>
            <w:r w:rsidRPr="000425DF">
              <w:rPr>
                <w:rFonts w:asciiTheme="majorBidi" w:hAnsiTheme="majorBidi" w:cstheme="majorBidi"/>
                <w:noProof w:val="0"/>
                <w:color w:val="000000"/>
                <w:sz w:val="24"/>
                <w:szCs w:val="24"/>
                <w:lang w:val="en-GB"/>
              </w:rPr>
              <w:t>Low</w:t>
            </w:r>
          </w:p>
        </w:tc>
        <w:tc>
          <w:tcPr>
            <w:tcW w:w="706" w:type="dxa"/>
            <w:shd w:val="clear" w:color="auto" w:fill="auto"/>
          </w:tcPr>
          <w:p w14:paraId="14F6C904" w14:textId="77777777" w:rsidR="00DD2461" w:rsidRPr="000425DF" w:rsidRDefault="00203EE6" w:rsidP="00DD2461">
            <w:pPr>
              <w:rPr>
                <w:rFonts w:asciiTheme="majorBidi" w:hAnsiTheme="majorBidi" w:cstheme="majorBidi"/>
                <w:noProof w:val="0"/>
                <w:sz w:val="24"/>
                <w:szCs w:val="24"/>
                <w:lang w:val="en-GB"/>
              </w:rPr>
            </w:pPr>
            <w:r w:rsidRPr="000425DF">
              <w:rPr>
                <w:rFonts w:asciiTheme="majorBidi" w:hAnsiTheme="majorBidi" w:cstheme="majorBidi"/>
                <w:noProof w:val="0"/>
                <w:sz w:val="24"/>
                <w:szCs w:val="24"/>
                <w:lang w:val="en-GB"/>
              </w:rPr>
              <w:t>0.</w:t>
            </w:r>
            <w:r w:rsidR="00E211CC" w:rsidRPr="000425DF">
              <w:rPr>
                <w:rFonts w:asciiTheme="majorBidi" w:hAnsiTheme="majorBidi" w:cstheme="majorBidi"/>
                <w:noProof w:val="0"/>
                <w:sz w:val="24"/>
                <w:szCs w:val="24"/>
                <w:lang w:val="en-GB"/>
              </w:rPr>
              <w:t>17</w:t>
            </w:r>
          </w:p>
        </w:tc>
        <w:tc>
          <w:tcPr>
            <w:tcW w:w="707" w:type="dxa"/>
            <w:shd w:val="clear" w:color="auto" w:fill="auto"/>
          </w:tcPr>
          <w:p w14:paraId="5A8A5B72" w14:textId="49FACE78" w:rsidR="00DD2461" w:rsidRPr="00935C60" w:rsidRDefault="00203EE6" w:rsidP="00DD2461">
            <w:pPr>
              <w:rPr>
                <w:rFonts w:asciiTheme="majorBidi" w:hAnsiTheme="majorBidi" w:cstheme="majorBidi"/>
                <w:noProof w:val="0"/>
                <w:sz w:val="24"/>
                <w:szCs w:val="24"/>
                <w:lang w:val="en-GB"/>
              </w:rPr>
            </w:pPr>
            <w:r w:rsidRPr="00935C60">
              <w:rPr>
                <w:rFonts w:asciiTheme="majorBidi" w:hAnsiTheme="majorBidi" w:cstheme="majorBidi"/>
                <w:noProof w:val="0"/>
                <w:sz w:val="24"/>
                <w:szCs w:val="24"/>
                <w:lang w:val="en-GB"/>
              </w:rPr>
              <w:t>0.</w:t>
            </w:r>
            <w:r w:rsidR="003D3FCC" w:rsidRPr="00935C60">
              <w:rPr>
                <w:rFonts w:asciiTheme="majorBidi" w:hAnsiTheme="majorBidi" w:cstheme="majorBidi"/>
                <w:noProof w:val="0"/>
                <w:sz w:val="24"/>
                <w:szCs w:val="24"/>
                <w:lang w:val="en-GB"/>
              </w:rPr>
              <w:t>33</w:t>
            </w:r>
          </w:p>
        </w:tc>
        <w:tc>
          <w:tcPr>
            <w:tcW w:w="708" w:type="dxa"/>
            <w:shd w:val="clear" w:color="auto" w:fill="auto"/>
          </w:tcPr>
          <w:p w14:paraId="08E2F8B6" w14:textId="1B730ADD" w:rsidR="00DD2461" w:rsidRPr="000425DF" w:rsidRDefault="00203EE6" w:rsidP="00DD2461">
            <w:pPr>
              <w:rPr>
                <w:rFonts w:asciiTheme="majorBidi" w:hAnsiTheme="majorBidi" w:cstheme="majorBidi"/>
                <w:noProof w:val="0"/>
                <w:sz w:val="24"/>
                <w:szCs w:val="24"/>
                <w:lang w:val="en-GB"/>
              </w:rPr>
            </w:pPr>
            <w:r w:rsidRPr="000425DF">
              <w:rPr>
                <w:rFonts w:asciiTheme="majorBidi" w:hAnsiTheme="majorBidi" w:cstheme="majorBidi"/>
                <w:noProof w:val="0"/>
                <w:sz w:val="24"/>
                <w:szCs w:val="24"/>
                <w:lang w:val="en-GB"/>
              </w:rPr>
              <w:t>0.</w:t>
            </w:r>
            <w:r w:rsidR="003D3FCC" w:rsidRPr="000425DF">
              <w:rPr>
                <w:rFonts w:asciiTheme="majorBidi" w:hAnsiTheme="majorBidi" w:cstheme="majorBidi"/>
                <w:noProof w:val="0"/>
                <w:sz w:val="24"/>
                <w:szCs w:val="24"/>
                <w:lang w:val="en-GB"/>
              </w:rPr>
              <w:t>33</w:t>
            </w:r>
          </w:p>
        </w:tc>
        <w:tc>
          <w:tcPr>
            <w:tcW w:w="708" w:type="dxa"/>
            <w:shd w:val="clear" w:color="auto" w:fill="auto"/>
          </w:tcPr>
          <w:p w14:paraId="066C1EDC" w14:textId="77777777" w:rsidR="00DD2461" w:rsidRPr="000425DF" w:rsidRDefault="00203EE6" w:rsidP="00DD2461">
            <w:pPr>
              <w:rPr>
                <w:rFonts w:asciiTheme="majorBidi" w:hAnsiTheme="majorBidi" w:cstheme="majorBidi"/>
                <w:noProof w:val="0"/>
                <w:color w:val="FF0000"/>
                <w:sz w:val="24"/>
                <w:szCs w:val="24"/>
                <w:lang w:val="en-GB"/>
              </w:rPr>
            </w:pPr>
            <w:r w:rsidRPr="000425DF">
              <w:rPr>
                <w:rFonts w:asciiTheme="majorBidi" w:hAnsiTheme="majorBidi" w:cstheme="majorBidi"/>
                <w:noProof w:val="0"/>
                <w:sz w:val="24"/>
                <w:szCs w:val="24"/>
                <w:lang w:val="en-GB"/>
              </w:rPr>
              <w:t>0.17</w:t>
            </w:r>
          </w:p>
        </w:tc>
      </w:tr>
      <w:tr w:rsidR="00603755" w:rsidRPr="000425DF" w14:paraId="1152EFD1" w14:textId="77777777" w:rsidTr="00DD2461">
        <w:tc>
          <w:tcPr>
            <w:tcW w:w="1333" w:type="dxa"/>
            <w:shd w:val="clear" w:color="auto" w:fill="auto"/>
          </w:tcPr>
          <w:p w14:paraId="2A5A9F22" w14:textId="1C74A552" w:rsidR="00603755" w:rsidRPr="000425DF" w:rsidRDefault="009A4B0B" w:rsidP="00DD2461">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 xml:space="preserve">Luxembourg </w:t>
            </w:r>
            <w:r w:rsidR="00935C60">
              <w:rPr>
                <w:rFonts w:asciiTheme="majorBidi" w:hAnsiTheme="majorBidi" w:cstheme="majorBidi"/>
                <w:noProof w:val="0"/>
                <w:color w:val="1F3864" w:themeColor="accent1" w:themeShade="80"/>
                <w:sz w:val="24"/>
                <w:szCs w:val="24"/>
                <w:lang w:val="en-GB"/>
              </w:rPr>
              <w:t>(today)</w:t>
            </w:r>
          </w:p>
        </w:tc>
        <w:tc>
          <w:tcPr>
            <w:tcW w:w="6479" w:type="dxa"/>
            <w:shd w:val="clear" w:color="auto" w:fill="auto"/>
          </w:tcPr>
          <w:p w14:paraId="6B34EAFB" w14:textId="69806E96" w:rsidR="00603755" w:rsidRPr="000425DF" w:rsidRDefault="00F42767" w:rsidP="00DD2461">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 xml:space="preserve">In </w:t>
            </w:r>
            <w:r w:rsidR="00603755" w:rsidRPr="000425DF">
              <w:rPr>
                <w:rFonts w:asciiTheme="majorBidi" w:hAnsiTheme="majorBidi" w:cstheme="majorBidi"/>
                <w:noProof w:val="0"/>
                <w:color w:val="1F3864" w:themeColor="accent1" w:themeShade="80"/>
                <w:sz w:val="24"/>
                <w:szCs w:val="24"/>
                <w:lang w:val="en-GB"/>
              </w:rPr>
              <w:t>2016</w:t>
            </w:r>
            <w:r w:rsidRPr="000425DF">
              <w:rPr>
                <w:rFonts w:asciiTheme="majorBidi" w:hAnsiTheme="majorBidi" w:cstheme="majorBidi"/>
                <w:noProof w:val="0"/>
                <w:color w:val="1F3864" w:themeColor="accent1" w:themeShade="80"/>
                <w:sz w:val="24"/>
                <w:szCs w:val="24"/>
                <w:lang w:val="en-GB"/>
              </w:rPr>
              <w:t xml:space="preserve">, the shares of different benefits in the AD were the following (Pacolet </w:t>
            </w:r>
            <w:r w:rsidR="002436C9" w:rsidRPr="000425DF">
              <w:rPr>
                <w:rFonts w:asciiTheme="majorBidi" w:hAnsiTheme="majorBidi" w:cstheme="majorBidi"/>
                <w:noProof w:val="0"/>
                <w:color w:val="1F3864" w:themeColor="accent1" w:themeShade="80"/>
                <w:sz w:val="24"/>
                <w:szCs w:val="24"/>
                <w:lang w:val="en-GB"/>
              </w:rPr>
              <w:t>and</w:t>
            </w:r>
            <w:r w:rsidRPr="000425DF">
              <w:rPr>
                <w:rFonts w:asciiTheme="majorBidi" w:hAnsiTheme="majorBidi" w:cstheme="majorBidi"/>
                <w:noProof w:val="0"/>
                <w:color w:val="1F3864" w:themeColor="accent1" w:themeShade="80"/>
                <w:sz w:val="24"/>
                <w:szCs w:val="24"/>
                <w:lang w:val="en-GB"/>
              </w:rPr>
              <w:t xml:space="preserve"> De </w:t>
            </w:r>
            <w:proofErr w:type="spellStart"/>
            <w:r w:rsidRPr="000425DF">
              <w:rPr>
                <w:rFonts w:asciiTheme="majorBidi" w:hAnsiTheme="majorBidi" w:cstheme="majorBidi"/>
                <w:noProof w:val="0"/>
                <w:color w:val="1F3864" w:themeColor="accent1" w:themeShade="80"/>
                <w:sz w:val="24"/>
                <w:szCs w:val="24"/>
                <w:lang w:val="en-GB"/>
              </w:rPr>
              <w:t>Wispelaere</w:t>
            </w:r>
            <w:proofErr w:type="spellEnd"/>
            <w:r w:rsidRPr="000425DF">
              <w:rPr>
                <w:rFonts w:asciiTheme="majorBidi" w:hAnsiTheme="majorBidi" w:cstheme="majorBidi"/>
                <w:noProof w:val="0"/>
                <w:color w:val="1F3864" w:themeColor="accent1" w:themeShade="80"/>
                <w:sz w:val="24"/>
                <w:szCs w:val="24"/>
                <w:lang w:val="en-GB"/>
              </w:rPr>
              <w:t xml:space="preserve"> 2018):</w:t>
            </w:r>
          </w:p>
          <w:p w14:paraId="7922E65D" w14:textId="1EBFE95C" w:rsidR="00F42767" w:rsidRPr="000425DF" w:rsidRDefault="00E14924" w:rsidP="00DD2461">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Institutional</w:t>
            </w:r>
            <w:r w:rsidR="00F42767" w:rsidRPr="000425DF">
              <w:rPr>
                <w:rFonts w:asciiTheme="majorBidi" w:hAnsiTheme="majorBidi" w:cstheme="majorBidi"/>
                <w:noProof w:val="0"/>
                <w:color w:val="1F3864" w:themeColor="accent1" w:themeShade="80"/>
                <w:sz w:val="24"/>
                <w:szCs w:val="24"/>
                <w:lang w:val="en-GB"/>
              </w:rPr>
              <w:t xml:space="preserve"> care: 33%</w:t>
            </w:r>
          </w:p>
          <w:p w14:paraId="14FB9FE7" w14:textId="31FBE972" w:rsidR="00F42767" w:rsidRPr="000425DF" w:rsidRDefault="00F42767" w:rsidP="00DD2461">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Home-care services: 14%</w:t>
            </w:r>
          </w:p>
          <w:p w14:paraId="283791C8" w14:textId="498D4322" w:rsidR="00F42767" w:rsidRPr="000425DF" w:rsidRDefault="00F42767" w:rsidP="00DD2461">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Home-care cash &amp; services: 42.1%</w:t>
            </w:r>
          </w:p>
          <w:p w14:paraId="4B5539E8" w14:textId="43683E72" w:rsidR="00F42767" w:rsidRPr="000425DF" w:rsidRDefault="00F42767" w:rsidP="00DD2461">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Home</w:t>
            </w:r>
            <w:r w:rsidR="00E14924" w:rsidRPr="000425DF">
              <w:rPr>
                <w:rFonts w:asciiTheme="majorBidi" w:hAnsiTheme="majorBidi" w:cstheme="majorBidi"/>
                <w:noProof w:val="0"/>
                <w:color w:val="1F3864" w:themeColor="accent1" w:themeShade="80"/>
                <w:sz w:val="24"/>
                <w:szCs w:val="24"/>
                <w:lang w:val="en-GB"/>
              </w:rPr>
              <w:t>-</w:t>
            </w:r>
            <w:r w:rsidRPr="000425DF">
              <w:rPr>
                <w:rFonts w:asciiTheme="majorBidi" w:hAnsiTheme="majorBidi" w:cstheme="majorBidi"/>
                <w:noProof w:val="0"/>
                <w:color w:val="1F3864" w:themeColor="accent1" w:themeShade="80"/>
                <w:sz w:val="24"/>
                <w:szCs w:val="24"/>
                <w:lang w:val="en-GB"/>
              </w:rPr>
              <w:t>care cash: 10.7%</w:t>
            </w:r>
          </w:p>
          <w:p w14:paraId="7197B710" w14:textId="0F93C88E" w:rsidR="00603755" w:rsidRPr="000425DF" w:rsidRDefault="00E14924" w:rsidP="00066FBD">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Consequently, a majority of 89.3% receives at least some formal care</w:t>
            </w:r>
            <w:r w:rsidR="00066FBD" w:rsidRPr="000425DF">
              <w:rPr>
                <w:rFonts w:asciiTheme="majorBidi" w:hAnsiTheme="majorBidi" w:cstheme="majorBidi"/>
                <w:noProof w:val="0"/>
                <w:color w:val="1F3864" w:themeColor="accent1" w:themeShade="80"/>
                <w:sz w:val="24"/>
                <w:szCs w:val="24"/>
                <w:lang w:val="en-GB"/>
              </w:rPr>
              <w:t>. As outlined above, there is no data on the share for formal provider types but the state seems to be less relevant than private non/for-profit providers. While the share of pure cash-benefit recipients diminished in the last 15 years, with a share of a bit over 10% and a large share of mixed benefits it seems plausible that informal care is still somewhat relevant. For receiving the cash-benefit, an informal assistant must be present and registered with the CEO (MISSOC 2016).</w:t>
            </w:r>
          </w:p>
        </w:tc>
        <w:tc>
          <w:tcPr>
            <w:tcW w:w="2821" w:type="dxa"/>
            <w:shd w:val="clear" w:color="auto" w:fill="auto"/>
          </w:tcPr>
          <w:p w14:paraId="6456C73D" w14:textId="7683AC81" w:rsidR="00603755" w:rsidRPr="000425DF" w:rsidRDefault="00F63F5D" w:rsidP="00DC7365">
            <w:pPr>
              <w:rPr>
                <w:rFonts w:asciiTheme="majorBidi" w:hAnsiTheme="majorBidi" w:cstheme="majorBidi"/>
                <w:noProof w:val="0"/>
                <w:color w:val="000000"/>
                <w:sz w:val="24"/>
                <w:szCs w:val="24"/>
                <w:lang w:val="en-GB"/>
              </w:rPr>
            </w:pPr>
            <w:r>
              <w:rPr>
                <w:rFonts w:asciiTheme="majorBidi" w:hAnsiTheme="majorBidi" w:cstheme="majorBidi"/>
                <w:color w:val="000000"/>
                <w:sz w:val="24"/>
                <w:szCs w:val="24"/>
                <w:lang w:val="en-GB"/>
              </w:rPr>
              <w:t>Koster &amp; Ribeiro, 2010; MISSOC, 2016; Pacolet &amp; Wispelaere, 2018</w:t>
            </w:r>
          </w:p>
        </w:tc>
        <w:tc>
          <w:tcPr>
            <w:tcW w:w="1275" w:type="dxa"/>
            <w:shd w:val="clear" w:color="auto" w:fill="auto"/>
          </w:tcPr>
          <w:p w14:paraId="702654AF" w14:textId="1750EB6F" w:rsidR="00603755" w:rsidRPr="000425DF" w:rsidRDefault="003D3F94" w:rsidP="00DD2461">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Low</w:t>
            </w:r>
          </w:p>
        </w:tc>
        <w:tc>
          <w:tcPr>
            <w:tcW w:w="706" w:type="dxa"/>
            <w:shd w:val="clear" w:color="auto" w:fill="auto"/>
          </w:tcPr>
          <w:p w14:paraId="098BC280" w14:textId="0965FB73" w:rsidR="00603755" w:rsidRPr="000425DF" w:rsidRDefault="00066FBD" w:rsidP="00DD2461">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0.17</w:t>
            </w:r>
          </w:p>
        </w:tc>
        <w:tc>
          <w:tcPr>
            <w:tcW w:w="707" w:type="dxa"/>
            <w:shd w:val="clear" w:color="auto" w:fill="auto"/>
          </w:tcPr>
          <w:p w14:paraId="51B164F7" w14:textId="28390ADC" w:rsidR="00603755" w:rsidRPr="00935C60" w:rsidRDefault="00066FBD" w:rsidP="00DD2461">
            <w:pPr>
              <w:rPr>
                <w:rFonts w:asciiTheme="majorBidi" w:hAnsiTheme="majorBidi" w:cstheme="majorBidi"/>
                <w:noProof w:val="0"/>
                <w:color w:val="1F3864" w:themeColor="accent1" w:themeShade="80"/>
                <w:sz w:val="24"/>
                <w:szCs w:val="24"/>
                <w:lang w:val="en-GB"/>
              </w:rPr>
            </w:pPr>
            <w:r w:rsidRPr="00935C60">
              <w:rPr>
                <w:rFonts w:asciiTheme="majorBidi" w:hAnsiTheme="majorBidi" w:cstheme="majorBidi"/>
                <w:noProof w:val="0"/>
                <w:color w:val="1F3864" w:themeColor="accent1" w:themeShade="80"/>
                <w:sz w:val="24"/>
                <w:szCs w:val="24"/>
                <w:lang w:val="en-GB"/>
              </w:rPr>
              <w:t>0.</w:t>
            </w:r>
            <w:r w:rsidR="003D3FCC" w:rsidRPr="00935C60">
              <w:rPr>
                <w:rFonts w:asciiTheme="majorBidi" w:hAnsiTheme="majorBidi" w:cstheme="majorBidi"/>
                <w:noProof w:val="0"/>
                <w:color w:val="1F3864" w:themeColor="accent1" w:themeShade="80"/>
                <w:sz w:val="24"/>
                <w:szCs w:val="24"/>
                <w:lang w:val="en-GB"/>
              </w:rPr>
              <w:t>33</w:t>
            </w:r>
          </w:p>
        </w:tc>
        <w:tc>
          <w:tcPr>
            <w:tcW w:w="708" w:type="dxa"/>
            <w:shd w:val="clear" w:color="auto" w:fill="auto"/>
          </w:tcPr>
          <w:p w14:paraId="1D7B47FA" w14:textId="0AA7B14F" w:rsidR="00603755" w:rsidRPr="000425DF" w:rsidRDefault="00066FBD" w:rsidP="00DD2461">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0.</w:t>
            </w:r>
            <w:r w:rsidR="003D3FCC" w:rsidRPr="000425DF">
              <w:rPr>
                <w:rFonts w:asciiTheme="majorBidi" w:hAnsiTheme="majorBidi" w:cstheme="majorBidi"/>
                <w:noProof w:val="0"/>
                <w:color w:val="1F3864" w:themeColor="accent1" w:themeShade="80"/>
                <w:sz w:val="24"/>
                <w:szCs w:val="24"/>
                <w:lang w:val="en-GB"/>
              </w:rPr>
              <w:t>33</w:t>
            </w:r>
          </w:p>
        </w:tc>
        <w:tc>
          <w:tcPr>
            <w:tcW w:w="708" w:type="dxa"/>
            <w:shd w:val="clear" w:color="auto" w:fill="auto"/>
          </w:tcPr>
          <w:p w14:paraId="1D84F90B" w14:textId="3677D8A6" w:rsidR="00603755" w:rsidRPr="000425DF" w:rsidRDefault="00066FBD" w:rsidP="00DD2461">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0.17</w:t>
            </w:r>
          </w:p>
        </w:tc>
      </w:tr>
      <w:tr w:rsidR="00DD2461" w:rsidRPr="000425DF" w14:paraId="25CF91F8" w14:textId="77777777" w:rsidTr="00DD2461">
        <w:tc>
          <w:tcPr>
            <w:tcW w:w="1333" w:type="dxa"/>
            <w:shd w:val="clear" w:color="auto" w:fill="auto"/>
          </w:tcPr>
          <w:p w14:paraId="00C2CBDF" w14:textId="6140B768" w:rsidR="00DD2461" w:rsidRPr="000425DF" w:rsidRDefault="00DD2461" w:rsidP="00DD2461">
            <w:pPr>
              <w:spacing w:after="160" w:line="259" w:lineRule="auto"/>
              <w:rPr>
                <w:rFonts w:asciiTheme="majorBidi" w:hAnsiTheme="majorBidi" w:cstheme="majorBidi"/>
                <w:noProof w:val="0"/>
                <w:sz w:val="24"/>
                <w:szCs w:val="24"/>
                <w:lang w:val="en-GB"/>
              </w:rPr>
            </w:pPr>
            <w:r w:rsidRPr="000425DF">
              <w:rPr>
                <w:rFonts w:asciiTheme="majorBidi" w:hAnsiTheme="majorBidi" w:cstheme="majorBidi"/>
                <w:noProof w:val="0"/>
                <w:sz w:val="24"/>
                <w:szCs w:val="24"/>
                <w:lang w:val="en-GB"/>
              </w:rPr>
              <w:t>Netherlands</w:t>
            </w:r>
            <w:r w:rsidR="004816A2" w:rsidRPr="000425DF">
              <w:rPr>
                <w:rFonts w:asciiTheme="majorBidi" w:hAnsiTheme="majorBidi" w:cstheme="majorBidi"/>
                <w:noProof w:val="0"/>
                <w:sz w:val="24"/>
                <w:szCs w:val="24"/>
                <w:lang w:val="en-GB"/>
              </w:rPr>
              <w:t xml:space="preserve"> </w:t>
            </w:r>
            <w:r w:rsidR="00935C60">
              <w:rPr>
                <w:rFonts w:asciiTheme="majorBidi" w:hAnsiTheme="majorBidi" w:cstheme="majorBidi"/>
                <w:noProof w:val="0"/>
                <w:sz w:val="24"/>
                <w:szCs w:val="24"/>
                <w:lang w:val="en-GB"/>
              </w:rPr>
              <w:t>(introduction)</w:t>
            </w:r>
          </w:p>
        </w:tc>
        <w:tc>
          <w:tcPr>
            <w:tcW w:w="6479" w:type="dxa"/>
            <w:shd w:val="clear" w:color="auto" w:fill="auto"/>
          </w:tcPr>
          <w:p w14:paraId="4C13C79C" w14:textId="16777BC4" w:rsidR="00DD2461" w:rsidRPr="000425DF" w:rsidRDefault="00DD2461" w:rsidP="00DC7365">
            <w:pPr>
              <w:rPr>
                <w:rFonts w:asciiTheme="majorBidi" w:hAnsiTheme="majorBidi" w:cstheme="majorBidi"/>
                <w:noProof w:val="0"/>
                <w:color w:val="000000"/>
                <w:sz w:val="24"/>
                <w:szCs w:val="24"/>
                <w:lang w:val="en-GB"/>
              </w:rPr>
            </w:pPr>
            <w:r w:rsidRPr="000425DF">
              <w:rPr>
                <w:rFonts w:asciiTheme="majorBidi" w:hAnsiTheme="majorBidi" w:cstheme="majorBidi"/>
                <w:noProof w:val="0"/>
                <w:color w:val="000000"/>
                <w:sz w:val="24"/>
                <w:szCs w:val="24"/>
                <w:lang w:val="en-GB"/>
              </w:rPr>
              <w:t>At its inception, benefits funded under the AWBZ were limited to in-kind residential care services. The overwhelming majority of nursing homes was non-governmental and non-profit. For-profit care provision was not allowed. A small share was operated by state-run homes.</w:t>
            </w:r>
          </w:p>
        </w:tc>
        <w:tc>
          <w:tcPr>
            <w:tcW w:w="2821" w:type="dxa"/>
            <w:shd w:val="clear" w:color="auto" w:fill="auto"/>
          </w:tcPr>
          <w:p w14:paraId="2DDD7BD9" w14:textId="3820FBD4" w:rsidR="00DD2461" w:rsidRPr="000425DF" w:rsidRDefault="00F63F5D" w:rsidP="00DC7365">
            <w:pPr>
              <w:rPr>
                <w:rFonts w:asciiTheme="majorBidi" w:hAnsiTheme="majorBidi" w:cstheme="majorBidi"/>
                <w:noProof w:val="0"/>
                <w:color w:val="000000"/>
                <w:sz w:val="24"/>
                <w:szCs w:val="24"/>
                <w:lang w:val="en-GB"/>
              </w:rPr>
            </w:pPr>
            <w:r>
              <w:rPr>
                <w:rFonts w:asciiTheme="majorBidi" w:hAnsiTheme="majorBidi" w:cstheme="majorBidi"/>
                <w:color w:val="000000"/>
                <w:sz w:val="24"/>
                <w:szCs w:val="24"/>
                <w:lang w:val="en-GB"/>
              </w:rPr>
              <w:t>Companje, 2014; Meijer, van Campen, &amp; Kerkstra, 2000; van Hooren &amp; Becker, 2012; van Nostrand et al., 1995; Winters, 1999</w:t>
            </w:r>
          </w:p>
        </w:tc>
        <w:tc>
          <w:tcPr>
            <w:tcW w:w="1275" w:type="dxa"/>
            <w:shd w:val="clear" w:color="auto" w:fill="auto"/>
          </w:tcPr>
          <w:p w14:paraId="24E50069" w14:textId="77777777" w:rsidR="00DD2461" w:rsidRPr="000425DF" w:rsidRDefault="00E211CC" w:rsidP="00DD2461">
            <w:pPr>
              <w:rPr>
                <w:rFonts w:asciiTheme="majorBidi" w:hAnsiTheme="majorBidi" w:cstheme="majorBidi"/>
                <w:noProof w:val="0"/>
                <w:color w:val="000000"/>
                <w:sz w:val="24"/>
                <w:szCs w:val="24"/>
                <w:lang w:val="en-GB"/>
              </w:rPr>
            </w:pPr>
            <w:r w:rsidRPr="000425DF">
              <w:rPr>
                <w:rFonts w:asciiTheme="majorBidi" w:hAnsiTheme="majorBidi" w:cstheme="majorBidi"/>
                <w:noProof w:val="0"/>
                <w:color w:val="000000"/>
                <w:sz w:val="24"/>
                <w:szCs w:val="24"/>
                <w:lang w:val="en-GB"/>
              </w:rPr>
              <w:t>Medium</w:t>
            </w:r>
          </w:p>
        </w:tc>
        <w:tc>
          <w:tcPr>
            <w:tcW w:w="706" w:type="dxa"/>
            <w:shd w:val="clear" w:color="auto" w:fill="auto"/>
          </w:tcPr>
          <w:p w14:paraId="004D880D" w14:textId="77777777" w:rsidR="00DD2461" w:rsidRPr="000425DF" w:rsidRDefault="00E211CC" w:rsidP="00DD2461">
            <w:pPr>
              <w:rPr>
                <w:rFonts w:asciiTheme="majorBidi" w:hAnsiTheme="majorBidi" w:cstheme="majorBidi"/>
                <w:noProof w:val="0"/>
                <w:color w:val="000000"/>
                <w:sz w:val="24"/>
                <w:szCs w:val="24"/>
                <w:lang w:val="en-GB"/>
              </w:rPr>
            </w:pPr>
            <w:r w:rsidRPr="000425DF">
              <w:rPr>
                <w:rFonts w:asciiTheme="majorBidi" w:hAnsiTheme="majorBidi" w:cstheme="majorBidi"/>
                <w:noProof w:val="0"/>
                <w:color w:val="000000"/>
                <w:sz w:val="24"/>
                <w:szCs w:val="24"/>
                <w:lang w:val="en-GB"/>
              </w:rPr>
              <w:t>0.0</w:t>
            </w:r>
          </w:p>
        </w:tc>
        <w:tc>
          <w:tcPr>
            <w:tcW w:w="707" w:type="dxa"/>
            <w:shd w:val="clear" w:color="auto" w:fill="auto"/>
          </w:tcPr>
          <w:p w14:paraId="39690E46" w14:textId="77777777" w:rsidR="00DD2461" w:rsidRPr="00935C60" w:rsidRDefault="00E211CC" w:rsidP="00DD2461">
            <w:pPr>
              <w:rPr>
                <w:rFonts w:asciiTheme="majorBidi" w:hAnsiTheme="majorBidi" w:cstheme="majorBidi"/>
                <w:noProof w:val="0"/>
                <w:color w:val="000000"/>
                <w:sz w:val="24"/>
                <w:szCs w:val="24"/>
                <w:lang w:val="en-GB"/>
              </w:rPr>
            </w:pPr>
            <w:r w:rsidRPr="00935C60">
              <w:rPr>
                <w:rFonts w:asciiTheme="majorBidi" w:hAnsiTheme="majorBidi" w:cstheme="majorBidi"/>
                <w:noProof w:val="0"/>
                <w:color w:val="000000"/>
                <w:sz w:val="24"/>
                <w:szCs w:val="24"/>
                <w:lang w:val="en-GB"/>
              </w:rPr>
              <w:t>1.0</w:t>
            </w:r>
          </w:p>
        </w:tc>
        <w:tc>
          <w:tcPr>
            <w:tcW w:w="708" w:type="dxa"/>
            <w:shd w:val="clear" w:color="auto" w:fill="auto"/>
          </w:tcPr>
          <w:p w14:paraId="0E556C13" w14:textId="77777777" w:rsidR="00DD2461" w:rsidRPr="000425DF" w:rsidRDefault="00E211CC" w:rsidP="00DD2461">
            <w:pPr>
              <w:rPr>
                <w:rFonts w:asciiTheme="majorBidi" w:hAnsiTheme="majorBidi" w:cstheme="majorBidi"/>
                <w:noProof w:val="0"/>
                <w:color w:val="000000"/>
                <w:sz w:val="24"/>
                <w:szCs w:val="24"/>
                <w:lang w:val="en-GB"/>
              </w:rPr>
            </w:pPr>
            <w:r w:rsidRPr="000425DF">
              <w:rPr>
                <w:rFonts w:asciiTheme="majorBidi" w:hAnsiTheme="majorBidi" w:cstheme="majorBidi"/>
                <w:noProof w:val="0"/>
                <w:color w:val="000000"/>
                <w:sz w:val="24"/>
                <w:szCs w:val="24"/>
                <w:lang w:val="en-GB"/>
              </w:rPr>
              <w:t>0.0</w:t>
            </w:r>
          </w:p>
        </w:tc>
        <w:tc>
          <w:tcPr>
            <w:tcW w:w="708" w:type="dxa"/>
            <w:shd w:val="clear" w:color="auto" w:fill="auto"/>
          </w:tcPr>
          <w:p w14:paraId="7E1FD231" w14:textId="77777777" w:rsidR="00DD2461" w:rsidRPr="000425DF" w:rsidRDefault="00E211CC" w:rsidP="00DD2461">
            <w:pPr>
              <w:rPr>
                <w:rFonts w:asciiTheme="majorBidi" w:hAnsiTheme="majorBidi" w:cstheme="majorBidi"/>
                <w:noProof w:val="0"/>
                <w:color w:val="000000"/>
                <w:sz w:val="24"/>
                <w:szCs w:val="24"/>
                <w:lang w:val="en-GB"/>
              </w:rPr>
            </w:pPr>
            <w:r w:rsidRPr="000425DF">
              <w:rPr>
                <w:rFonts w:asciiTheme="majorBidi" w:hAnsiTheme="majorBidi" w:cstheme="majorBidi"/>
                <w:noProof w:val="0"/>
                <w:color w:val="000000"/>
                <w:sz w:val="24"/>
                <w:szCs w:val="24"/>
                <w:lang w:val="en-GB"/>
              </w:rPr>
              <w:t>0.0</w:t>
            </w:r>
          </w:p>
        </w:tc>
      </w:tr>
      <w:tr w:rsidR="004816A2" w:rsidRPr="000425DF" w14:paraId="66E3BDC5" w14:textId="77777777" w:rsidTr="00DD2461">
        <w:tc>
          <w:tcPr>
            <w:tcW w:w="1333" w:type="dxa"/>
            <w:shd w:val="clear" w:color="auto" w:fill="auto"/>
          </w:tcPr>
          <w:p w14:paraId="34343AA9" w14:textId="6EB6158F" w:rsidR="004816A2" w:rsidRPr="000425DF" w:rsidRDefault="004816A2" w:rsidP="00DD2461">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 xml:space="preserve">Netherlands </w:t>
            </w:r>
            <w:r w:rsidR="00935C60">
              <w:rPr>
                <w:rFonts w:asciiTheme="majorBidi" w:hAnsiTheme="majorBidi" w:cstheme="majorBidi"/>
                <w:noProof w:val="0"/>
                <w:color w:val="1F3864" w:themeColor="accent1" w:themeShade="80"/>
                <w:sz w:val="24"/>
                <w:szCs w:val="24"/>
                <w:lang w:val="en-GB"/>
              </w:rPr>
              <w:t>(today)</w:t>
            </w:r>
          </w:p>
        </w:tc>
        <w:tc>
          <w:tcPr>
            <w:tcW w:w="6479" w:type="dxa"/>
            <w:shd w:val="clear" w:color="auto" w:fill="auto"/>
          </w:tcPr>
          <w:p w14:paraId="23A30799" w14:textId="048D84A7" w:rsidR="00D85422" w:rsidRPr="000425DF" w:rsidRDefault="00D85422" w:rsidP="00770978">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At the end of the 2000s, around 10% of LTC recipients received the personal budget (</w:t>
            </w:r>
            <w:r w:rsidR="001A763C" w:rsidRPr="000425DF">
              <w:rPr>
                <w:rFonts w:asciiTheme="majorBidi" w:hAnsiTheme="majorBidi" w:cstheme="majorBidi"/>
                <w:noProof w:val="0"/>
                <w:color w:val="1F3864" w:themeColor="accent1" w:themeShade="80"/>
                <w:sz w:val="24"/>
                <w:szCs w:val="24"/>
                <w:lang w:val="en-GB"/>
              </w:rPr>
              <w:t xml:space="preserve">PB, </w:t>
            </w:r>
            <w:r w:rsidRPr="000425DF">
              <w:rPr>
                <w:rFonts w:asciiTheme="majorBidi" w:hAnsiTheme="majorBidi" w:cstheme="majorBidi"/>
                <w:noProof w:val="0"/>
                <w:color w:val="1F3864" w:themeColor="accent1" w:themeShade="80"/>
                <w:sz w:val="24"/>
                <w:szCs w:val="24"/>
                <w:lang w:val="en-GB"/>
              </w:rPr>
              <w:t>i.e. cash benefits), while 90% received services (home/community and institutional care</w:t>
            </w:r>
            <w:r w:rsidR="001A763C" w:rsidRPr="000425DF">
              <w:rPr>
                <w:rFonts w:asciiTheme="majorBidi" w:hAnsiTheme="majorBidi" w:cstheme="majorBidi"/>
                <w:noProof w:val="0"/>
                <w:color w:val="1F3864" w:themeColor="accent1" w:themeShade="80"/>
                <w:sz w:val="24"/>
                <w:szCs w:val="24"/>
                <w:lang w:val="en-GB"/>
              </w:rPr>
              <w:t>)</w:t>
            </w:r>
            <w:r w:rsidRPr="000425DF">
              <w:rPr>
                <w:rFonts w:asciiTheme="majorBidi" w:hAnsiTheme="majorBidi" w:cstheme="majorBidi"/>
                <w:noProof w:val="0"/>
                <w:color w:val="1F3864" w:themeColor="accent1" w:themeShade="80"/>
                <w:sz w:val="24"/>
                <w:szCs w:val="24"/>
                <w:lang w:val="en-GB"/>
              </w:rPr>
              <w:t>.</w:t>
            </w:r>
          </w:p>
          <w:p w14:paraId="624E7809" w14:textId="77777777" w:rsidR="001A763C" w:rsidRPr="000425DF" w:rsidRDefault="001A763C" w:rsidP="00770978">
            <w:pPr>
              <w:rPr>
                <w:rFonts w:asciiTheme="majorBidi" w:hAnsiTheme="majorBidi" w:cstheme="majorBidi"/>
                <w:noProof w:val="0"/>
                <w:color w:val="1F3864" w:themeColor="accent1" w:themeShade="80"/>
                <w:sz w:val="24"/>
                <w:szCs w:val="24"/>
                <w:lang w:val="en-GB"/>
              </w:rPr>
            </w:pPr>
          </w:p>
          <w:p w14:paraId="0813FFC4" w14:textId="438C1B76" w:rsidR="00D85422" w:rsidRPr="000425DF" w:rsidRDefault="00D85422" w:rsidP="00770978">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 xml:space="preserve">Formal services are mainly provided by private non-profit providers. </w:t>
            </w:r>
            <w:r w:rsidR="00DC7365" w:rsidRPr="000425DF">
              <w:rPr>
                <w:rFonts w:asciiTheme="majorBidi" w:hAnsiTheme="majorBidi" w:cstheme="majorBidi"/>
                <w:noProof w:val="0"/>
                <w:color w:val="1F3864" w:themeColor="accent1" w:themeShade="80"/>
                <w:sz w:val="24"/>
                <w:szCs w:val="24"/>
                <w:lang w:val="en-GB"/>
              </w:rPr>
              <w:t>Rodrigues</w:t>
            </w:r>
            <w:r w:rsidRPr="000425DF">
              <w:rPr>
                <w:rFonts w:asciiTheme="majorBidi" w:hAnsiTheme="majorBidi" w:cstheme="majorBidi"/>
                <w:noProof w:val="0"/>
                <w:color w:val="1F3864" w:themeColor="accent1" w:themeShade="80"/>
                <w:sz w:val="24"/>
                <w:szCs w:val="24"/>
                <w:lang w:val="en-GB"/>
              </w:rPr>
              <w:t xml:space="preserve"> </w:t>
            </w:r>
            <w:r w:rsidR="00DC7365" w:rsidRPr="000425DF">
              <w:rPr>
                <w:rFonts w:asciiTheme="majorBidi" w:hAnsiTheme="majorBidi" w:cstheme="majorBidi"/>
                <w:noProof w:val="0"/>
                <w:color w:val="1F3864" w:themeColor="accent1" w:themeShade="80"/>
                <w:sz w:val="24"/>
                <w:szCs w:val="24"/>
                <w:lang w:val="en-GB"/>
              </w:rPr>
              <w:t xml:space="preserve">and </w:t>
            </w:r>
            <w:proofErr w:type="spellStart"/>
            <w:r w:rsidR="00DC7365" w:rsidRPr="000425DF">
              <w:rPr>
                <w:rFonts w:asciiTheme="majorBidi" w:hAnsiTheme="majorBidi" w:cstheme="majorBidi"/>
                <w:noProof w:val="0"/>
                <w:color w:val="1F3864" w:themeColor="accent1" w:themeShade="80"/>
                <w:sz w:val="24"/>
                <w:szCs w:val="24"/>
                <w:lang w:val="en-GB"/>
              </w:rPr>
              <w:t>Nies</w:t>
            </w:r>
            <w:proofErr w:type="spellEnd"/>
            <w:r w:rsidRPr="000425DF">
              <w:rPr>
                <w:rFonts w:asciiTheme="majorBidi" w:hAnsiTheme="majorBidi" w:cstheme="majorBidi"/>
                <w:noProof w:val="0"/>
                <w:color w:val="1F3864" w:themeColor="accent1" w:themeShade="80"/>
                <w:sz w:val="24"/>
                <w:szCs w:val="24"/>
                <w:lang w:val="en-GB"/>
              </w:rPr>
              <w:t xml:space="preserve"> </w:t>
            </w:r>
            <w:r w:rsidR="001A763C" w:rsidRPr="000425DF">
              <w:rPr>
                <w:rFonts w:asciiTheme="majorBidi" w:hAnsiTheme="majorBidi" w:cstheme="majorBidi"/>
                <w:noProof w:val="0"/>
                <w:color w:val="1F3864" w:themeColor="accent1" w:themeShade="80"/>
                <w:sz w:val="24"/>
                <w:szCs w:val="24"/>
                <w:lang w:val="en-GB"/>
              </w:rPr>
              <w:t>(2013) report the following shares for formal services:</w:t>
            </w:r>
          </w:p>
          <w:p w14:paraId="099F7BDD" w14:textId="77777777" w:rsidR="001A763C" w:rsidRPr="000425DF" w:rsidRDefault="001A763C" w:rsidP="001A763C">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lastRenderedPageBreak/>
              <w:t>Public: 0%</w:t>
            </w:r>
          </w:p>
          <w:p w14:paraId="465F7BBE" w14:textId="77777777" w:rsidR="001A763C" w:rsidRPr="000425DF" w:rsidRDefault="001A763C" w:rsidP="001A763C">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Privat non-profit: 80%</w:t>
            </w:r>
          </w:p>
          <w:p w14:paraId="581AF32D" w14:textId="775FE867" w:rsidR="001A763C" w:rsidRPr="000425DF" w:rsidRDefault="001A763C" w:rsidP="001A763C">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Private for-profit 20%</w:t>
            </w:r>
          </w:p>
          <w:p w14:paraId="3563B047" w14:textId="4C6E6D2F" w:rsidR="001A763C" w:rsidRPr="000425DF" w:rsidRDefault="001A763C" w:rsidP="001A763C">
            <w:pPr>
              <w:rPr>
                <w:rFonts w:asciiTheme="majorBidi" w:hAnsiTheme="majorBidi" w:cstheme="majorBidi"/>
                <w:noProof w:val="0"/>
                <w:color w:val="1F3864" w:themeColor="accent1" w:themeShade="80"/>
                <w:sz w:val="24"/>
                <w:szCs w:val="24"/>
                <w:lang w:val="en-GB"/>
              </w:rPr>
            </w:pPr>
          </w:p>
          <w:p w14:paraId="52BB423B" w14:textId="71065169" w:rsidR="00495D4A" w:rsidRPr="000425DF" w:rsidRDefault="001A763C" w:rsidP="001A763C">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 xml:space="preserve">In 2007, the PB was used one third only for informal care, one-third for only formal care and one-third for a combination (Da </w:t>
            </w:r>
            <w:proofErr w:type="spellStart"/>
            <w:r w:rsidRPr="000425DF">
              <w:rPr>
                <w:rFonts w:asciiTheme="majorBidi" w:hAnsiTheme="majorBidi" w:cstheme="majorBidi"/>
                <w:noProof w:val="0"/>
                <w:color w:val="1F3864" w:themeColor="accent1" w:themeShade="80"/>
                <w:sz w:val="24"/>
                <w:szCs w:val="24"/>
                <w:lang w:val="en-GB"/>
              </w:rPr>
              <w:t>Roit</w:t>
            </w:r>
            <w:proofErr w:type="spellEnd"/>
            <w:r w:rsidRPr="000425DF">
              <w:rPr>
                <w:rFonts w:asciiTheme="majorBidi" w:hAnsiTheme="majorBidi" w:cstheme="majorBidi"/>
                <w:noProof w:val="0"/>
                <w:color w:val="1F3864" w:themeColor="accent1" w:themeShade="80"/>
                <w:sz w:val="24"/>
                <w:szCs w:val="24"/>
                <w:lang w:val="en-GB"/>
              </w:rPr>
              <w:t xml:space="preserve"> 2013</w:t>
            </w:r>
            <w:r w:rsidR="00DC7365" w:rsidRPr="000425DF">
              <w:rPr>
                <w:rFonts w:asciiTheme="majorBidi" w:hAnsiTheme="majorBidi" w:cstheme="majorBidi"/>
                <w:noProof w:val="0"/>
                <w:color w:val="1F3864" w:themeColor="accent1" w:themeShade="80"/>
                <w:sz w:val="24"/>
                <w:szCs w:val="24"/>
                <w:lang w:val="en-GB"/>
              </w:rPr>
              <w:t>;</w:t>
            </w:r>
            <w:r w:rsidRPr="000425DF">
              <w:rPr>
                <w:rFonts w:asciiTheme="majorBidi" w:hAnsiTheme="majorBidi" w:cstheme="majorBidi"/>
                <w:noProof w:val="0"/>
                <w:color w:val="1F3864" w:themeColor="accent1" w:themeShade="80"/>
                <w:sz w:val="24"/>
                <w:szCs w:val="24"/>
                <w:lang w:val="en-GB"/>
              </w:rPr>
              <w:t xml:space="preserve"> see also </w:t>
            </w:r>
            <w:proofErr w:type="spellStart"/>
            <w:r w:rsidRPr="000425DF">
              <w:rPr>
                <w:rFonts w:asciiTheme="majorBidi" w:hAnsiTheme="majorBidi" w:cstheme="majorBidi"/>
                <w:noProof w:val="0"/>
                <w:color w:val="1F3864" w:themeColor="accent1" w:themeShade="80"/>
                <w:sz w:val="24"/>
                <w:szCs w:val="24"/>
                <w:lang w:val="en-GB"/>
              </w:rPr>
              <w:t>Schut</w:t>
            </w:r>
            <w:proofErr w:type="spellEnd"/>
            <w:r w:rsidRPr="000425DF">
              <w:rPr>
                <w:rFonts w:asciiTheme="majorBidi" w:hAnsiTheme="majorBidi" w:cstheme="majorBidi"/>
                <w:noProof w:val="0"/>
                <w:color w:val="1F3864" w:themeColor="accent1" w:themeShade="80"/>
                <w:sz w:val="24"/>
                <w:szCs w:val="24"/>
                <w:lang w:val="en-GB"/>
              </w:rPr>
              <w:t xml:space="preserve"> </w:t>
            </w:r>
            <w:r w:rsidR="00DC7365" w:rsidRPr="000425DF">
              <w:rPr>
                <w:rFonts w:asciiTheme="majorBidi" w:hAnsiTheme="majorBidi" w:cstheme="majorBidi"/>
                <w:noProof w:val="0"/>
                <w:color w:val="1F3864" w:themeColor="accent1" w:themeShade="80"/>
                <w:sz w:val="24"/>
                <w:szCs w:val="24"/>
                <w:lang w:val="en-GB"/>
              </w:rPr>
              <w:t>and</w:t>
            </w:r>
            <w:r w:rsidRPr="000425DF">
              <w:rPr>
                <w:rFonts w:asciiTheme="majorBidi" w:hAnsiTheme="majorBidi" w:cstheme="majorBidi"/>
                <w:noProof w:val="0"/>
                <w:color w:val="1F3864" w:themeColor="accent1" w:themeShade="80"/>
                <w:sz w:val="24"/>
                <w:szCs w:val="24"/>
                <w:lang w:val="en-GB"/>
              </w:rPr>
              <w:t xml:space="preserve"> van den Berg 2010). Consequently, the share of informal caregiving within the AWBZ scheme was below 10% overall.</w:t>
            </w:r>
          </w:p>
        </w:tc>
        <w:tc>
          <w:tcPr>
            <w:tcW w:w="2821" w:type="dxa"/>
            <w:shd w:val="clear" w:color="auto" w:fill="auto"/>
          </w:tcPr>
          <w:p w14:paraId="74E8AD4B" w14:textId="2A5F5FD5" w:rsidR="004816A2" w:rsidRPr="00507DB2" w:rsidRDefault="00F63F5D" w:rsidP="00DC7365">
            <w:pPr>
              <w:rPr>
                <w:rFonts w:asciiTheme="majorBidi" w:hAnsiTheme="majorBidi" w:cstheme="majorBidi"/>
                <w:noProof w:val="0"/>
                <w:color w:val="1F3864" w:themeColor="accent1" w:themeShade="80"/>
                <w:sz w:val="24"/>
                <w:szCs w:val="24"/>
                <w:lang w:val="de-DE"/>
              </w:rPr>
            </w:pPr>
            <w:r w:rsidRPr="00507DB2">
              <w:rPr>
                <w:rFonts w:asciiTheme="majorBidi" w:hAnsiTheme="majorBidi" w:cstheme="majorBidi"/>
                <w:color w:val="1F3864" w:themeColor="accent1" w:themeShade="80"/>
                <w:sz w:val="24"/>
                <w:szCs w:val="24"/>
                <w:lang w:val="de-DE"/>
              </w:rPr>
              <w:lastRenderedPageBreak/>
              <w:t>Da Roit, 2013; Deken &amp; Maarse, 2014; Mot, 2010; Rodrigues &amp; Nies, 2013; Schut &amp; van den Berg, 2010</w:t>
            </w:r>
          </w:p>
        </w:tc>
        <w:tc>
          <w:tcPr>
            <w:tcW w:w="1275" w:type="dxa"/>
            <w:shd w:val="clear" w:color="auto" w:fill="auto"/>
          </w:tcPr>
          <w:p w14:paraId="1D4D0A9D" w14:textId="2920C93C" w:rsidR="004816A2" w:rsidRPr="000425DF" w:rsidRDefault="00D85422" w:rsidP="00DD2461">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Medium</w:t>
            </w:r>
          </w:p>
        </w:tc>
        <w:tc>
          <w:tcPr>
            <w:tcW w:w="706" w:type="dxa"/>
            <w:shd w:val="clear" w:color="auto" w:fill="auto"/>
          </w:tcPr>
          <w:p w14:paraId="2F9CDFF5" w14:textId="0FE7A88F" w:rsidR="004816A2" w:rsidRPr="000425DF" w:rsidRDefault="001A763C" w:rsidP="00DD2461">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0.0</w:t>
            </w:r>
          </w:p>
        </w:tc>
        <w:tc>
          <w:tcPr>
            <w:tcW w:w="707" w:type="dxa"/>
            <w:shd w:val="clear" w:color="auto" w:fill="auto"/>
          </w:tcPr>
          <w:p w14:paraId="30489950" w14:textId="42520B31" w:rsidR="004816A2" w:rsidRPr="00935C60" w:rsidRDefault="001A763C" w:rsidP="00DD2461">
            <w:pPr>
              <w:rPr>
                <w:rFonts w:asciiTheme="majorBidi" w:hAnsiTheme="majorBidi" w:cstheme="majorBidi"/>
                <w:noProof w:val="0"/>
                <w:color w:val="1F3864" w:themeColor="accent1" w:themeShade="80"/>
                <w:sz w:val="24"/>
                <w:szCs w:val="24"/>
                <w:lang w:val="en-GB"/>
              </w:rPr>
            </w:pPr>
            <w:r w:rsidRPr="00935C60">
              <w:rPr>
                <w:rFonts w:asciiTheme="majorBidi" w:hAnsiTheme="majorBidi" w:cstheme="majorBidi"/>
                <w:noProof w:val="0"/>
                <w:color w:val="1F3864" w:themeColor="accent1" w:themeShade="80"/>
                <w:sz w:val="24"/>
                <w:szCs w:val="24"/>
                <w:lang w:val="en-GB"/>
              </w:rPr>
              <w:t>0.83</w:t>
            </w:r>
          </w:p>
        </w:tc>
        <w:tc>
          <w:tcPr>
            <w:tcW w:w="708" w:type="dxa"/>
            <w:shd w:val="clear" w:color="auto" w:fill="auto"/>
          </w:tcPr>
          <w:p w14:paraId="6C2E6DB3" w14:textId="0A1BABEA" w:rsidR="004816A2" w:rsidRPr="000425DF" w:rsidRDefault="001A763C" w:rsidP="00DD2461">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0.17</w:t>
            </w:r>
          </w:p>
        </w:tc>
        <w:tc>
          <w:tcPr>
            <w:tcW w:w="708" w:type="dxa"/>
            <w:shd w:val="clear" w:color="auto" w:fill="auto"/>
          </w:tcPr>
          <w:p w14:paraId="4C334B7C" w14:textId="481CA17E" w:rsidR="004816A2" w:rsidRPr="000425DF" w:rsidRDefault="001A763C" w:rsidP="00DD2461">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0.0</w:t>
            </w:r>
          </w:p>
        </w:tc>
      </w:tr>
      <w:tr w:rsidR="00DD2461" w:rsidRPr="000425DF" w14:paraId="006C4BBB" w14:textId="77777777" w:rsidTr="00DD2461">
        <w:tc>
          <w:tcPr>
            <w:tcW w:w="1333" w:type="dxa"/>
            <w:shd w:val="clear" w:color="auto" w:fill="auto"/>
          </w:tcPr>
          <w:p w14:paraId="271FADCA" w14:textId="39C0E5A8" w:rsidR="00DD2461" w:rsidRPr="000425DF" w:rsidRDefault="00DD2461" w:rsidP="00DD2461">
            <w:pPr>
              <w:spacing w:after="160" w:line="259" w:lineRule="auto"/>
              <w:rPr>
                <w:rFonts w:asciiTheme="majorBidi" w:hAnsiTheme="majorBidi" w:cstheme="majorBidi"/>
                <w:noProof w:val="0"/>
                <w:sz w:val="24"/>
                <w:szCs w:val="24"/>
                <w:lang w:val="en-GB"/>
              </w:rPr>
            </w:pPr>
            <w:r w:rsidRPr="000425DF">
              <w:rPr>
                <w:rFonts w:asciiTheme="majorBidi" w:hAnsiTheme="majorBidi" w:cstheme="majorBidi"/>
                <w:noProof w:val="0"/>
                <w:sz w:val="24"/>
                <w:szCs w:val="24"/>
                <w:lang w:val="en-GB"/>
              </w:rPr>
              <w:t>South Korea</w:t>
            </w:r>
            <w:r w:rsidR="00935C60">
              <w:rPr>
                <w:rFonts w:asciiTheme="majorBidi" w:hAnsiTheme="majorBidi" w:cstheme="majorBidi"/>
                <w:noProof w:val="0"/>
                <w:sz w:val="24"/>
                <w:szCs w:val="24"/>
                <w:lang w:val="en-GB"/>
              </w:rPr>
              <w:t xml:space="preserve"> (introduction)</w:t>
            </w:r>
          </w:p>
        </w:tc>
        <w:tc>
          <w:tcPr>
            <w:tcW w:w="6479" w:type="dxa"/>
            <w:shd w:val="clear" w:color="auto" w:fill="auto"/>
          </w:tcPr>
          <w:p w14:paraId="055AD7EF" w14:textId="77777777" w:rsidR="00FA6529" w:rsidRPr="000425DF" w:rsidRDefault="00DD2461" w:rsidP="00FA6529">
            <w:pPr>
              <w:rPr>
                <w:rFonts w:asciiTheme="majorBidi" w:hAnsiTheme="majorBidi" w:cstheme="majorBidi"/>
                <w:noProof w:val="0"/>
                <w:sz w:val="24"/>
                <w:szCs w:val="24"/>
                <w:lang w:val="en-GB"/>
              </w:rPr>
            </w:pPr>
            <w:r w:rsidRPr="000425DF">
              <w:rPr>
                <w:rFonts w:asciiTheme="majorBidi" w:hAnsiTheme="majorBidi" w:cstheme="majorBidi"/>
                <w:noProof w:val="0"/>
                <w:sz w:val="24"/>
                <w:szCs w:val="24"/>
                <w:lang w:val="en-GB"/>
              </w:rPr>
              <w:t xml:space="preserve">The LTCI offers in-kind residential and home/community care services. </w:t>
            </w:r>
            <w:r w:rsidR="00740BAF" w:rsidRPr="000425DF">
              <w:rPr>
                <w:rFonts w:asciiTheme="majorBidi" w:hAnsiTheme="majorBidi" w:cstheme="majorBidi"/>
                <w:noProof w:val="0"/>
                <w:sz w:val="24"/>
                <w:szCs w:val="24"/>
                <w:lang w:val="en-GB"/>
              </w:rPr>
              <w:t xml:space="preserve">In both </w:t>
            </w:r>
            <w:r w:rsidR="00586C8C" w:rsidRPr="000425DF">
              <w:rPr>
                <w:rFonts w:asciiTheme="majorBidi" w:hAnsiTheme="majorBidi" w:cstheme="majorBidi"/>
                <w:noProof w:val="0"/>
                <w:sz w:val="24"/>
                <w:szCs w:val="24"/>
                <w:lang w:val="en-GB"/>
              </w:rPr>
              <w:t>types of in-kind care private for-profit actors are dominant.</w:t>
            </w:r>
            <w:r w:rsidR="00740BAF" w:rsidRPr="000425DF">
              <w:rPr>
                <w:rFonts w:asciiTheme="majorBidi" w:hAnsiTheme="majorBidi" w:cstheme="majorBidi"/>
                <w:noProof w:val="0"/>
                <w:sz w:val="24"/>
                <w:szCs w:val="24"/>
                <w:lang w:val="en-GB"/>
              </w:rPr>
              <w:t xml:space="preserve"> </w:t>
            </w:r>
            <w:r w:rsidRPr="000425DF">
              <w:rPr>
                <w:rFonts w:asciiTheme="majorBidi" w:hAnsiTheme="majorBidi" w:cstheme="majorBidi"/>
                <w:noProof w:val="0"/>
                <w:sz w:val="24"/>
                <w:szCs w:val="24"/>
                <w:lang w:val="en-GB"/>
              </w:rPr>
              <w:t>Cash benefits are only possible in exceptional circumstances</w:t>
            </w:r>
            <w:r w:rsidR="00E211CC" w:rsidRPr="000425DF">
              <w:rPr>
                <w:rFonts w:asciiTheme="majorBidi" w:hAnsiTheme="majorBidi" w:cstheme="majorBidi"/>
                <w:noProof w:val="0"/>
                <w:sz w:val="24"/>
                <w:szCs w:val="24"/>
                <w:lang w:val="en-GB"/>
              </w:rPr>
              <w:t>.</w:t>
            </w:r>
            <w:r w:rsidR="00740BAF" w:rsidRPr="000425DF">
              <w:rPr>
                <w:rFonts w:asciiTheme="majorBidi" w:hAnsiTheme="majorBidi" w:cstheme="majorBidi"/>
                <w:noProof w:val="0"/>
                <w:sz w:val="24"/>
                <w:szCs w:val="24"/>
                <w:lang w:val="en-GB"/>
              </w:rPr>
              <w:t xml:space="preserve"> </w:t>
            </w:r>
          </w:p>
          <w:p w14:paraId="091A8C1F" w14:textId="77777777" w:rsidR="00FA6529" w:rsidRPr="000425DF" w:rsidRDefault="00FA6529" w:rsidP="00FA6529">
            <w:pPr>
              <w:rPr>
                <w:rFonts w:asciiTheme="majorBidi" w:hAnsiTheme="majorBidi" w:cstheme="majorBidi"/>
                <w:noProof w:val="0"/>
                <w:sz w:val="24"/>
                <w:szCs w:val="24"/>
                <w:lang w:val="en-GB"/>
              </w:rPr>
            </w:pPr>
          </w:p>
          <w:p w14:paraId="5A7E3FC0" w14:textId="77777777" w:rsidR="00FA6529" w:rsidRPr="000425DF" w:rsidRDefault="00740BAF" w:rsidP="00FA6529">
            <w:pPr>
              <w:rPr>
                <w:rFonts w:asciiTheme="majorBidi" w:hAnsiTheme="majorBidi" w:cstheme="majorBidi"/>
                <w:noProof w:val="0"/>
                <w:sz w:val="24"/>
                <w:szCs w:val="24"/>
                <w:lang w:val="en-GB"/>
              </w:rPr>
            </w:pPr>
            <w:r w:rsidRPr="000425DF">
              <w:rPr>
                <w:rFonts w:asciiTheme="majorBidi" w:hAnsiTheme="majorBidi" w:cstheme="majorBidi"/>
                <w:noProof w:val="0"/>
                <w:sz w:val="24"/>
                <w:szCs w:val="24"/>
                <w:lang w:val="en-GB"/>
              </w:rPr>
              <w:t xml:space="preserve">In </w:t>
            </w:r>
            <w:r w:rsidR="00FA6529" w:rsidRPr="000425DF">
              <w:rPr>
                <w:rFonts w:asciiTheme="majorBidi" w:hAnsiTheme="majorBidi" w:cstheme="majorBidi"/>
                <w:noProof w:val="0"/>
                <w:sz w:val="24"/>
                <w:szCs w:val="24"/>
                <w:lang w:val="en-GB"/>
              </w:rPr>
              <w:t>2011</w:t>
            </w:r>
            <w:r w:rsidRPr="000425DF">
              <w:rPr>
                <w:rFonts w:asciiTheme="majorBidi" w:hAnsiTheme="majorBidi" w:cstheme="majorBidi"/>
                <w:noProof w:val="0"/>
                <w:sz w:val="24"/>
                <w:szCs w:val="24"/>
                <w:lang w:val="en-GB"/>
              </w:rPr>
              <w:t>, types of care had approximately the following shares</w:t>
            </w:r>
            <w:r w:rsidR="00FA6529" w:rsidRPr="000425DF">
              <w:rPr>
                <w:rFonts w:asciiTheme="majorBidi" w:hAnsiTheme="majorBidi" w:cstheme="majorBidi"/>
                <w:noProof w:val="0"/>
                <w:sz w:val="24"/>
                <w:szCs w:val="24"/>
                <w:lang w:val="en-GB"/>
              </w:rPr>
              <w:t xml:space="preserve"> (Lee 2014</w:t>
            </w:r>
            <w:r w:rsidRPr="000425DF">
              <w:rPr>
                <w:rFonts w:asciiTheme="majorBidi" w:hAnsiTheme="majorBidi" w:cstheme="majorBidi"/>
                <w:noProof w:val="0"/>
                <w:sz w:val="24"/>
                <w:szCs w:val="24"/>
                <w:lang w:val="en-GB"/>
              </w:rPr>
              <w:t xml:space="preserve">; </w:t>
            </w:r>
            <w:proofErr w:type="spellStart"/>
            <w:r w:rsidRPr="000425DF">
              <w:rPr>
                <w:rFonts w:asciiTheme="majorBidi" w:hAnsiTheme="majorBidi" w:cstheme="majorBidi"/>
                <w:noProof w:val="0"/>
                <w:sz w:val="24"/>
                <w:szCs w:val="24"/>
                <w:lang w:val="en-GB"/>
              </w:rPr>
              <w:t>Sunwoo</w:t>
            </w:r>
            <w:proofErr w:type="spellEnd"/>
            <w:r w:rsidRPr="000425DF">
              <w:rPr>
                <w:rFonts w:asciiTheme="majorBidi" w:hAnsiTheme="majorBidi" w:cstheme="majorBidi"/>
                <w:noProof w:val="0"/>
                <w:sz w:val="24"/>
                <w:szCs w:val="24"/>
                <w:lang w:val="en-GB"/>
              </w:rPr>
              <w:t xml:space="preserve"> 2012):</w:t>
            </w:r>
          </w:p>
          <w:p w14:paraId="38609552" w14:textId="77777777" w:rsidR="00FA6529" w:rsidRPr="000425DF" w:rsidRDefault="00FA6529" w:rsidP="00FA6529">
            <w:pPr>
              <w:rPr>
                <w:rFonts w:asciiTheme="majorBidi" w:hAnsiTheme="majorBidi" w:cstheme="majorBidi"/>
                <w:noProof w:val="0"/>
                <w:sz w:val="24"/>
                <w:szCs w:val="24"/>
                <w:lang w:val="en-GB"/>
              </w:rPr>
            </w:pPr>
            <w:r w:rsidRPr="000425DF">
              <w:rPr>
                <w:rFonts w:asciiTheme="majorBidi" w:hAnsiTheme="majorBidi" w:cstheme="majorBidi"/>
                <w:noProof w:val="0"/>
                <w:sz w:val="24"/>
                <w:szCs w:val="24"/>
                <w:lang w:val="en-GB"/>
              </w:rPr>
              <w:t>3</w:t>
            </w:r>
            <w:r w:rsidR="00740BAF" w:rsidRPr="000425DF">
              <w:rPr>
                <w:rFonts w:asciiTheme="majorBidi" w:hAnsiTheme="majorBidi" w:cstheme="majorBidi"/>
                <w:noProof w:val="0"/>
                <w:sz w:val="24"/>
                <w:szCs w:val="24"/>
                <w:lang w:val="en-GB"/>
              </w:rPr>
              <w:t>5% institutional care</w:t>
            </w:r>
          </w:p>
          <w:p w14:paraId="6C4D4C32" w14:textId="77777777" w:rsidR="00FA6529" w:rsidRPr="000425DF" w:rsidRDefault="00740BAF" w:rsidP="00FA6529">
            <w:pPr>
              <w:rPr>
                <w:rFonts w:asciiTheme="majorBidi" w:hAnsiTheme="majorBidi" w:cstheme="majorBidi"/>
                <w:noProof w:val="0"/>
                <w:sz w:val="24"/>
                <w:szCs w:val="24"/>
                <w:lang w:val="en-GB"/>
              </w:rPr>
            </w:pPr>
            <w:r w:rsidRPr="000425DF">
              <w:rPr>
                <w:rFonts w:asciiTheme="majorBidi" w:hAnsiTheme="majorBidi" w:cstheme="majorBidi"/>
                <w:noProof w:val="0"/>
                <w:sz w:val="24"/>
                <w:szCs w:val="24"/>
                <w:lang w:val="en-GB"/>
              </w:rPr>
              <w:t>65% home care (overwhelmingly home visit care)</w:t>
            </w:r>
          </w:p>
          <w:p w14:paraId="6C70F919" w14:textId="77777777" w:rsidR="00740BAF" w:rsidRPr="000425DF" w:rsidRDefault="00740BAF" w:rsidP="00FA6529">
            <w:pPr>
              <w:rPr>
                <w:rFonts w:asciiTheme="majorBidi" w:hAnsiTheme="majorBidi" w:cstheme="majorBidi"/>
                <w:noProof w:val="0"/>
                <w:sz w:val="24"/>
                <w:szCs w:val="24"/>
                <w:lang w:val="en-GB"/>
              </w:rPr>
            </w:pPr>
          </w:p>
          <w:p w14:paraId="45111351" w14:textId="77777777" w:rsidR="00740BAF" w:rsidRPr="000425DF" w:rsidRDefault="00740BAF" w:rsidP="00FA6529">
            <w:pPr>
              <w:rPr>
                <w:rFonts w:asciiTheme="majorBidi" w:hAnsiTheme="majorBidi" w:cstheme="majorBidi"/>
                <w:noProof w:val="0"/>
                <w:sz w:val="24"/>
                <w:szCs w:val="24"/>
                <w:lang w:val="en-GB"/>
              </w:rPr>
            </w:pPr>
            <w:r w:rsidRPr="000425DF">
              <w:rPr>
                <w:rFonts w:asciiTheme="majorBidi" w:hAnsiTheme="majorBidi" w:cstheme="majorBidi"/>
                <w:noProof w:val="0"/>
                <w:sz w:val="24"/>
                <w:szCs w:val="24"/>
                <w:lang w:val="en-GB"/>
              </w:rPr>
              <w:t xml:space="preserve">The shares for institutional care were the </w:t>
            </w:r>
            <w:r w:rsidR="00586C8C" w:rsidRPr="000425DF">
              <w:rPr>
                <w:rFonts w:asciiTheme="majorBidi" w:hAnsiTheme="majorBidi" w:cstheme="majorBidi"/>
                <w:noProof w:val="0"/>
                <w:sz w:val="24"/>
                <w:szCs w:val="24"/>
                <w:lang w:val="en-GB"/>
              </w:rPr>
              <w:t>following</w:t>
            </w:r>
            <w:r w:rsidRPr="000425DF">
              <w:rPr>
                <w:rFonts w:asciiTheme="majorBidi" w:hAnsiTheme="majorBidi" w:cstheme="majorBidi"/>
                <w:noProof w:val="0"/>
                <w:sz w:val="24"/>
                <w:szCs w:val="24"/>
                <w:lang w:val="en-GB"/>
              </w:rPr>
              <w:t xml:space="preserve"> in 2011 (</w:t>
            </w:r>
            <w:proofErr w:type="spellStart"/>
            <w:r w:rsidRPr="000425DF">
              <w:rPr>
                <w:rFonts w:asciiTheme="majorBidi" w:hAnsiTheme="majorBidi" w:cstheme="majorBidi"/>
                <w:noProof w:val="0"/>
                <w:sz w:val="24"/>
                <w:szCs w:val="24"/>
                <w:lang w:val="en-GB"/>
              </w:rPr>
              <w:t>Sunwoo</w:t>
            </w:r>
            <w:proofErr w:type="spellEnd"/>
            <w:r w:rsidRPr="000425DF">
              <w:rPr>
                <w:rFonts w:asciiTheme="majorBidi" w:hAnsiTheme="majorBidi" w:cstheme="majorBidi"/>
                <w:noProof w:val="0"/>
                <w:sz w:val="24"/>
                <w:szCs w:val="24"/>
                <w:lang w:val="en-GB"/>
              </w:rPr>
              <w:t xml:space="preserve"> 2012):</w:t>
            </w:r>
          </w:p>
          <w:p w14:paraId="3B1EDF2C" w14:textId="77777777" w:rsidR="00740BAF" w:rsidRPr="000425DF" w:rsidRDefault="00740BAF" w:rsidP="00740BAF">
            <w:pPr>
              <w:rPr>
                <w:rFonts w:asciiTheme="majorBidi" w:hAnsiTheme="majorBidi" w:cstheme="majorBidi"/>
                <w:noProof w:val="0"/>
                <w:sz w:val="24"/>
                <w:szCs w:val="24"/>
                <w:lang w:val="en-GB"/>
              </w:rPr>
            </w:pPr>
            <w:r w:rsidRPr="000425DF">
              <w:rPr>
                <w:rFonts w:asciiTheme="majorBidi" w:hAnsiTheme="majorBidi" w:cstheme="majorBidi"/>
                <w:noProof w:val="0"/>
                <w:sz w:val="24"/>
                <w:szCs w:val="24"/>
                <w:lang w:val="en-GB"/>
              </w:rPr>
              <w:t>2.9% state</w:t>
            </w:r>
          </w:p>
          <w:p w14:paraId="2A645F2C" w14:textId="77777777" w:rsidR="00740BAF" w:rsidRPr="000425DF" w:rsidRDefault="00740BAF" w:rsidP="00740BAF">
            <w:pPr>
              <w:rPr>
                <w:rFonts w:asciiTheme="majorBidi" w:hAnsiTheme="majorBidi" w:cstheme="majorBidi"/>
                <w:noProof w:val="0"/>
                <w:sz w:val="24"/>
                <w:szCs w:val="24"/>
                <w:lang w:val="en-GB"/>
              </w:rPr>
            </w:pPr>
            <w:r w:rsidRPr="000425DF">
              <w:rPr>
                <w:rFonts w:asciiTheme="majorBidi" w:hAnsiTheme="majorBidi" w:cstheme="majorBidi"/>
                <w:noProof w:val="0"/>
                <w:sz w:val="24"/>
                <w:szCs w:val="24"/>
                <w:lang w:val="en-GB"/>
              </w:rPr>
              <w:t>35.6% “institutions of various corporations”</w:t>
            </w:r>
          </w:p>
          <w:p w14:paraId="67A3D9B2" w14:textId="77777777" w:rsidR="00740BAF" w:rsidRPr="000425DF" w:rsidRDefault="00740BAF" w:rsidP="00740BAF">
            <w:pPr>
              <w:rPr>
                <w:rFonts w:asciiTheme="majorBidi" w:hAnsiTheme="majorBidi" w:cstheme="majorBidi"/>
                <w:noProof w:val="0"/>
                <w:sz w:val="24"/>
                <w:szCs w:val="24"/>
                <w:lang w:val="en-GB"/>
              </w:rPr>
            </w:pPr>
            <w:r w:rsidRPr="000425DF">
              <w:rPr>
                <w:rFonts w:asciiTheme="majorBidi" w:hAnsiTheme="majorBidi" w:cstheme="majorBidi"/>
                <w:noProof w:val="0"/>
                <w:sz w:val="24"/>
                <w:szCs w:val="24"/>
                <w:lang w:val="en-GB"/>
              </w:rPr>
              <w:t>61.3% for-profit institutions</w:t>
            </w:r>
          </w:p>
          <w:p w14:paraId="13E38325" w14:textId="77777777" w:rsidR="00740BAF" w:rsidRPr="000425DF" w:rsidRDefault="00740BAF" w:rsidP="00740BAF">
            <w:pPr>
              <w:rPr>
                <w:rFonts w:asciiTheme="majorBidi" w:hAnsiTheme="majorBidi" w:cstheme="majorBidi"/>
                <w:noProof w:val="0"/>
                <w:sz w:val="24"/>
                <w:szCs w:val="24"/>
                <w:lang w:val="en-GB"/>
              </w:rPr>
            </w:pPr>
          </w:p>
          <w:p w14:paraId="1A2AD120" w14:textId="77777777" w:rsidR="00740BAF" w:rsidRPr="000425DF" w:rsidRDefault="00740BAF" w:rsidP="00740BAF">
            <w:pPr>
              <w:rPr>
                <w:rFonts w:asciiTheme="majorBidi" w:hAnsiTheme="majorBidi" w:cstheme="majorBidi"/>
                <w:noProof w:val="0"/>
                <w:sz w:val="24"/>
                <w:szCs w:val="24"/>
                <w:lang w:val="en-GB"/>
              </w:rPr>
            </w:pPr>
            <w:r w:rsidRPr="000425DF">
              <w:rPr>
                <w:rFonts w:asciiTheme="majorBidi" w:hAnsiTheme="majorBidi" w:cstheme="majorBidi"/>
                <w:noProof w:val="0"/>
                <w:sz w:val="24"/>
                <w:szCs w:val="24"/>
                <w:lang w:val="en-GB"/>
              </w:rPr>
              <w:t>The share of private for-profit actors in home visit care in 2011 was 81-82% (Choi 2014; Chon 2014).</w:t>
            </w:r>
          </w:p>
          <w:p w14:paraId="77A57251" w14:textId="77777777" w:rsidR="007A0473" w:rsidRPr="000425DF" w:rsidRDefault="007A0473" w:rsidP="00740BAF">
            <w:pPr>
              <w:rPr>
                <w:rFonts w:asciiTheme="majorBidi" w:hAnsiTheme="majorBidi" w:cstheme="majorBidi"/>
                <w:noProof w:val="0"/>
                <w:sz w:val="24"/>
                <w:szCs w:val="24"/>
                <w:lang w:val="en-GB"/>
              </w:rPr>
            </w:pPr>
          </w:p>
          <w:p w14:paraId="211F8863" w14:textId="77777777" w:rsidR="007A0473" w:rsidRPr="000425DF" w:rsidRDefault="007A0473" w:rsidP="007A0473">
            <w:pPr>
              <w:rPr>
                <w:rFonts w:asciiTheme="majorBidi" w:hAnsiTheme="majorBidi" w:cstheme="majorBidi"/>
                <w:noProof w:val="0"/>
                <w:color w:val="000000"/>
                <w:sz w:val="24"/>
                <w:szCs w:val="24"/>
                <w:lang w:val="en-GB"/>
              </w:rPr>
            </w:pPr>
            <w:r w:rsidRPr="000425DF">
              <w:rPr>
                <w:rFonts w:asciiTheme="majorBidi" w:hAnsiTheme="majorBidi" w:cstheme="majorBidi"/>
                <w:noProof w:val="0"/>
                <w:color w:val="000000"/>
                <w:sz w:val="24"/>
                <w:szCs w:val="24"/>
                <w:lang w:val="en-GB"/>
              </w:rPr>
              <w:t>Based on this data, overall actor shares weighted by benefit shares are approximately the following:</w:t>
            </w:r>
          </w:p>
          <w:p w14:paraId="51BFF449" w14:textId="77777777" w:rsidR="007A0473" w:rsidRPr="000425DF" w:rsidRDefault="007A0473" w:rsidP="00740BAF">
            <w:pPr>
              <w:rPr>
                <w:rFonts w:asciiTheme="majorBidi" w:hAnsiTheme="majorBidi" w:cstheme="majorBidi"/>
                <w:noProof w:val="0"/>
                <w:sz w:val="24"/>
                <w:szCs w:val="24"/>
                <w:lang w:val="en-GB"/>
              </w:rPr>
            </w:pPr>
            <w:r w:rsidRPr="000425DF">
              <w:rPr>
                <w:rFonts w:asciiTheme="majorBidi" w:hAnsiTheme="majorBidi" w:cstheme="majorBidi"/>
                <w:noProof w:val="0"/>
                <w:sz w:val="24"/>
                <w:szCs w:val="24"/>
                <w:lang w:val="en-GB"/>
              </w:rPr>
              <w:t>State: &lt;10%</w:t>
            </w:r>
          </w:p>
          <w:p w14:paraId="4C0B88CF" w14:textId="77777777" w:rsidR="007A0473" w:rsidRPr="000425DF" w:rsidRDefault="007A0473" w:rsidP="00740BAF">
            <w:pPr>
              <w:rPr>
                <w:rFonts w:asciiTheme="majorBidi" w:hAnsiTheme="majorBidi" w:cstheme="majorBidi"/>
                <w:noProof w:val="0"/>
                <w:sz w:val="24"/>
                <w:szCs w:val="24"/>
                <w:lang w:val="en-GB"/>
              </w:rPr>
            </w:pPr>
            <w:r w:rsidRPr="000425DF">
              <w:rPr>
                <w:rFonts w:asciiTheme="majorBidi" w:hAnsiTheme="majorBidi" w:cstheme="majorBidi"/>
                <w:noProof w:val="0"/>
                <w:sz w:val="24"/>
                <w:szCs w:val="24"/>
                <w:lang w:val="en-GB"/>
              </w:rPr>
              <w:t>Societal actors: 12-25%</w:t>
            </w:r>
          </w:p>
          <w:p w14:paraId="718C4370" w14:textId="77777777" w:rsidR="007A0473" w:rsidRPr="000425DF" w:rsidRDefault="007A0473" w:rsidP="00740BAF">
            <w:pPr>
              <w:rPr>
                <w:rFonts w:asciiTheme="majorBidi" w:hAnsiTheme="majorBidi" w:cstheme="majorBidi"/>
                <w:noProof w:val="0"/>
                <w:sz w:val="24"/>
                <w:szCs w:val="24"/>
                <w:lang w:val="en-GB"/>
              </w:rPr>
            </w:pPr>
            <w:r w:rsidRPr="000425DF">
              <w:rPr>
                <w:rFonts w:asciiTheme="majorBidi" w:hAnsiTheme="majorBidi" w:cstheme="majorBidi"/>
                <w:noProof w:val="0"/>
                <w:sz w:val="24"/>
                <w:szCs w:val="24"/>
                <w:lang w:val="en-GB"/>
              </w:rPr>
              <w:lastRenderedPageBreak/>
              <w:t>Private for-profit actors: 74% (&lt;75%)</w:t>
            </w:r>
          </w:p>
          <w:p w14:paraId="2D042284" w14:textId="77777777" w:rsidR="00321CD3" w:rsidRPr="000425DF" w:rsidRDefault="00321CD3" w:rsidP="00DD2461">
            <w:pPr>
              <w:rPr>
                <w:rFonts w:asciiTheme="majorBidi" w:hAnsiTheme="majorBidi" w:cstheme="majorBidi"/>
                <w:noProof w:val="0"/>
                <w:color w:val="FF0000"/>
                <w:sz w:val="24"/>
                <w:szCs w:val="24"/>
                <w:lang w:val="en-GB"/>
              </w:rPr>
            </w:pPr>
          </w:p>
        </w:tc>
        <w:tc>
          <w:tcPr>
            <w:tcW w:w="2821" w:type="dxa"/>
            <w:shd w:val="clear" w:color="auto" w:fill="auto"/>
          </w:tcPr>
          <w:p w14:paraId="12ACDB20" w14:textId="10333F62" w:rsidR="00DD2461" w:rsidRPr="000425DF" w:rsidRDefault="00F63F5D" w:rsidP="006B78DD">
            <w:pPr>
              <w:rPr>
                <w:rFonts w:asciiTheme="majorBidi" w:hAnsiTheme="majorBidi" w:cstheme="majorBidi"/>
                <w:noProof w:val="0"/>
                <w:color w:val="000000"/>
                <w:sz w:val="24"/>
                <w:szCs w:val="24"/>
                <w:lang w:val="en-GB"/>
              </w:rPr>
            </w:pPr>
            <w:r>
              <w:rPr>
                <w:rFonts w:asciiTheme="majorBidi" w:hAnsiTheme="majorBidi" w:cstheme="majorBidi"/>
                <w:color w:val="000000"/>
                <w:sz w:val="24"/>
                <w:szCs w:val="24"/>
                <w:lang w:val="en-GB"/>
              </w:rPr>
              <w:lastRenderedPageBreak/>
              <w:t>Choi, 2014; Chon, 2014; Lee &amp; Kim, 2014; Sunwoo, 2012</w:t>
            </w:r>
            <w:r w:rsidR="006B78DD" w:rsidRPr="000425DF">
              <w:rPr>
                <w:rFonts w:asciiTheme="majorBidi" w:hAnsiTheme="majorBidi" w:cstheme="majorBidi"/>
                <w:noProof w:val="0"/>
                <w:color w:val="000000"/>
                <w:sz w:val="24"/>
                <w:szCs w:val="24"/>
                <w:lang w:val="en-GB"/>
              </w:rPr>
              <w:t>; LTCI Act</w:t>
            </w:r>
          </w:p>
        </w:tc>
        <w:tc>
          <w:tcPr>
            <w:tcW w:w="1275" w:type="dxa"/>
            <w:shd w:val="clear" w:color="auto" w:fill="auto"/>
          </w:tcPr>
          <w:p w14:paraId="0C5F24CF" w14:textId="77777777" w:rsidR="00DD2461" w:rsidRPr="000425DF" w:rsidRDefault="007A0473" w:rsidP="00DD2461">
            <w:pPr>
              <w:rPr>
                <w:rFonts w:asciiTheme="majorBidi" w:hAnsiTheme="majorBidi" w:cstheme="majorBidi"/>
                <w:noProof w:val="0"/>
                <w:color w:val="000000"/>
                <w:sz w:val="24"/>
                <w:szCs w:val="24"/>
                <w:lang w:val="en-GB"/>
              </w:rPr>
            </w:pPr>
            <w:r w:rsidRPr="000425DF">
              <w:rPr>
                <w:rFonts w:asciiTheme="majorBidi" w:hAnsiTheme="majorBidi" w:cstheme="majorBidi"/>
                <w:noProof w:val="0"/>
                <w:color w:val="000000"/>
                <w:sz w:val="24"/>
                <w:szCs w:val="24"/>
                <w:lang w:val="en-GB"/>
              </w:rPr>
              <w:t>Medium</w:t>
            </w:r>
          </w:p>
        </w:tc>
        <w:tc>
          <w:tcPr>
            <w:tcW w:w="706" w:type="dxa"/>
            <w:shd w:val="clear" w:color="auto" w:fill="auto"/>
          </w:tcPr>
          <w:p w14:paraId="3913C5EF" w14:textId="77777777" w:rsidR="00DD2461" w:rsidRPr="000425DF" w:rsidRDefault="007A0473" w:rsidP="00DD2461">
            <w:pPr>
              <w:rPr>
                <w:rFonts w:asciiTheme="majorBidi" w:hAnsiTheme="majorBidi" w:cstheme="majorBidi"/>
                <w:noProof w:val="0"/>
                <w:sz w:val="24"/>
                <w:szCs w:val="24"/>
                <w:lang w:val="en-GB"/>
              </w:rPr>
            </w:pPr>
            <w:r w:rsidRPr="000425DF">
              <w:rPr>
                <w:rFonts w:asciiTheme="majorBidi" w:hAnsiTheme="majorBidi" w:cstheme="majorBidi"/>
                <w:noProof w:val="0"/>
                <w:sz w:val="24"/>
                <w:szCs w:val="24"/>
                <w:lang w:val="en-GB"/>
              </w:rPr>
              <w:t>0.0</w:t>
            </w:r>
          </w:p>
        </w:tc>
        <w:tc>
          <w:tcPr>
            <w:tcW w:w="707" w:type="dxa"/>
            <w:shd w:val="clear" w:color="auto" w:fill="auto"/>
          </w:tcPr>
          <w:p w14:paraId="469D2629" w14:textId="77777777" w:rsidR="00DD2461" w:rsidRPr="00935C60" w:rsidRDefault="007A0473" w:rsidP="00DD2461">
            <w:pPr>
              <w:rPr>
                <w:rFonts w:asciiTheme="majorBidi" w:hAnsiTheme="majorBidi" w:cstheme="majorBidi"/>
                <w:noProof w:val="0"/>
                <w:sz w:val="24"/>
                <w:szCs w:val="24"/>
                <w:lang w:val="en-GB"/>
              </w:rPr>
            </w:pPr>
            <w:r w:rsidRPr="00935C60">
              <w:rPr>
                <w:rFonts w:asciiTheme="majorBidi" w:hAnsiTheme="majorBidi" w:cstheme="majorBidi"/>
                <w:noProof w:val="0"/>
                <w:sz w:val="24"/>
                <w:szCs w:val="24"/>
                <w:lang w:val="en-GB"/>
              </w:rPr>
              <w:t>0.17</w:t>
            </w:r>
          </w:p>
        </w:tc>
        <w:tc>
          <w:tcPr>
            <w:tcW w:w="708" w:type="dxa"/>
            <w:shd w:val="clear" w:color="auto" w:fill="auto"/>
          </w:tcPr>
          <w:p w14:paraId="15CDBF8D" w14:textId="77777777" w:rsidR="00DD2461" w:rsidRPr="000425DF" w:rsidRDefault="007A0473" w:rsidP="00DD2461">
            <w:pPr>
              <w:rPr>
                <w:rFonts w:asciiTheme="majorBidi" w:hAnsiTheme="majorBidi" w:cstheme="majorBidi"/>
                <w:noProof w:val="0"/>
                <w:sz w:val="24"/>
                <w:szCs w:val="24"/>
                <w:lang w:val="en-GB"/>
              </w:rPr>
            </w:pPr>
            <w:r w:rsidRPr="000425DF">
              <w:rPr>
                <w:rFonts w:asciiTheme="majorBidi" w:hAnsiTheme="majorBidi" w:cstheme="majorBidi"/>
                <w:noProof w:val="0"/>
                <w:sz w:val="24"/>
                <w:szCs w:val="24"/>
                <w:lang w:val="en-GB"/>
              </w:rPr>
              <w:t>0.67</w:t>
            </w:r>
          </w:p>
        </w:tc>
        <w:tc>
          <w:tcPr>
            <w:tcW w:w="708" w:type="dxa"/>
            <w:shd w:val="clear" w:color="auto" w:fill="auto"/>
          </w:tcPr>
          <w:p w14:paraId="113A30BC" w14:textId="77777777" w:rsidR="00DD2461" w:rsidRPr="000425DF" w:rsidRDefault="00D16E39" w:rsidP="00DD2461">
            <w:pPr>
              <w:rPr>
                <w:rFonts w:asciiTheme="majorBidi" w:hAnsiTheme="majorBidi" w:cstheme="majorBidi"/>
                <w:noProof w:val="0"/>
                <w:color w:val="000000"/>
                <w:sz w:val="24"/>
                <w:szCs w:val="24"/>
                <w:lang w:val="en-GB"/>
              </w:rPr>
            </w:pPr>
            <w:r w:rsidRPr="000425DF">
              <w:rPr>
                <w:rFonts w:asciiTheme="majorBidi" w:hAnsiTheme="majorBidi" w:cstheme="majorBidi"/>
                <w:noProof w:val="0"/>
                <w:color w:val="000000"/>
                <w:sz w:val="24"/>
                <w:szCs w:val="24"/>
                <w:lang w:val="en-GB"/>
              </w:rPr>
              <w:t>0.0</w:t>
            </w:r>
          </w:p>
        </w:tc>
      </w:tr>
      <w:tr w:rsidR="00FF70AB" w:rsidRPr="000425DF" w14:paraId="59E35AA9" w14:textId="77777777" w:rsidTr="00DD2461">
        <w:tc>
          <w:tcPr>
            <w:tcW w:w="1333" w:type="dxa"/>
            <w:shd w:val="clear" w:color="auto" w:fill="auto"/>
          </w:tcPr>
          <w:p w14:paraId="1FD78A84" w14:textId="134720BB" w:rsidR="00FF70AB" w:rsidRPr="000425DF" w:rsidRDefault="00BD6E6F" w:rsidP="00DD2461">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South Korea</w:t>
            </w:r>
            <w:r w:rsidR="00877D25" w:rsidRPr="000425DF">
              <w:rPr>
                <w:rFonts w:asciiTheme="majorBidi" w:hAnsiTheme="majorBidi" w:cstheme="majorBidi"/>
                <w:noProof w:val="0"/>
                <w:color w:val="1F3864" w:themeColor="accent1" w:themeShade="80"/>
                <w:sz w:val="24"/>
                <w:szCs w:val="24"/>
                <w:lang w:val="en-GB"/>
              </w:rPr>
              <w:t xml:space="preserve"> </w:t>
            </w:r>
            <w:r w:rsidR="00935C60">
              <w:rPr>
                <w:rFonts w:asciiTheme="majorBidi" w:hAnsiTheme="majorBidi" w:cstheme="majorBidi"/>
                <w:noProof w:val="0"/>
                <w:color w:val="1F3864" w:themeColor="accent1" w:themeShade="80"/>
                <w:sz w:val="24"/>
                <w:szCs w:val="24"/>
                <w:lang w:val="en-GB"/>
              </w:rPr>
              <w:t>(today)</w:t>
            </w:r>
          </w:p>
        </w:tc>
        <w:tc>
          <w:tcPr>
            <w:tcW w:w="6479" w:type="dxa"/>
            <w:shd w:val="clear" w:color="auto" w:fill="auto"/>
          </w:tcPr>
          <w:p w14:paraId="2AE9A021" w14:textId="4DE0EC21" w:rsidR="00FF70AB" w:rsidRPr="000425DF" w:rsidRDefault="00877D25" w:rsidP="00877D25">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The provision structure is essentially the same. Recent publications point out that “a</w:t>
            </w:r>
            <w:r w:rsidR="00FF70AB" w:rsidRPr="000425DF">
              <w:rPr>
                <w:rFonts w:asciiTheme="majorBidi" w:hAnsiTheme="majorBidi" w:cstheme="majorBidi"/>
                <w:noProof w:val="0"/>
                <w:color w:val="1F3864" w:themeColor="accent1" w:themeShade="80"/>
                <w:sz w:val="24"/>
                <w:szCs w:val="24"/>
                <w:lang w:val="en-GB"/>
              </w:rPr>
              <w:t>bout 70-80% of providers are from the private sector</w:t>
            </w:r>
            <w:r w:rsidRPr="000425DF">
              <w:rPr>
                <w:rFonts w:asciiTheme="majorBidi" w:hAnsiTheme="majorBidi" w:cstheme="majorBidi"/>
                <w:noProof w:val="0"/>
                <w:color w:val="1F3864" w:themeColor="accent1" w:themeShade="80"/>
                <w:sz w:val="24"/>
                <w:szCs w:val="24"/>
                <w:lang w:val="en-GB"/>
              </w:rPr>
              <w:t xml:space="preserve">” (Kwon 2021; Jeon </w:t>
            </w:r>
            <w:r w:rsidR="006B78DD" w:rsidRPr="000425DF">
              <w:rPr>
                <w:rFonts w:asciiTheme="majorBidi" w:hAnsiTheme="majorBidi" w:cstheme="majorBidi"/>
                <w:noProof w:val="0"/>
                <w:color w:val="1F3864" w:themeColor="accent1" w:themeShade="80"/>
                <w:sz w:val="24"/>
                <w:szCs w:val="24"/>
                <w:lang w:val="en-GB"/>
              </w:rPr>
              <w:t>and</w:t>
            </w:r>
            <w:r w:rsidRPr="000425DF">
              <w:rPr>
                <w:rFonts w:asciiTheme="majorBidi" w:hAnsiTheme="majorBidi" w:cstheme="majorBidi"/>
                <w:noProof w:val="0"/>
                <w:color w:val="1F3864" w:themeColor="accent1" w:themeShade="80"/>
                <w:sz w:val="24"/>
                <w:szCs w:val="24"/>
                <w:lang w:val="en-GB"/>
              </w:rPr>
              <w:t xml:space="preserve"> Kwon 2017). While the share could therefore have increased slightly, we stay with the former coding were more fine-grained data is available.</w:t>
            </w:r>
          </w:p>
        </w:tc>
        <w:tc>
          <w:tcPr>
            <w:tcW w:w="2821" w:type="dxa"/>
            <w:shd w:val="clear" w:color="auto" w:fill="auto"/>
          </w:tcPr>
          <w:p w14:paraId="5FB0D1FA" w14:textId="60BDC207" w:rsidR="00FF70AB" w:rsidRPr="000425DF" w:rsidRDefault="00877D25" w:rsidP="006B78DD">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 xml:space="preserve">See above; </w:t>
            </w:r>
            <w:r w:rsidR="00F63F5D">
              <w:rPr>
                <w:rFonts w:asciiTheme="majorBidi" w:hAnsiTheme="majorBidi" w:cstheme="majorBidi"/>
                <w:color w:val="1F3864" w:themeColor="accent1" w:themeShade="80"/>
                <w:sz w:val="24"/>
                <w:szCs w:val="24"/>
                <w:lang w:val="en-GB"/>
              </w:rPr>
              <w:t>Jeon &amp; Kwon, 2017; Kwon, 2021</w:t>
            </w:r>
          </w:p>
        </w:tc>
        <w:tc>
          <w:tcPr>
            <w:tcW w:w="1275" w:type="dxa"/>
            <w:shd w:val="clear" w:color="auto" w:fill="auto"/>
          </w:tcPr>
          <w:p w14:paraId="1D74424F" w14:textId="57C3E365" w:rsidR="00FF70AB" w:rsidRPr="000425DF" w:rsidRDefault="00877D25" w:rsidP="00DD2461">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Medium</w:t>
            </w:r>
          </w:p>
        </w:tc>
        <w:tc>
          <w:tcPr>
            <w:tcW w:w="706" w:type="dxa"/>
            <w:shd w:val="clear" w:color="auto" w:fill="auto"/>
          </w:tcPr>
          <w:p w14:paraId="1020860D" w14:textId="7F7CAF48" w:rsidR="00FF70AB" w:rsidRPr="000425DF" w:rsidRDefault="00877D25" w:rsidP="00DD2461">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0.0</w:t>
            </w:r>
          </w:p>
        </w:tc>
        <w:tc>
          <w:tcPr>
            <w:tcW w:w="707" w:type="dxa"/>
            <w:shd w:val="clear" w:color="auto" w:fill="auto"/>
          </w:tcPr>
          <w:p w14:paraId="4AC360C9" w14:textId="1E5073A0" w:rsidR="00FF70AB" w:rsidRPr="00935C60" w:rsidRDefault="00877D25" w:rsidP="00DD2461">
            <w:pPr>
              <w:rPr>
                <w:rFonts w:asciiTheme="majorBidi" w:hAnsiTheme="majorBidi" w:cstheme="majorBidi"/>
                <w:noProof w:val="0"/>
                <w:color w:val="1F3864" w:themeColor="accent1" w:themeShade="80"/>
                <w:sz w:val="24"/>
                <w:szCs w:val="24"/>
                <w:lang w:val="en-GB"/>
              </w:rPr>
            </w:pPr>
            <w:r w:rsidRPr="00935C60">
              <w:rPr>
                <w:rFonts w:asciiTheme="majorBidi" w:hAnsiTheme="majorBidi" w:cstheme="majorBidi"/>
                <w:noProof w:val="0"/>
                <w:color w:val="1F3864" w:themeColor="accent1" w:themeShade="80"/>
                <w:sz w:val="24"/>
                <w:szCs w:val="24"/>
                <w:lang w:val="en-GB"/>
              </w:rPr>
              <w:t>0.17</w:t>
            </w:r>
          </w:p>
        </w:tc>
        <w:tc>
          <w:tcPr>
            <w:tcW w:w="708" w:type="dxa"/>
            <w:shd w:val="clear" w:color="auto" w:fill="auto"/>
          </w:tcPr>
          <w:p w14:paraId="4464E479" w14:textId="4549C906" w:rsidR="00FF70AB" w:rsidRPr="000425DF" w:rsidRDefault="00877D25" w:rsidP="00DD2461">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0.67</w:t>
            </w:r>
          </w:p>
        </w:tc>
        <w:tc>
          <w:tcPr>
            <w:tcW w:w="708" w:type="dxa"/>
            <w:shd w:val="clear" w:color="auto" w:fill="auto"/>
          </w:tcPr>
          <w:p w14:paraId="6D9DCD8C" w14:textId="23D96EC6" w:rsidR="00FF70AB" w:rsidRPr="000425DF" w:rsidRDefault="00877D25" w:rsidP="00DD2461">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0.0</w:t>
            </w:r>
          </w:p>
        </w:tc>
      </w:tr>
    </w:tbl>
    <w:p w14:paraId="55A1F796" w14:textId="3E303072" w:rsidR="00FF407A" w:rsidRDefault="00FF407A">
      <w:pPr>
        <w:rPr>
          <w:rFonts w:asciiTheme="majorBidi" w:hAnsiTheme="majorBidi" w:cstheme="majorBidi"/>
          <w:noProof w:val="0"/>
          <w:sz w:val="24"/>
          <w:szCs w:val="24"/>
          <w:lang w:val="en-GB"/>
        </w:rPr>
      </w:pPr>
    </w:p>
    <w:p w14:paraId="40403C5D" w14:textId="1E59EAEA" w:rsidR="00EA3A7A" w:rsidRPr="000425DF" w:rsidRDefault="00FF407A" w:rsidP="00FF407A">
      <w:pPr>
        <w:rPr>
          <w:rFonts w:asciiTheme="majorBidi" w:hAnsiTheme="majorBidi" w:cstheme="majorBidi"/>
          <w:noProof w:val="0"/>
          <w:sz w:val="24"/>
          <w:szCs w:val="24"/>
          <w:lang w:val="en-GB"/>
        </w:rPr>
      </w:pPr>
      <w:r>
        <w:rPr>
          <w:rFonts w:asciiTheme="majorBidi" w:hAnsiTheme="majorBidi" w:cstheme="majorBidi"/>
          <w:noProof w:val="0"/>
          <w:sz w:val="24"/>
          <w:szCs w:val="24"/>
          <w:lang w:val="en-GB"/>
        </w:rPr>
        <w:br w:type="page"/>
      </w:r>
    </w:p>
    <w:p w14:paraId="0F30C9E3" w14:textId="2D8E8F69" w:rsidR="00287BD4" w:rsidRPr="00935C60" w:rsidRDefault="00935C60" w:rsidP="00287BD4">
      <w:pPr>
        <w:rPr>
          <w:rFonts w:asciiTheme="majorBidi" w:hAnsiTheme="majorBidi" w:cstheme="majorBidi"/>
          <w:i/>
          <w:iCs/>
          <w:noProof w:val="0"/>
          <w:sz w:val="24"/>
          <w:szCs w:val="24"/>
          <w:lang w:val="en-GB"/>
        </w:rPr>
      </w:pPr>
      <w:r w:rsidRPr="00935C60">
        <w:rPr>
          <w:rFonts w:asciiTheme="majorBidi" w:hAnsiTheme="majorBidi" w:cstheme="majorBidi"/>
          <w:i/>
          <w:iCs/>
          <w:noProof w:val="0"/>
          <w:sz w:val="24"/>
          <w:szCs w:val="24"/>
          <w:lang w:val="en-GB"/>
        </w:rPr>
        <w:lastRenderedPageBreak/>
        <w:t>Table A</w:t>
      </w:r>
      <w:r>
        <w:rPr>
          <w:rFonts w:asciiTheme="majorBidi" w:hAnsiTheme="majorBidi" w:cstheme="majorBidi"/>
          <w:i/>
          <w:iCs/>
          <w:noProof w:val="0"/>
          <w:sz w:val="24"/>
          <w:szCs w:val="24"/>
          <w:lang w:val="en-GB"/>
        </w:rPr>
        <w:t>4</w:t>
      </w:r>
      <w:r w:rsidRPr="00935C60">
        <w:rPr>
          <w:rFonts w:asciiTheme="majorBidi" w:hAnsiTheme="majorBidi" w:cstheme="majorBidi"/>
          <w:i/>
          <w:iCs/>
          <w:noProof w:val="0"/>
          <w:sz w:val="24"/>
          <w:szCs w:val="24"/>
          <w:lang w:val="en-GB"/>
        </w:rPr>
        <w:t xml:space="preserve">. </w:t>
      </w:r>
      <w:r w:rsidR="00AD5E33">
        <w:rPr>
          <w:rFonts w:asciiTheme="majorBidi" w:hAnsiTheme="majorBidi" w:cstheme="majorBidi"/>
          <w:i/>
          <w:iCs/>
          <w:noProof w:val="0"/>
          <w:sz w:val="24"/>
          <w:szCs w:val="24"/>
          <w:lang w:val="en-GB"/>
        </w:rPr>
        <w:t xml:space="preserve">Data for </w:t>
      </w:r>
      <w:r w:rsidR="006B3247">
        <w:rPr>
          <w:rFonts w:asciiTheme="majorBidi" w:hAnsiTheme="majorBidi" w:cstheme="majorBidi"/>
          <w:i/>
          <w:iCs/>
          <w:noProof w:val="0"/>
          <w:sz w:val="24"/>
          <w:szCs w:val="24"/>
          <w:lang w:val="en-GB"/>
        </w:rPr>
        <w:t xml:space="preserve">the </w:t>
      </w:r>
      <w:r w:rsidR="00AD5E33">
        <w:rPr>
          <w:rFonts w:asciiTheme="majorBidi" w:hAnsiTheme="majorBidi" w:cstheme="majorBidi"/>
          <w:i/>
          <w:iCs/>
          <w:noProof w:val="0"/>
          <w:sz w:val="24"/>
          <w:szCs w:val="24"/>
          <w:lang w:val="en-GB"/>
        </w:rPr>
        <w:t>six regulatory sub-dimensions.</w:t>
      </w:r>
    </w:p>
    <w:p w14:paraId="6BFC4049" w14:textId="54F8DCCC" w:rsidR="00557342" w:rsidRPr="00AD5E33" w:rsidRDefault="00AD5E33" w:rsidP="00287BD4">
      <w:pPr>
        <w:rPr>
          <w:rFonts w:asciiTheme="majorBidi" w:hAnsiTheme="majorBidi" w:cstheme="majorBidi"/>
          <w:i/>
          <w:iCs/>
          <w:noProof w:val="0"/>
          <w:sz w:val="24"/>
          <w:szCs w:val="24"/>
          <w:lang w:val="en-GB"/>
        </w:rPr>
      </w:pPr>
      <w:r w:rsidRPr="00AD5E33">
        <w:rPr>
          <w:rFonts w:asciiTheme="majorBidi" w:hAnsiTheme="majorBidi" w:cstheme="majorBidi"/>
          <w:i/>
          <w:iCs/>
          <w:noProof w:val="0"/>
          <w:sz w:val="24"/>
          <w:szCs w:val="24"/>
          <w:lang w:val="en-GB"/>
        </w:rPr>
        <w:t xml:space="preserve">Note: </w:t>
      </w:r>
      <w:r w:rsidR="00557342" w:rsidRPr="00AD5E33">
        <w:rPr>
          <w:rFonts w:asciiTheme="majorBidi" w:hAnsiTheme="majorBidi" w:cstheme="majorBidi"/>
          <w:i/>
          <w:iCs/>
          <w:noProof w:val="0"/>
          <w:sz w:val="24"/>
          <w:szCs w:val="24"/>
          <w:lang w:val="en-GB"/>
        </w:rPr>
        <w:t xml:space="preserve">All data refers to the introduction point and original regulation of the system. If actor responsibilities changed, data for today is </w:t>
      </w:r>
      <w:r w:rsidRPr="00AD5E33">
        <w:rPr>
          <w:rFonts w:asciiTheme="majorBidi" w:hAnsiTheme="majorBidi" w:cstheme="majorBidi"/>
          <w:i/>
          <w:iCs/>
          <w:noProof w:val="0"/>
          <w:sz w:val="24"/>
          <w:szCs w:val="24"/>
          <w:lang w:val="en-GB"/>
        </w:rPr>
        <w:t>specified additionally.</w:t>
      </w:r>
      <w:r w:rsidR="006B3247">
        <w:rPr>
          <w:rFonts w:asciiTheme="majorBidi" w:hAnsiTheme="majorBidi" w:cstheme="majorBidi"/>
          <w:i/>
          <w:iCs/>
          <w:noProof w:val="0"/>
          <w:sz w:val="24"/>
          <w:szCs w:val="24"/>
          <w:lang w:val="en-GB"/>
        </w:rPr>
        <w:t xml:space="preserve"> Data for system introduction refers, if available, to a time span of three years after de jure implementation date. Data for the system ‘today’ refers to the latest data available, generally for the 2010s (with exception of the Netherlands where data refers to the situation before 2015).</w:t>
      </w:r>
    </w:p>
    <w:tbl>
      <w:tblPr>
        <w:tblStyle w:val="Tabellenraster1"/>
        <w:tblW w:w="14454" w:type="dxa"/>
        <w:tblLook w:val="04A0" w:firstRow="1" w:lastRow="0" w:firstColumn="1" w:lastColumn="0" w:noHBand="0" w:noVBand="1"/>
      </w:tblPr>
      <w:tblGrid>
        <w:gridCol w:w="2830"/>
        <w:gridCol w:w="7371"/>
        <w:gridCol w:w="2835"/>
        <w:gridCol w:w="1418"/>
      </w:tblGrid>
      <w:tr w:rsidR="00287BD4" w:rsidRPr="000425DF" w14:paraId="34E3A52D" w14:textId="77777777" w:rsidTr="00FF407A">
        <w:trPr>
          <w:trHeight w:val="57"/>
        </w:trPr>
        <w:tc>
          <w:tcPr>
            <w:tcW w:w="14454" w:type="dxa"/>
            <w:gridSpan w:val="4"/>
            <w:tcBorders>
              <w:bottom w:val="single" w:sz="4" w:space="0" w:color="auto"/>
            </w:tcBorders>
            <w:shd w:val="clear" w:color="auto" w:fill="auto"/>
            <w:vAlign w:val="center"/>
          </w:tcPr>
          <w:p w14:paraId="62AD7EBB" w14:textId="707D4539" w:rsidR="00287BD4" w:rsidRPr="000425DF" w:rsidRDefault="00287BD4" w:rsidP="003C2931">
            <w:pPr>
              <w:rPr>
                <w:rFonts w:asciiTheme="majorBidi" w:hAnsiTheme="majorBidi" w:cstheme="majorBidi"/>
                <w:sz w:val="24"/>
                <w:szCs w:val="24"/>
                <w:lang w:val="en-GB"/>
              </w:rPr>
            </w:pPr>
            <w:r w:rsidRPr="000425DF">
              <w:rPr>
                <w:rFonts w:asciiTheme="majorBidi" w:hAnsiTheme="majorBidi" w:cstheme="majorBidi"/>
                <w:b/>
                <w:bCs/>
                <w:sz w:val="24"/>
                <w:szCs w:val="24"/>
                <w:lang w:val="en-GB"/>
              </w:rPr>
              <w:t>Germany</w:t>
            </w:r>
          </w:p>
        </w:tc>
      </w:tr>
      <w:tr w:rsidR="003C2931" w:rsidRPr="000425DF" w14:paraId="41F80383" w14:textId="77777777" w:rsidTr="00FF407A">
        <w:trPr>
          <w:trHeight w:val="57"/>
        </w:trPr>
        <w:tc>
          <w:tcPr>
            <w:tcW w:w="2830" w:type="dxa"/>
            <w:tcBorders>
              <w:bottom w:val="single" w:sz="4" w:space="0" w:color="auto"/>
            </w:tcBorders>
            <w:vAlign w:val="center"/>
          </w:tcPr>
          <w:p w14:paraId="33ADBA11" w14:textId="77777777" w:rsidR="003C2931" w:rsidRPr="000425DF" w:rsidRDefault="003C2931" w:rsidP="003C2931">
            <w:pPr>
              <w:rPr>
                <w:rFonts w:asciiTheme="majorBidi" w:hAnsiTheme="majorBidi" w:cstheme="majorBidi"/>
                <w:i/>
                <w:iCs/>
                <w:sz w:val="24"/>
                <w:szCs w:val="24"/>
                <w:lang w:val="en-GB"/>
              </w:rPr>
            </w:pPr>
            <w:r w:rsidRPr="000425DF">
              <w:rPr>
                <w:rFonts w:asciiTheme="majorBidi" w:hAnsiTheme="majorBidi" w:cstheme="majorBidi"/>
                <w:i/>
                <w:iCs/>
                <w:sz w:val="24"/>
                <w:szCs w:val="24"/>
                <w:lang w:val="en-GB"/>
              </w:rPr>
              <w:t>Eligibility assessment</w:t>
            </w:r>
          </w:p>
        </w:tc>
        <w:tc>
          <w:tcPr>
            <w:tcW w:w="7371" w:type="dxa"/>
            <w:tcBorders>
              <w:bottom w:val="single" w:sz="4" w:space="0" w:color="auto"/>
            </w:tcBorders>
            <w:vAlign w:val="center"/>
          </w:tcPr>
          <w:p w14:paraId="633F0ECA" w14:textId="6A2585D4" w:rsidR="000B5212" w:rsidRPr="000425DF" w:rsidRDefault="000B5212" w:rsidP="003C2931">
            <w:pPr>
              <w:rPr>
                <w:rFonts w:asciiTheme="majorBidi" w:hAnsiTheme="majorBidi" w:cstheme="majorBidi"/>
                <w:sz w:val="24"/>
                <w:szCs w:val="24"/>
                <w:lang w:val="en-GB"/>
              </w:rPr>
            </w:pPr>
            <w:r w:rsidRPr="000425DF">
              <w:rPr>
                <w:rFonts w:asciiTheme="majorBidi" w:hAnsiTheme="majorBidi" w:cstheme="majorBidi"/>
                <w:sz w:val="24"/>
                <w:szCs w:val="24"/>
                <w:lang w:val="en-GB"/>
              </w:rPr>
              <w:t>Societal actors</w:t>
            </w:r>
          </w:p>
          <w:p w14:paraId="2AC7E642" w14:textId="318A276F" w:rsidR="003C2931" w:rsidRPr="000425DF" w:rsidRDefault="003C2931" w:rsidP="003C2931">
            <w:pPr>
              <w:rPr>
                <w:rFonts w:asciiTheme="majorBidi" w:hAnsiTheme="majorBidi" w:cstheme="majorBidi"/>
                <w:sz w:val="24"/>
                <w:szCs w:val="24"/>
                <w:lang w:val="en-GB"/>
              </w:rPr>
            </w:pPr>
            <w:r w:rsidRPr="000425DF">
              <w:rPr>
                <w:rFonts w:asciiTheme="majorBidi" w:hAnsiTheme="majorBidi" w:cstheme="majorBidi"/>
                <w:sz w:val="24"/>
                <w:szCs w:val="24"/>
                <w:lang w:val="en-GB"/>
              </w:rPr>
              <w:t>The Medical Review Board (Medizinischer Dienst der Krankenversicherung) of the sickness/LTC funds conduct the assessment of care dependency.</w:t>
            </w:r>
            <w:r w:rsidR="00557342" w:rsidRPr="000425DF">
              <w:rPr>
                <w:rFonts w:asciiTheme="majorBidi" w:hAnsiTheme="majorBidi" w:cstheme="majorBidi"/>
                <w:sz w:val="24"/>
                <w:szCs w:val="24"/>
                <w:lang w:val="en-GB"/>
              </w:rPr>
              <w:t xml:space="preserve"> (§18 PflegeVG)</w:t>
            </w:r>
          </w:p>
        </w:tc>
        <w:tc>
          <w:tcPr>
            <w:tcW w:w="2835" w:type="dxa"/>
            <w:vAlign w:val="center"/>
          </w:tcPr>
          <w:p w14:paraId="16BD33EE" w14:textId="7FD5D0EC" w:rsidR="003C2931" w:rsidRPr="000425DF" w:rsidRDefault="00557342" w:rsidP="00BD581B">
            <w:pPr>
              <w:rPr>
                <w:rFonts w:asciiTheme="majorBidi" w:hAnsiTheme="majorBidi" w:cstheme="majorBidi"/>
                <w:sz w:val="24"/>
                <w:szCs w:val="24"/>
                <w:lang w:val="en-GB"/>
              </w:rPr>
            </w:pPr>
            <w:r w:rsidRPr="000425DF">
              <w:rPr>
                <w:rFonts w:asciiTheme="majorBidi" w:hAnsiTheme="majorBidi" w:cstheme="majorBidi"/>
                <w:sz w:val="24"/>
                <w:szCs w:val="24"/>
                <w:lang w:val="en-GB"/>
              </w:rPr>
              <w:t>PflegeVG</w:t>
            </w:r>
            <w:r w:rsidR="00BD581B" w:rsidRPr="000425DF">
              <w:rPr>
                <w:rFonts w:asciiTheme="majorBidi" w:hAnsiTheme="majorBidi" w:cstheme="majorBidi"/>
                <w:sz w:val="24"/>
                <w:szCs w:val="24"/>
                <w:lang w:val="en-GB"/>
              </w:rPr>
              <w:t xml:space="preserve">; </w:t>
            </w:r>
            <w:r w:rsidR="00F63F5D">
              <w:rPr>
                <w:rFonts w:asciiTheme="majorBidi" w:hAnsiTheme="majorBidi" w:cstheme="majorBidi"/>
                <w:sz w:val="24"/>
                <w:szCs w:val="24"/>
                <w:lang w:val="en-GB"/>
              </w:rPr>
              <w:t>Mager, 1999; Rothgang, 2010</w:t>
            </w:r>
          </w:p>
        </w:tc>
        <w:tc>
          <w:tcPr>
            <w:tcW w:w="1418" w:type="dxa"/>
            <w:vAlign w:val="center"/>
          </w:tcPr>
          <w:p w14:paraId="737DF39F" w14:textId="77777777" w:rsidR="003C2931" w:rsidRPr="000425DF" w:rsidRDefault="003C2931" w:rsidP="003C2931">
            <w:pPr>
              <w:rPr>
                <w:rFonts w:asciiTheme="majorBidi" w:hAnsiTheme="majorBidi" w:cstheme="majorBidi"/>
                <w:sz w:val="24"/>
                <w:szCs w:val="24"/>
                <w:lang w:val="en-GB"/>
              </w:rPr>
            </w:pPr>
            <w:r w:rsidRPr="000425DF">
              <w:rPr>
                <w:rFonts w:asciiTheme="majorBidi" w:hAnsiTheme="majorBidi" w:cstheme="majorBidi"/>
                <w:sz w:val="24"/>
                <w:szCs w:val="24"/>
                <w:lang w:val="en-GB"/>
              </w:rPr>
              <w:t>High</w:t>
            </w:r>
          </w:p>
        </w:tc>
      </w:tr>
      <w:tr w:rsidR="003C2931" w:rsidRPr="000425DF" w14:paraId="5A96952C" w14:textId="77777777" w:rsidTr="00FF407A">
        <w:trPr>
          <w:trHeight w:val="57"/>
        </w:trPr>
        <w:tc>
          <w:tcPr>
            <w:tcW w:w="2830" w:type="dxa"/>
            <w:tcBorders>
              <w:bottom w:val="single" w:sz="4" w:space="0" w:color="auto"/>
            </w:tcBorders>
            <w:vAlign w:val="center"/>
          </w:tcPr>
          <w:p w14:paraId="1DB6EFD6" w14:textId="49EDBD27" w:rsidR="003C2931" w:rsidRPr="000425DF" w:rsidRDefault="003C2931" w:rsidP="003C2931">
            <w:pPr>
              <w:rPr>
                <w:rFonts w:asciiTheme="majorBidi" w:hAnsiTheme="majorBidi" w:cstheme="majorBidi"/>
                <w:i/>
                <w:iCs/>
                <w:sz w:val="24"/>
                <w:szCs w:val="24"/>
                <w:lang w:val="en-GB"/>
              </w:rPr>
            </w:pPr>
            <w:r w:rsidRPr="000425DF">
              <w:rPr>
                <w:rFonts w:asciiTheme="majorBidi" w:hAnsiTheme="majorBidi" w:cstheme="majorBidi"/>
                <w:i/>
                <w:iCs/>
                <w:sz w:val="24"/>
                <w:szCs w:val="24"/>
                <w:lang w:val="en-GB"/>
              </w:rPr>
              <w:t>Payment/contribution</w:t>
            </w:r>
            <w:r w:rsidR="00D66B6B" w:rsidRPr="000425DF">
              <w:rPr>
                <w:rFonts w:asciiTheme="majorBidi" w:hAnsiTheme="majorBidi" w:cstheme="majorBidi"/>
                <w:i/>
                <w:iCs/>
                <w:sz w:val="24"/>
                <w:szCs w:val="24"/>
                <w:lang w:val="en-GB"/>
              </w:rPr>
              <w:t>s</w:t>
            </w:r>
          </w:p>
        </w:tc>
        <w:tc>
          <w:tcPr>
            <w:tcW w:w="7371" w:type="dxa"/>
            <w:tcBorders>
              <w:bottom w:val="single" w:sz="4" w:space="0" w:color="auto"/>
            </w:tcBorders>
            <w:vAlign w:val="center"/>
          </w:tcPr>
          <w:p w14:paraId="6282B371" w14:textId="3DF44E2F" w:rsidR="000B5212" w:rsidRPr="000425DF" w:rsidRDefault="000B5212" w:rsidP="003C2931">
            <w:pPr>
              <w:rPr>
                <w:rFonts w:asciiTheme="majorBidi" w:hAnsiTheme="majorBidi" w:cstheme="majorBidi"/>
                <w:sz w:val="24"/>
                <w:szCs w:val="24"/>
                <w:lang w:val="en-GB"/>
              </w:rPr>
            </w:pPr>
            <w:r w:rsidRPr="000425DF">
              <w:rPr>
                <w:rFonts w:asciiTheme="majorBidi" w:hAnsiTheme="majorBidi" w:cstheme="majorBidi"/>
                <w:sz w:val="24"/>
                <w:szCs w:val="24"/>
                <w:lang w:val="en-GB"/>
              </w:rPr>
              <w:t>State</w:t>
            </w:r>
          </w:p>
          <w:p w14:paraId="0E1BB00C" w14:textId="3C23E275" w:rsidR="003C2931" w:rsidRPr="000425DF" w:rsidRDefault="003C2931" w:rsidP="003C2931">
            <w:pPr>
              <w:rPr>
                <w:rFonts w:asciiTheme="majorBidi" w:hAnsiTheme="majorBidi" w:cstheme="majorBidi"/>
                <w:sz w:val="24"/>
                <w:szCs w:val="24"/>
                <w:lang w:val="en-GB"/>
              </w:rPr>
            </w:pPr>
            <w:r w:rsidRPr="000425DF">
              <w:rPr>
                <w:rFonts w:asciiTheme="majorBidi" w:hAnsiTheme="majorBidi" w:cstheme="majorBidi"/>
                <w:sz w:val="24"/>
                <w:szCs w:val="24"/>
                <w:lang w:val="en-GB"/>
              </w:rPr>
              <w:t>The pay-roll contribution rates for employers/employees are set by law</w:t>
            </w:r>
            <w:r w:rsidR="00557342" w:rsidRPr="000425DF">
              <w:rPr>
                <w:rFonts w:asciiTheme="majorBidi" w:hAnsiTheme="majorBidi" w:cstheme="majorBidi"/>
                <w:sz w:val="24"/>
                <w:szCs w:val="24"/>
                <w:lang w:val="en-GB"/>
              </w:rPr>
              <w:t xml:space="preserve"> (§55 PflegeVG).</w:t>
            </w:r>
          </w:p>
        </w:tc>
        <w:tc>
          <w:tcPr>
            <w:tcW w:w="2835" w:type="dxa"/>
            <w:vAlign w:val="center"/>
          </w:tcPr>
          <w:p w14:paraId="573D84E4" w14:textId="21DC1D34" w:rsidR="003C2931" w:rsidRPr="000425DF" w:rsidRDefault="003C2931" w:rsidP="003C2931">
            <w:pPr>
              <w:rPr>
                <w:rFonts w:asciiTheme="majorBidi" w:hAnsiTheme="majorBidi" w:cstheme="majorBidi"/>
                <w:sz w:val="24"/>
                <w:szCs w:val="24"/>
                <w:lang w:val="en-GB"/>
              </w:rPr>
            </w:pPr>
            <w:r w:rsidRPr="000425DF">
              <w:rPr>
                <w:rFonts w:asciiTheme="majorBidi" w:hAnsiTheme="majorBidi" w:cstheme="majorBidi"/>
                <w:sz w:val="24"/>
                <w:szCs w:val="24"/>
                <w:lang w:val="en-GB"/>
              </w:rPr>
              <w:t>PflegeVG</w:t>
            </w:r>
          </w:p>
        </w:tc>
        <w:tc>
          <w:tcPr>
            <w:tcW w:w="1418" w:type="dxa"/>
            <w:vAlign w:val="center"/>
          </w:tcPr>
          <w:p w14:paraId="6E1FF212" w14:textId="77777777" w:rsidR="003C2931" w:rsidRPr="000425DF" w:rsidRDefault="003C2931" w:rsidP="003C2931">
            <w:pPr>
              <w:rPr>
                <w:rFonts w:asciiTheme="majorBidi" w:hAnsiTheme="majorBidi" w:cstheme="majorBidi"/>
                <w:sz w:val="24"/>
                <w:szCs w:val="24"/>
                <w:lang w:val="en-GB"/>
              </w:rPr>
            </w:pPr>
            <w:r w:rsidRPr="000425DF">
              <w:rPr>
                <w:rFonts w:asciiTheme="majorBidi" w:hAnsiTheme="majorBidi" w:cstheme="majorBidi"/>
                <w:sz w:val="24"/>
                <w:szCs w:val="24"/>
                <w:lang w:val="en-GB"/>
              </w:rPr>
              <w:t>High</w:t>
            </w:r>
          </w:p>
        </w:tc>
      </w:tr>
      <w:tr w:rsidR="003C2931" w:rsidRPr="000425DF" w14:paraId="3630F1BA" w14:textId="77777777" w:rsidTr="00FF407A">
        <w:trPr>
          <w:trHeight w:val="57"/>
        </w:trPr>
        <w:tc>
          <w:tcPr>
            <w:tcW w:w="2830" w:type="dxa"/>
            <w:tcBorders>
              <w:bottom w:val="single" w:sz="4" w:space="0" w:color="auto"/>
            </w:tcBorders>
            <w:vAlign w:val="center"/>
          </w:tcPr>
          <w:p w14:paraId="3C356D03" w14:textId="6DC55057" w:rsidR="003C2931" w:rsidRPr="000425DF" w:rsidRDefault="003C2931" w:rsidP="003C2931">
            <w:pPr>
              <w:rPr>
                <w:rFonts w:asciiTheme="majorBidi" w:hAnsiTheme="majorBidi" w:cstheme="majorBidi"/>
                <w:i/>
                <w:iCs/>
                <w:sz w:val="24"/>
                <w:szCs w:val="24"/>
                <w:lang w:val="en-GB"/>
              </w:rPr>
            </w:pPr>
            <w:r w:rsidRPr="000425DF">
              <w:rPr>
                <w:rFonts w:asciiTheme="majorBidi" w:hAnsiTheme="majorBidi" w:cstheme="majorBidi"/>
                <w:i/>
                <w:iCs/>
                <w:sz w:val="24"/>
                <w:szCs w:val="24"/>
                <w:lang w:val="en-GB"/>
              </w:rPr>
              <w:t>Provider access</w:t>
            </w:r>
            <w:r w:rsidR="00D66B6B" w:rsidRPr="000425DF">
              <w:rPr>
                <w:rFonts w:asciiTheme="majorBidi" w:hAnsiTheme="majorBidi" w:cstheme="majorBidi"/>
                <w:i/>
                <w:iCs/>
                <w:sz w:val="24"/>
                <w:szCs w:val="24"/>
                <w:lang w:val="en-GB"/>
              </w:rPr>
              <w:t xml:space="preserve"> to system</w:t>
            </w:r>
          </w:p>
        </w:tc>
        <w:tc>
          <w:tcPr>
            <w:tcW w:w="7371" w:type="dxa"/>
            <w:tcBorders>
              <w:bottom w:val="single" w:sz="4" w:space="0" w:color="auto"/>
            </w:tcBorders>
            <w:vAlign w:val="center"/>
          </w:tcPr>
          <w:p w14:paraId="162DDCC6" w14:textId="1DC8DCF1" w:rsidR="000B5212" w:rsidRPr="000425DF" w:rsidRDefault="000B5212" w:rsidP="003C2931">
            <w:pPr>
              <w:rPr>
                <w:rFonts w:asciiTheme="majorBidi" w:hAnsiTheme="majorBidi" w:cstheme="majorBidi"/>
                <w:sz w:val="24"/>
                <w:szCs w:val="24"/>
                <w:lang w:val="en-GB"/>
              </w:rPr>
            </w:pPr>
            <w:r w:rsidRPr="000425DF">
              <w:rPr>
                <w:rFonts w:asciiTheme="majorBidi" w:hAnsiTheme="majorBidi" w:cstheme="majorBidi"/>
                <w:sz w:val="24"/>
                <w:szCs w:val="24"/>
                <w:lang w:val="en-GB"/>
              </w:rPr>
              <w:t>Private actors</w:t>
            </w:r>
          </w:p>
          <w:p w14:paraId="68A3F211" w14:textId="606823AF" w:rsidR="003C2931" w:rsidRPr="000425DF" w:rsidRDefault="003C2931" w:rsidP="003C2931">
            <w:pPr>
              <w:rPr>
                <w:rFonts w:asciiTheme="majorBidi" w:hAnsiTheme="majorBidi" w:cstheme="majorBidi"/>
                <w:sz w:val="24"/>
                <w:szCs w:val="24"/>
                <w:lang w:val="en-GB"/>
              </w:rPr>
            </w:pPr>
            <w:r w:rsidRPr="000425DF">
              <w:rPr>
                <w:rFonts w:asciiTheme="majorBidi" w:hAnsiTheme="majorBidi" w:cstheme="majorBidi"/>
                <w:sz w:val="24"/>
                <w:szCs w:val="24"/>
                <w:lang w:val="en-GB"/>
              </w:rPr>
              <w:t>There are no specific regulation/criteria for home-care and residential care providers to fulfil to access the public LTC system, except general licencing for fulfilling formal minimum standards (regarding staff qualifications). Any provider who meets these standards can offer benefits and receive remuneration within the public LTC system.</w:t>
            </w:r>
          </w:p>
          <w:p w14:paraId="748A582E" w14:textId="77777777" w:rsidR="003C2931" w:rsidRPr="000425DF" w:rsidRDefault="003C2931" w:rsidP="003C2931">
            <w:pPr>
              <w:rPr>
                <w:rFonts w:asciiTheme="majorBidi" w:hAnsiTheme="majorBidi" w:cstheme="majorBidi"/>
                <w:sz w:val="24"/>
                <w:szCs w:val="24"/>
                <w:lang w:val="en-GB"/>
              </w:rPr>
            </w:pPr>
            <w:r w:rsidRPr="000425DF">
              <w:rPr>
                <w:rFonts w:asciiTheme="majorBidi" w:hAnsiTheme="majorBidi" w:cstheme="majorBidi"/>
                <w:sz w:val="24"/>
                <w:szCs w:val="24"/>
                <w:lang w:val="en-GB"/>
              </w:rPr>
              <w:t>There is no regulation for the use of the cash benefit, it can be employed (or not) to remunerate any care provider without access control (family member, domestic care worker, etc.).</w:t>
            </w:r>
          </w:p>
        </w:tc>
        <w:tc>
          <w:tcPr>
            <w:tcW w:w="2835" w:type="dxa"/>
            <w:vAlign w:val="center"/>
          </w:tcPr>
          <w:p w14:paraId="15056474" w14:textId="77777777" w:rsidR="00BD581B" w:rsidRPr="000425DF" w:rsidRDefault="00BD581B" w:rsidP="003C2931">
            <w:pPr>
              <w:rPr>
                <w:rFonts w:asciiTheme="majorBidi" w:hAnsiTheme="majorBidi" w:cstheme="majorBidi"/>
                <w:sz w:val="24"/>
                <w:szCs w:val="24"/>
                <w:lang w:val="en-GB"/>
              </w:rPr>
            </w:pPr>
          </w:p>
          <w:p w14:paraId="7A65CD06" w14:textId="65F36AD0" w:rsidR="00BD581B" w:rsidRPr="000425DF" w:rsidRDefault="00F63F5D" w:rsidP="00BD581B">
            <w:pPr>
              <w:rPr>
                <w:rFonts w:asciiTheme="majorBidi" w:hAnsiTheme="majorBidi" w:cstheme="majorBidi"/>
                <w:sz w:val="24"/>
                <w:szCs w:val="24"/>
                <w:lang w:val="en-GB"/>
              </w:rPr>
            </w:pPr>
            <w:r>
              <w:rPr>
                <w:rFonts w:asciiTheme="majorBidi" w:hAnsiTheme="majorBidi" w:cstheme="majorBidi"/>
                <w:sz w:val="24"/>
                <w:szCs w:val="24"/>
                <w:lang w:val="en-GB"/>
              </w:rPr>
              <w:t>Evers, 1998; Rothgang, 2010</w:t>
            </w:r>
          </w:p>
        </w:tc>
        <w:tc>
          <w:tcPr>
            <w:tcW w:w="1418" w:type="dxa"/>
            <w:vAlign w:val="center"/>
          </w:tcPr>
          <w:p w14:paraId="2E776A2C" w14:textId="77777777" w:rsidR="003C2931" w:rsidRPr="000425DF" w:rsidRDefault="003C2931" w:rsidP="003C2931">
            <w:pPr>
              <w:rPr>
                <w:rFonts w:asciiTheme="majorBidi" w:hAnsiTheme="majorBidi" w:cstheme="majorBidi"/>
                <w:sz w:val="24"/>
                <w:szCs w:val="24"/>
                <w:lang w:val="en-GB"/>
              </w:rPr>
            </w:pPr>
            <w:r w:rsidRPr="000425DF">
              <w:rPr>
                <w:rFonts w:asciiTheme="majorBidi" w:hAnsiTheme="majorBidi" w:cstheme="majorBidi"/>
                <w:sz w:val="24"/>
                <w:szCs w:val="24"/>
                <w:lang w:val="en-GB"/>
              </w:rPr>
              <w:t>High</w:t>
            </w:r>
          </w:p>
        </w:tc>
      </w:tr>
      <w:tr w:rsidR="003C2931" w:rsidRPr="000425DF" w14:paraId="5CD71E3E" w14:textId="77777777" w:rsidTr="00FF407A">
        <w:trPr>
          <w:trHeight w:val="57"/>
        </w:trPr>
        <w:tc>
          <w:tcPr>
            <w:tcW w:w="2830" w:type="dxa"/>
            <w:tcBorders>
              <w:bottom w:val="single" w:sz="4" w:space="0" w:color="auto"/>
            </w:tcBorders>
            <w:vAlign w:val="center"/>
          </w:tcPr>
          <w:p w14:paraId="19212BBC" w14:textId="35298ED7" w:rsidR="003C2931" w:rsidRPr="000425DF" w:rsidRDefault="003C2931" w:rsidP="003C2931">
            <w:pPr>
              <w:rPr>
                <w:rFonts w:asciiTheme="majorBidi" w:hAnsiTheme="majorBidi" w:cstheme="majorBidi"/>
                <w:i/>
                <w:iCs/>
                <w:sz w:val="24"/>
                <w:szCs w:val="24"/>
                <w:lang w:val="en-GB"/>
              </w:rPr>
            </w:pPr>
            <w:r w:rsidRPr="000425DF">
              <w:rPr>
                <w:rFonts w:asciiTheme="majorBidi" w:hAnsiTheme="majorBidi" w:cstheme="majorBidi"/>
                <w:i/>
                <w:iCs/>
                <w:sz w:val="24"/>
                <w:szCs w:val="24"/>
                <w:lang w:val="en-GB"/>
              </w:rPr>
              <w:t>Remuneration</w:t>
            </w:r>
            <w:r w:rsidR="00D66B6B" w:rsidRPr="000425DF">
              <w:rPr>
                <w:rFonts w:asciiTheme="majorBidi" w:hAnsiTheme="majorBidi" w:cstheme="majorBidi"/>
                <w:i/>
                <w:iCs/>
                <w:sz w:val="24"/>
                <w:szCs w:val="24"/>
                <w:lang w:val="en-GB"/>
              </w:rPr>
              <w:t>/fees</w:t>
            </w:r>
          </w:p>
        </w:tc>
        <w:tc>
          <w:tcPr>
            <w:tcW w:w="7371" w:type="dxa"/>
            <w:tcBorders>
              <w:bottom w:val="single" w:sz="4" w:space="0" w:color="auto"/>
            </w:tcBorders>
            <w:vAlign w:val="center"/>
          </w:tcPr>
          <w:p w14:paraId="0D9CD3F3" w14:textId="1C7BC9B2" w:rsidR="000B5212" w:rsidRPr="000425DF" w:rsidRDefault="000B5212" w:rsidP="003C2931">
            <w:pPr>
              <w:rPr>
                <w:rFonts w:asciiTheme="majorBidi" w:hAnsiTheme="majorBidi" w:cstheme="majorBidi"/>
                <w:sz w:val="24"/>
                <w:szCs w:val="24"/>
                <w:lang w:val="en-GB"/>
              </w:rPr>
            </w:pPr>
            <w:r w:rsidRPr="000425DF">
              <w:rPr>
                <w:rFonts w:asciiTheme="majorBidi" w:hAnsiTheme="majorBidi" w:cstheme="majorBidi"/>
                <w:sz w:val="24"/>
                <w:szCs w:val="24"/>
                <w:lang w:val="en-GB"/>
              </w:rPr>
              <w:t>State &amp; societal actors</w:t>
            </w:r>
          </w:p>
          <w:p w14:paraId="289793C1" w14:textId="14592783" w:rsidR="003C2931" w:rsidRPr="000425DF" w:rsidRDefault="003C2931" w:rsidP="003C2931">
            <w:pPr>
              <w:rPr>
                <w:rFonts w:asciiTheme="majorBidi" w:hAnsiTheme="majorBidi" w:cstheme="majorBidi"/>
                <w:sz w:val="24"/>
                <w:szCs w:val="24"/>
                <w:lang w:val="en-GB"/>
              </w:rPr>
            </w:pPr>
            <w:r w:rsidRPr="000425DF">
              <w:rPr>
                <w:rFonts w:asciiTheme="majorBidi" w:hAnsiTheme="majorBidi" w:cstheme="majorBidi"/>
                <w:sz w:val="24"/>
                <w:szCs w:val="24"/>
                <w:lang w:val="en-GB"/>
              </w:rPr>
              <w:t>The level of monetary benefits is set by law (PflegeVG § 37), i.e. by the state.</w:t>
            </w:r>
            <w:r w:rsidRPr="000425DF">
              <w:rPr>
                <w:rFonts w:asciiTheme="majorBidi" w:hAnsiTheme="majorBidi" w:cstheme="majorBidi"/>
                <w:sz w:val="24"/>
                <w:szCs w:val="24"/>
                <w:lang w:val="en-GB"/>
              </w:rPr>
              <w:br/>
              <w:t>Fees for in-kind services vary within Germany. They are negotiated between LTC funds (or their associations) and care providers (or their associations), i.e. by societal actors</w:t>
            </w:r>
            <w:r w:rsidR="00EA6FA9" w:rsidRPr="000425DF">
              <w:rPr>
                <w:rFonts w:asciiTheme="majorBidi" w:hAnsiTheme="majorBidi" w:cstheme="majorBidi"/>
                <w:sz w:val="24"/>
                <w:szCs w:val="24"/>
                <w:lang w:val="en-GB"/>
              </w:rPr>
              <w:t>.</w:t>
            </w:r>
          </w:p>
        </w:tc>
        <w:tc>
          <w:tcPr>
            <w:tcW w:w="2835" w:type="dxa"/>
            <w:vAlign w:val="center"/>
          </w:tcPr>
          <w:p w14:paraId="5A0C1F64" w14:textId="20F92D7E" w:rsidR="003C2931" w:rsidRPr="00507DB2" w:rsidRDefault="00B274C8" w:rsidP="00BD581B">
            <w:pPr>
              <w:rPr>
                <w:rFonts w:asciiTheme="majorBidi" w:hAnsiTheme="majorBidi" w:cstheme="majorBidi"/>
                <w:sz w:val="24"/>
                <w:szCs w:val="24"/>
              </w:rPr>
            </w:pPr>
            <w:r w:rsidRPr="00507DB2">
              <w:rPr>
                <w:rFonts w:asciiTheme="majorBidi" w:hAnsiTheme="majorBidi" w:cstheme="majorBidi"/>
                <w:sz w:val="24"/>
                <w:szCs w:val="24"/>
              </w:rPr>
              <w:t xml:space="preserve">PflegeVG; </w:t>
            </w:r>
            <w:r w:rsidR="00F63F5D" w:rsidRPr="00507DB2">
              <w:rPr>
                <w:rFonts w:asciiTheme="majorBidi" w:hAnsiTheme="majorBidi" w:cstheme="majorBidi"/>
                <w:sz w:val="24"/>
                <w:szCs w:val="24"/>
              </w:rPr>
              <w:t>Mager, 1999; Rhee et al., 2015; Rothgang, 2010</w:t>
            </w:r>
          </w:p>
        </w:tc>
        <w:tc>
          <w:tcPr>
            <w:tcW w:w="1418" w:type="dxa"/>
            <w:vAlign w:val="center"/>
          </w:tcPr>
          <w:p w14:paraId="1E1D15B9" w14:textId="77777777" w:rsidR="003C2931" w:rsidRPr="000425DF" w:rsidRDefault="003C2931" w:rsidP="003C2931">
            <w:pPr>
              <w:rPr>
                <w:rFonts w:asciiTheme="majorBidi" w:hAnsiTheme="majorBidi" w:cstheme="majorBidi"/>
                <w:sz w:val="24"/>
                <w:szCs w:val="24"/>
                <w:lang w:val="en-GB"/>
              </w:rPr>
            </w:pPr>
            <w:r w:rsidRPr="000425DF">
              <w:rPr>
                <w:rFonts w:asciiTheme="majorBidi" w:hAnsiTheme="majorBidi" w:cstheme="majorBidi"/>
                <w:sz w:val="24"/>
                <w:szCs w:val="24"/>
                <w:lang w:val="en-GB"/>
              </w:rPr>
              <w:t>High</w:t>
            </w:r>
          </w:p>
        </w:tc>
      </w:tr>
      <w:tr w:rsidR="003C2931" w:rsidRPr="000425DF" w14:paraId="29AF3B1F" w14:textId="77777777" w:rsidTr="00FF407A">
        <w:trPr>
          <w:trHeight w:val="57"/>
        </w:trPr>
        <w:tc>
          <w:tcPr>
            <w:tcW w:w="2830" w:type="dxa"/>
            <w:tcBorders>
              <w:bottom w:val="single" w:sz="4" w:space="0" w:color="auto"/>
            </w:tcBorders>
            <w:vAlign w:val="center"/>
          </w:tcPr>
          <w:p w14:paraId="48C67078" w14:textId="77777777" w:rsidR="003C2931" w:rsidRPr="000425DF" w:rsidRDefault="003C2931" w:rsidP="003C2931">
            <w:pPr>
              <w:rPr>
                <w:rFonts w:asciiTheme="majorBidi" w:hAnsiTheme="majorBidi" w:cstheme="majorBidi"/>
                <w:i/>
                <w:iCs/>
                <w:sz w:val="24"/>
                <w:szCs w:val="24"/>
                <w:lang w:val="en-GB"/>
              </w:rPr>
            </w:pPr>
            <w:r w:rsidRPr="000425DF">
              <w:rPr>
                <w:rFonts w:asciiTheme="majorBidi" w:hAnsiTheme="majorBidi" w:cstheme="majorBidi"/>
                <w:i/>
                <w:iCs/>
                <w:sz w:val="24"/>
                <w:szCs w:val="24"/>
                <w:lang w:val="en-GB"/>
              </w:rPr>
              <w:t>Provider choice</w:t>
            </w:r>
          </w:p>
        </w:tc>
        <w:tc>
          <w:tcPr>
            <w:tcW w:w="7371" w:type="dxa"/>
            <w:tcBorders>
              <w:bottom w:val="single" w:sz="4" w:space="0" w:color="auto"/>
            </w:tcBorders>
            <w:vAlign w:val="center"/>
          </w:tcPr>
          <w:p w14:paraId="0CB693E5" w14:textId="0895452C" w:rsidR="000B5212" w:rsidRPr="000425DF" w:rsidRDefault="000B5212" w:rsidP="003C2931">
            <w:pPr>
              <w:rPr>
                <w:rFonts w:asciiTheme="majorBidi" w:hAnsiTheme="majorBidi" w:cstheme="majorBidi"/>
                <w:sz w:val="24"/>
                <w:szCs w:val="24"/>
                <w:lang w:val="en-GB"/>
              </w:rPr>
            </w:pPr>
            <w:r w:rsidRPr="000425DF">
              <w:rPr>
                <w:rFonts w:asciiTheme="majorBidi" w:hAnsiTheme="majorBidi" w:cstheme="majorBidi"/>
                <w:sz w:val="24"/>
                <w:szCs w:val="24"/>
                <w:lang w:val="en-GB"/>
              </w:rPr>
              <w:t>Private actors</w:t>
            </w:r>
          </w:p>
          <w:p w14:paraId="7FD595EA" w14:textId="53F5832F" w:rsidR="003C2931" w:rsidRPr="000425DF" w:rsidRDefault="003C2931" w:rsidP="003C2931">
            <w:pPr>
              <w:rPr>
                <w:rFonts w:asciiTheme="majorBidi" w:hAnsiTheme="majorBidi" w:cstheme="majorBidi"/>
                <w:sz w:val="24"/>
                <w:szCs w:val="24"/>
                <w:lang w:val="en-GB"/>
              </w:rPr>
            </w:pPr>
            <w:r w:rsidRPr="000425DF">
              <w:rPr>
                <w:rFonts w:asciiTheme="majorBidi" w:hAnsiTheme="majorBidi" w:cstheme="majorBidi"/>
                <w:sz w:val="24"/>
                <w:szCs w:val="24"/>
                <w:lang w:val="en-GB"/>
              </w:rPr>
              <w:t>There is price-based competition within the public LTC system, implying that care recipients can choose providers themselves.</w:t>
            </w:r>
          </w:p>
        </w:tc>
        <w:tc>
          <w:tcPr>
            <w:tcW w:w="2835" w:type="dxa"/>
            <w:vAlign w:val="center"/>
          </w:tcPr>
          <w:p w14:paraId="3FE5288B" w14:textId="1B5AF496" w:rsidR="003C2931" w:rsidRPr="000425DF" w:rsidRDefault="00F63F5D" w:rsidP="00B274C8">
            <w:pPr>
              <w:rPr>
                <w:rFonts w:asciiTheme="majorBidi" w:hAnsiTheme="majorBidi" w:cstheme="majorBidi"/>
                <w:sz w:val="24"/>
                <w:szCs w:val="24"/>
                <w:lang w:val="en-GB"/>
              </w:rPr>
            </w:pPr>
            <w:r>
              <w:rPr>
                <w:rFonts w:asciiTheme="majorBidi" w:hAnsiTheme="majorBidi" w:cstheme="majorBidi"/>
                <w:sz w:val="24"/>
                <w:szCs w:val="24"/>
                <w:lang w:val="en-GB"/>
              </w:rPr>
              <w:t>Götze &amp; Rothgang, 2014; Rothgang, 2009</w:t>
            </w:r>
          </w:p>
        </w:tc>
        <w:tc>
          <w:tcPr>
            <w:tcW w:w="1418" w:type="dxa"/>
            <w:vAlign w:val="center"/>
          </w:tcPr>
          <w:p w14:paraId="5551441F" w14:textId="6E1FAD5A" w:rsidR="003C2931" w:rsidRPr="000425DF" w:rsidRDefault="00B274C8" w:rsidP="003C2931">
            <w:pPr>
              <w:rPr>
                <w:rFonts w:asciiTheme="majorBidi" w:hAnsiTheme="majorBidi" w:cstheme="majorBidi"/>
                <w:sz w:val="24"/>
                <w:szCs w:val="24"/>
                <w:lang w:val="en-GB"/>
              </w:rPr>
            </w:pPr>
            <w:r w:rsidRPr="000425DF">
              <w:rPr>
                <w:rFonts w:asciiTheme="majorBidi" w:hAnsiTheme="majorBidi" w:cstheme="majorBidi"/>
                <w:sz w:val="24"/>
                <w:szCs w:val="24"/>
                <w:lang w:val="en-GB"/>
              </w:rPr>
              <w:t>Medium</w:t>
            </w:r>
          </w:p>
        </w:tc>
      </w:tr>
      <w:tr w:rsidR="003C2931" w:rsidRPr="000425DF" w14:paraId="12ECE1E7" w14:textId="77777777" w:rsidTr="00FF407A">
        <w:trPr>
          <w:trHeight w:val="57"/>
        </w:trPr>
        <w:tc>
          <w:tcPr>
            <w:tcW w:w="2830" w:type="dxa"/>
            <w:vAlign w:val="center"/>
          </w:tcPr>
          <w:p w14:paraId="4DA27650" w14:textId="77777777" w:rsidR="003C2931" w:rsidRPr="000425DF" w:rsidRDefault="003C2931" w:rsidP="003C2931">
            <w:pPr>
              <w:rPr>
                <w:rFonts w:asciiTheme="majorBidi" w:hAnsiTheme="majorBidi" w:cstheme="majorBidi"/>
                <w:i/>
                <w:iCs/>
                <w:sz w:val="24"/>
                <w:szCs w:val="24"/>
                <w:lang w:val="en-GB"/>
              </w:rPr>
            </w:pPr>
            <w:r w:rsidRPr="000425DF">
              <w:rPr>
                <w:rFonts w:asciiTheme="majorBidi" w:hAnsiTheme="majorBidi" w:cstheme="majorBidi"/>
                <w:i/>
                <w:iCs/>
                <w:sz w:val="24"/>
                <w:szCs w:val="24"/>
                <w:lang w:val="en-GB"/>
              </w:rPr>
              <w:lastRenderedPageBreak/>
              <w:t>Benefit choice</w:t>
            </w:r>
          </w:p>
        </w:tc>
        <w:tc>
          <w:tcPr>
            <w:tcW w:w="7371" w:type="dxa"/>
            <w:vAlign w:val="center"/>
          </w:tcPr>
          <w:p w14:paraId="56679FA7" w14:textId="3C09401F" w:rsidR="00D66B6B" w:rsidRPr="000425DF" w:rsidRDefault="00D66B6B" w:rsidP="003C2931">
            <w:pPr>
              <w:rPr>
                <w:rFonts w:asciiTheme="majorBidi" w:hAnsiTheme="majorBidi" w:cstheme="majorBidi"/>
                <w:sz w:val="24"/>
                <w:szCs w:val="24"/>
                <w:lang w:val="en-GB"/>
              </w:rPr>
            </w:pPr>
            <w:r w:rsidRPr="000425DF">
              <w:rPr>
                <w:rFonts w:asciiTheme="majorBidi" w:hAnsiTheme="majorBidi" w:cstheme="majorBidi"/>
                <w:sz w:val="24"/>
                <w:szCs w:val="24"/>
                <w:lang w:val="en-GB"/>
              </w:rPr>
              <w:t>Private actors</w:t>
            </w:r>
          </w:p>
          <w:p w14:paraId="6CA1AB4F" w14:textId="47CE74E7" w:rsidR="003C2931" w:rsidRPr="000425DF" w:rsidRDefault="003C2931" w:rsidP="003C2931">
            <w:pPr>
              <w:rPr>
                <w:rFonts w:asciiTheme="majorBidi" w:hAnsiTheme="majorBidi" w:cstheme="majorBidi"/>
                <w:sz w:val="24"/>
                <w:szCs w:val="24"/>
                <w:lang w:val="en-GB"/>
              </w:rPr>
            </w:pPr>
            <w:r w:rsidRPr="000425DF">
              <w:rPr>
                <w:rFonts w:asciiTheme="majorBidi" w:hAnsiTheme="majorBidi" w:cstheme="majorBidi"/>
                <w:sz w:val="24"/>
                <w:szCs w:val="24"/>
                <w:lang w:val="en-GB"/>
              </w:rPr>
              <w:t>Care recipients can choose which kind of benefits, i.e. in-kind home care, monetary benefits or a combination, they prefer. The LTCI law stipulates a priority for home-based care over residential care, but access to residential care is not specifically controlled by public actors and can normally also be chosen by care recipients.</w:t>
            </w:r>
          </w:p>
        </w:tc>
        <w:tc>
          <w:tcPr>
            <w:tcW w:w="2835" w:type="dxa"/>
            <w:vAlign w:val="center"/>
          </w:tcPr>
          <w:p w14:paraId="1135E426" w14:textId="05BA8E9F" w:rsidR="003C2931" w:rsidRPr="000425DF" w:rsidRDefault="00B274C8" w:rsidP="003C2931">
            <w:pPr>
              <w:rPr>
                <w:rFonts w:asciiTheme="majorBidi" w:hAnsiTheme="majorBidi" w:cstheme="majorBidi"/>
                <w:sz w:val="24"/>
                <w:szCs w:val="24"/>
                <w:lang w:val="en-GB"/>
              </w:rPr>
            </w:pPr>
            <w:r w:rsidRPr="000425DF">
              <w:rPr>
                <w:rFonts w:asciiTheme="majorBidi" w:hAnsiTheme="majorBidi" w:cstheme="majorBidi"/>
                <w:sz w:val="24"/>
                <w:szCs w:val="24"/>
                <w:lang w:val="en-GB"/>
              </w:rPr>
              <w:t xml:space="preserve">PflegeVG; </w:t>
            </w:r>
            <w:r w:rsidR="00F63F5D">
              <w:rPr>
                <w:rFonts w:asciiTheme="majorBidi" w:hAnsiTheme="majorBidi" w:cstheme="majorBidi"/>
                <w:sz w:val="24"/>
                <w:szCs w:val="24"/>
                <w:lang w:val="en-GB"/>
              </w:rPr>
              <w:t>Mager, 1999; Rothgang, 2010</w:t>
            </w:r>
          </w:p>
        </w:tc>
        <w:tc>
          <w:tcPr>
            <w:tcW w:w="1418" w:type="dxa"/>
            <w:vAlign w:val="center"/>
          </w:tcPr>
          <w:p w14:paraId="5B7E2F63" w14:textId="77777777" w:rsidR="003C2931" w:rsidRPr="000425DF" w:rsidRDefault="003C2931" w:rsidP="003C2931">
            <w:pPr>
              <w:rPr>
                <w:rFonts w:asciiTheme="majorBidi" w:hAnsiTheme="majorBidi" w:cstheme="majorBidi"/>
                <w:sz w:val="24"/>
                <w:szCs w:val="24"/>
                <w:lang w:val="en-GB"/>
              </w:rPr>
            </w:pPr>
            <w:r w:rsidRPr="000425DF">
              <w:rPr>
                <w:rFonts w:asciiTheme="majorBidi" w:hAnsiTheme="majorBidi" w:cstheme="majorBidi"/>
                <w:sz w:val="24"/>
                <w:szCs w:val="24"/>
                <w:lang w:val="en-GB"/>
              </w:rPr>
              <w:t>High</w:t>
            </w:r>
          </w:p>
        </w:tc>
      </w:tr>
      <w:tr w:rsidR="00AD5E33" w:rsidRPr="000425DF" w14:paraId="5FF9B3AA" w14:textId="77777777" w:rsidTr="00FF407A">
        <w:trPr>
          <w:trHeight w:val="57"/>
        </w:trPr>
        <w:tc>
          <w:tcPr>
            <w:tcW w:w="14454" w:type="dxa"/>
            <w:gridSpan w:val="4"/>
            <w:vAlign w:val="center"/>
          </w:tcPr>
          <w:p w14:paraId="400A2351" w14:textId="66C5910B" w:rsidR="00AD5E33" w:rsidRPr="000425DF" w:rsidRDefault="00AD5E33" w:rsidP="00AD5E33">
            <w:pPr>
              <w:rPr>
                <w:rFonts w:asciiTheme="majorBidi" w:hAnsiTheme="majorBidi" w:cstheme="majorBidi"/>
                <w:sz w:val="24"/>
                <w:szCs w:val="24"/>
                <w:lang w:val="en-GB"/>
              </w:rPr>
            </w:pPr>
            <w:r w:rsidRPr="000425DF">
              <w:rPr>
                <w:rFonts w:asciiTheme="majorBidi" w:hAnsiTheme="majorBidi" w:cstheme="majorBidi"/>
                <w:b/>
                <w:bCs/>
                <w:sz w:val="24"/>
                <w:szCs w:val="24"/>
                <w:lang w:val="en-GB"/>
              </w:rPr>
              <w:t>Israel</w:t>
            </w:r>
          </w:p>
        </w:tc>
      </w:tr>
      <w:tr w:rsidR="00AD5E33" w:rsidRPr="000425DF" w14:paraId="1EEFB0C9" w14:textId="77777777" w:rsidTr="00FF407A">
        <w:trPr>
          <w:trHeight w:val="57"/>
        </w:trPr>
        <w:tc>
          <w:tcPr>
            <w:tcW w:w="2830" w:type="dxa"/>
            <w:vAlign w:val="center"/>
          </w:tcPr>
          <w:p w14:paraId="096E676A" w14:textId="445A4782" w:rsidR="00AD5E33" w:rsidRPr="000425DF" w:rsidRDefault="00AD5E33" w:rsidP="00AD5E33">
            <w:pPr>
              <w:rPr>
                <w:rFonts w:asciiTheme="majorBidi" w:hAnsiTheme="majorBidi" w:cstheme="majorBidi"/>
                <w:i/>
                <w:iCs/>
                <w:sz w:val="24"/>
                <w:szCs w:val="24"/>
                <w:lang w:val="en-GB"/>
              </w:rPr>
            </w:pPr>
            <w:r w:rsidRPr="000425DF">
              <w:rPr>
                <w:rFonts w:asciiTheme="majorBidi" w:hAnsiTheme="majorBidi" w:cstheme="majorBidi"/>
                <w:i/>
                <w:iCs/>
                <w:sz w:val="24"/>
                <w:szCs w:val="24"/>
                <w:lang w:val="en-GB"/>
              </w:rPr>
              <w:t>Eligibility assessment</w:t>
            </w:r>
          </w:p>
        </w:tc>
        <w:tc>
          <w:tcPr>
            <w:tcW w:w="7371" w:type="dxa"/>
            <w:vAlign w:val="center"/>
          </w:tcPr>
          <w:p w14:paraId="5676315F" w14:textId="77777777" w:rsidR="00AD5E33" w:rsidRPr="000425DF" w:rsidRDefault="00AD5E33" w:rsidP="00AD5E33">
            <w:pPr>
              <w:rPr>
                <w:rFonts w:asciiTheme="majorBidi" w:hAnsiTheme="majorBidi" w:cstheme="majorBidi"/>
                <w:sz w:val="24"/>
                <w:szCs w:val="24"/>
                <w:lang w:val="en-GB"/>
              </w:rPr>
            </w:pPr>
            <w:r w:rsidRPr="000425DF">
              <w:rPr>
                <w:rFonts w:asciiTheme="majorBidi" w:hAnsiTheme="majorBidi" w:cstheme="majorBidi"/>
                <w:sz w:val="24"/>
                <w:szCs w:val="24"/>
                <w:lang w:val="en-GB"/>
              </w:rPr>
              <w:t>State &amp; societal actors</w:t>
            </w:r>
          </w:p>
          <w:p w14:paraId="6B81FB23" w14:textId="0F50FFFA" w:rsidR="00AD5E33" w:rsidRPr="000425DF" w:rsidRDefault="00AD5E33" w:rsidP="00AD5E33">
            <w:pPr>
              <w:rPr>
                <w:rFonts w:asciiTheme="majorBidi" w:hAnsiTheme="majorBidi" w:cstheme="majorBidi"/>
                <w:sz w:val="24"/>
                <w:szCs w:val="24"/>
                <w:lang w:val="en-GB"/>
              </w:rPr>
            </w:pPr>
            <w:r w:rsidRPr="000425DF">
              <w:rPr>
                <w:rFonts w:asciiTheme="majorBidi" w:hAnsiTheme="majorBidi" w:cstheme="majorBidi"/>
                <w:sz w:val="24"/>
                <w:szCs w:val="24"/>
                <w:lang w:val="en-GB"/>
              </w:rPr>
              <w:t>Eligibility for LTCI benefits is assessed by both the National Insurance Institute (NII, societal actor) (formal decision, basic eligibility criteria such as residence, income) and a public health nurse from the Ministry of Health (concrete dependency evaluation).</w:t>
            </w:r>
          </w:p>
        </w:tc>
        <w:tc>
          <w:tcPr>
            <w:tcW w:w="2835" w:type="dxa"/>
            <w:vAlign w:val="center"/>
          </w:tcPr>
          <w:p w14:paraId="748C5F4E" w14:textId="782E92A6" w:rsidR="00AD5E33" w:rsidRPr="00507DB2" w:rsidRDefault="00F63F5D" w:rsidP="00AD5E33">
            <w:pPr>
              <w:rPr>
                <w:rFonts w:asciiTheme="majorBidi" w:hAnsiTheme="majorBidi" w:cstheme="majorBidi"/>
                <w:sz w:val="24"/>
                <w:szCs w:val="24"/>
              </w:rPr>
            </w:pPr>
            <w:r w:rsidRPr="00507DB2">
              <w:rPr>
                <w:rFonts w:asciiTheme="majorBidi" w:hAnsiTheme="majorBidi" w:cstheme="majorBidi"/>
                <w:sz w:val="24"/>
                <w:szCs w:val="24"/>
                <w:lang w:eastAsia="zh-TW"/>
              </w:rPr>
              <w:t>Ajzenstadt &amp; Rosenhek, 2000; Borowski &amp; Schmid, 2001; Morginstin et al., 1993</w:t>
            </w:r>
          </w:p>
        </w:tc>
        <w:tc>
          <w:tcPr>
            <w:tcW w:w="1418" w:type="dxa"/>
            <w:vAlign w:val="center"/>
          </w:tcPr>
          <w:p w14:paraId="48311B43" w14:textId="03F3E53B" w:rsidR="00AD5E33" w:rsidRPr="000425DF" w:rsidRDefault="00AD5E33" w:rsidP="00AD5E33">
            <w:pPr>
              <w:rPr>
                <w:rFonts w:asciiTheme="majorBidi" w:hAnsiTheme="majorBidi" w:cstheme="majorBidi"/>
                <w:sz w:val="24"/>
                <w:szCs w:val="24"/>
                <w:lang w:val="en-GB"/>
              </w:rPr>
            </w:pPr>
            <w:r w:rsidRPr="000425DF">
              <w:rPr>
                <w:rFonts w:asciiTheme="majorBidi" w:hAnsiTheme="majorBidi" w:cstheme="majorBidi"/>
                <w:sz w:val="24"/>
                <w:szCs w:val="24"/>
                <w:lang w:val="en-US" w:eastAsia="zh-TW"/>
              </w:rPr>
              <w:t>High</w:t>
            </w:r>
          </w:p>
        </w:tc>
      </w:tr>
      <w:tr w:rsidR="00AD5E33" w:rsidRPr="000425DF" w14:paraId="619CAB79" w14:textId="77777777" w:rsidTr="00FF407A">
        <w:trPr>
          <w:trHeight w:val="57"/>
        </w:trPr>
        <w:tc>
          <w:tcPr>
            <w:tcW w:w="2830" w:type="dxa"/>
            <w:vAlign w:val="center"/>
          </w:tcPr>
          <w:p w14:paraId="6C5DC185" w14:textId="3EADC919" w:rsidR="00AD5E33" w:rsidRPr="000425DF" w:rsidRDefault="00AD5E33" w:rsidP="00AD5E33">
            <w:pPr>
              <w:rPr>
                <w:rFonts w:asciiTheme="majorBidi" w:hAnsiTheme="majorBidi" w:cstheme="majorBidi"/>
                <w:i/>
                <w:iCs/>
                <w:sz w:val="24"/>
                <w:szCs w:val="24"/>
                <w:lang w:val="en-GB"/>
              </w:rPr>
            </w:pPr>
            <w:r w:rsidRPr="000425DF">
              <w:rPr>
                <w:rFonts w:asciiTheme="majorBidi" w:hAnsiTheme="majorBidi" w:cstheme="majorBidi"/>
                <w:i/>
                <w:iCs/>
                <w:sz w:val="24"/>
                <w:szCs w:val="24"/>
                <w:lang w:val="en-GB" w:eastAsia="zh-TW"/>
              </w:rPr>
              <w:t>Payment/contributions</w:t>
            </w:r>
          </w:p>
        </w:tc>
        <w:tc>
          <w:tcPr>
            <w:tcW w:w="7371" w:type="dxa"/>
            <w:vAlign w:val="center"/>
          </w:tcPr>
          <w:p w14:paraId="2C08948E" w14:textId="77777777" w:rsidR="00AD5E33" w:rsidRPr="000425DF" w:rsidRDefault="00AD5E33" w:rsidP="00AD5E33">
            <w:pPr>
              <w:rPr>
                <w:rFonts w:asciiTheme="majorBidi" w:hAnsiTheme="majorBidi" w:cstheme="majorBidi"/>
                <w:sz w:val="24"/>
                <w:szCs w:val="24"/>
                <w:lang w:val="en-GB" w:eastAsia="zh-TW"/>
              </w:rPr>
            </w:pPr>
            <w:r w:rsidRPr="000425DF">
              <w:rPr>
                <w:rFonts w:asciiTheme="majorBidi" w:hAnsiTheme="majorBidi" w:cstheme="majorBidi"/>
                <w:sz w:val="24"/>
                <w:szCs w:val="24"/>
                <w:lang w:val="en-GB" w:eastAsia="zh-TW"/>
              </w:rPr>
              <w:t>State</w:t>
            </w:r>
          </w:p>
          <w:p w14:paraId="63D5F57D" w14:textId="6037E892" w:rsidR="00AD5E33" w:rsidRPr="000425DF" w:rsidRDefault="00AD5E33" w:rsidP="00AD5E33">
            <w:pPr>
              <w:rPr>
                <w:rFonts w:asciiTheme="majorBidi" w:hAnsiTheme="majorBidi" w:cstheme="majorBidi"/>
                <w:sz w:val="24"/>
                <w:szCs w:val="24"/>
                <w:lang w:val="en-GB"/>
              </w:rPr>
            </w:pPr>
            <w:r w:rsidRPr="000425DF">
              <w:rPr>
                <w:rFonts w:asciiTheme="majorBidi" w:hAnsiTheme="majorBidi" w:cstheme="majorBidi"/>
                <w:sz w:val="24"/>
                <w:szCs w:val="24"/>
                <w:lang w:val="en-GB" w:eastAsia="zh-TW"/>
              </w:rPr>
              <w:t>The contribution rates were specified by the state in the LTCI law.</w:t>
            </w:r>
          </w:p>
        </w:tc>
        <w:tc>
          <w:tcPr>
            <w:tcW w:w="2835" w:type="dxa"/>
            <w:vAlign w:val="center"/>
          </w:tcPr>
          <w:p w14:paraId="2237A516" w14:textId="36782499" w:rsidR="00AD5E33" w:rsidRPr="000425DF" w:rsidRDefault="00F63F5D" w:rsidP="00AD5E33">
            <w:pPr>
              <w:rPr>
                <w:rFonts w:asciiTheme="majorBidi" w:hAnsiTheme="majorBidi" w:cstheme="majorBidi"/>
                <w:sz w:val="24"/>
                <w:szCs w:val="24"/>
                <w:lang w:val="en-GB"/>
              </w:rPr>
            </w:pPr>
            <w:r>
              <w:rPr>
                <w:rFonts w:asciiTheme="majorBidi" w:hAnsiTheme="majorBidi" w:cstheme="majorBidi"/>
                <w:sz w:val="24"/>
                <w:szCs w:val="24"/>
                <w:lang w:val="en-GB" w:eastAsia="zh-TW"/>
              </w:rPr>
              <w:t>OECD, 2011a; Schmid, 2005</w:t>
            </w:r>
          </w:p>
        </w:tc>
        <w:tc>
          <w:tcPr>
            <w:tcW w:w="1418" w:type="dxa"/>
            <w:vAlign w:val="center"/>
          </w:tcPr>
          <w:p w14:paraId="4BC50D51" w14:textId="7A650130" w:rsidR="00AD5E33" w:rsidRPr="000425DF" w:rsidRDefault="00AD5E33" w:rsidP="00AD5E33">
            <w:pPr>
              <w:rPr>
                <w:rFonts w:asciiTheme="majorBidi" w:hAnsiTheme="majorBidi" w:cstheme="majorBidi"/>
                <w:sz w:val="24"/>
                <w:szCs w:val="24"/>
                <w:lang w:val="en-GB"/>
              </w:rPr>
            </w:pPr>
            <w:r w:rsidRPr="000425DF">
              <w:rPr>
                <w:rFonts w:asciiTheme="majorBidi" w:hAnsiTheme="majorBidi" w:cstheme="majorBidi"/>
                <w:sz w:val="24"/>
                <w:szCs w:val="24"/>
                <w:lang w:val="en-GB" w:eastAsia="zh-TW"/>
              </w:rPr>
              <w:t>High</w:t>
            </w:r>
          </w:p>
        </w:tc>
      </w:tr>
      <w:tr w:rsidR="00AD5E33" w:rsidRPr="000425DF" w14:paraId="3DFCFF6E" w14:textId="77777777" w:rsidTr="00FF407A">
        <w:trPr>
          <w:trHeight w:val="57"/>
        </w:trPr>
        <w:tc>
          <w:tcPr>
            <w:tcW w:w="2830" w:type="dxa"/>
            <w:vAlign w:val="center"/>
          </w:tcPr>
          <w:p w14:paraId="526B32FF" w14:textId="0FEB995C" w:rsidR="00AD5E33" w:rsidRPr="000425DF" w:rsidRDefault="00AD5E33" w:rsidP="00AD5E33">
            <w:pPr>
              <w:rPr>
                <w:rFonts w:asciiTheme="majorBidi" w:hAnsiTheme="majorBidi" w:cstheme="majorBidi"/>
                <w:i/>
                <w:iCs/>
                <w:sz w:val="24"/>
                <w:szCs w:val="24"/>
                <w:lang w:val="en-GB"/>
              </w:rPr>
            </w:pPr>
            <w:r w:rsidRPr="000425DF">
              <w:rPr>
                <w:rFonts w:asciiTheme="majorBidi" w:hAnsiTheme="majorBidi" w:cstheme="majorBidi"/>
                <w:i/>
                <w:iCs/>
                <w:sz w:val="24"/>
                <w:szCs w:val="24"/>
                <w:lang w:val="en-GB" w:eastAsia="zh-TW"/>
              </w:rPr>
              <w:t>Provider access to system</w:t>
            </w:r>
          </w:p>
        </w:tc>
        <w:tc>
          <w:tcPr>
            <w:tcW w:w="7371" w:type="dxa"/>
            <w:vAlign w:val="center"/>
          </w:tcPr>
          <w:p w14:paraId="5C6708E8" w14:textId="77777777" w:rsidR="00AD5E33" w:rsidRPr="000425DF" w:rsidRDefault="00AD5E33" w:rsidP="00AD5E33">
            <w:pPr>
              <w:rPr>
                <w:rFonts w:asciiTheme="majorBidi" w:hAnsiTheme="majorBidi" w:cstheme="majorBidi"/>
                <w:sz w:val="24"/>
                <w:szCs w:val="24"/>
                <w:lang w:val="en-GB" w:eastAsia="zh-TW"/>
              </w:rPr>
            </w:pPr>
            <w:r w:rsidRPr="000425DF">
              <w:rPr>
                <w:rFonts w:asciiTheme="majorBidi" w:hAnsiTheme="majorBidi" w:cstheme="majorBidi"/>
                <w:sz w:val="24"/>
                <w:szCs w:val="24"/>
                <w:lang w:val="en-GB" w:eastAsia="zh-TW"/>
              </w:rPr>
              <w:t>Societal actors</w:t>
            </w:r>
          </w:p>
          <w:p w14:paraId="75904C02" w14:textId="77CD85BE" w:rsidR="00AD5E33" w:rsidRPr="000425DF" w:rsidRDefault="00AD5E33" w:rsidP="00AD5E33">
            <w:pPr>
              <w:rPr>
                <w:rFonts w:asciiTheme="majorBidi" w:hAnsiTheme="majorBidi" w:cstheme="majorBidi"/>
                <w:sz w:val="24"/>
                <w:szCs w:val="24"/>
                <w:lang w:val="en-GB"/>
              </w:rPr>
            </w:pPr>
            <w:r w:rsidRPr="000425DF">
              <w:rPr>
                <w:rFonts w:asciiTheme="majorBidi" w:hAnsiTheme="majorBidi" w:cstheme="majorBidi"/>
                <w:sz w:val="24"/>
                <w:szCs w:val="24"/>
                <w:lang w:val="en-GB" w:eastAsia="zh-TW"/>
              </w:rPr>
              <w:t>Providers of LTCI scheme benefits need to register/establish a contract with the NII. Authorised suppliers need to fulfil certain criteria regarding the training and remuneration of their staff. There seems to be no strict control of number of providers or other strict criteria.</w:t>
            </w:r>
          </w:p>
        </w:tc>
        <w:tc>
          <w:tcPr>
            <w:tcW w:w="2835" w:type="dxa"/>
            <w:vAlign w:val="center"/>
          </w:tcPr>
          <w:p w14:paraId="3BC0CDBB" w14:textId="12D03CCE" w:rsidR="00AD5E33" w:rsidRPr="000425DF" w:rsidRDefault="00F63F5D" w:rsidP="00AD5E33">
            <w:pPr>
              <w:rPr>
                <w:rFonts w:asciiTheme="majorBidi" w:hAnsiTheme="majorBidi" w:cstheme="majorBidi"/>
                <w:sz w:val="24"/>
                <w:szCs w:val="24"/>
                <w:lang w:val="en-GB"/>
              </w:rPr>
            </w:pPr>
            <w:r>
              <w:rPr>
                <w:rFonts w:asciiTheme="majorBidi" w:hAnsiTheme="majorBidi" w:cstheme="majorBidi"/>
                <w:sz w:val="24"/>
                <w:szCs w:val="24"/>
                <w:lang w:val="en-GB" w:eastAsia="zh-TW"/>
              </w:rPr>
              <w:t>Ajzenstadt &amp; Rosenhek, 2000; Brodsky &amp; Naon, 1993; Iecovich, 2012; Morginstin et al., 1993</w:t>
            </w:r>
          </w:p>
        </w:tc>
        <w:tc>
          <w:tcPr>
            <w:tcW w:w="1418" w:type="dxa"/>
            <w:vAlign w:val="center"/>
          </w:tcPr>
          <w:p w14:paraId="6EA15313" w14:textId="71C7A13D" w:rsidR="00AD5E33" w:rsidRPr="000425DF" w:rsidRDefault="00AD5E33" w:rsidP="00AD5E33">
            <w:pPr>
              <w:rPr>
                <w:rFonts w:asciiTheme="majorBidi" w:hAnsiTheme="majorBidi" w:cstheme="majorBidi"/>
                <w:sz w:val="24"/>
                <w:szCs w:val="24"/>
                <w:lang w:val="en-GB"/>
              </w:rPr>
            </w:pPr>
            <w:r w:rsidRPr="000425DF">
              <w:rPr>
                <w:rFonts w:asciiTheme="majorBidi" w:hAnsiTheme="majorBidi" w:cstheme="majorBidi"/>
                <w:sz w:val="24"/>
                <w:szCs w:val="24"/>
                <w:lang w:val="en-GB" w:eastAsia="zh-TW"/>
              </w:rPr>
              <w:t>Medium</w:t>
            </w:r>
          </w:p>
        </w:tc>
      </w:tr>
      <w:tr w:rsidR="00AD5E33" w:rsidRPr="000425DF" w14:paraId="7BAC3694" w14:textId="77777777" w:rsidTr="00FF407A">
        <w:trPr>
          <w:trHeight w:val="57"/>
        </w:trPr>
        <w:tc>
          <w:tcPr>
            <w:tcW w:w="2830" w:type="dxa"/>
            <w:vAlign w:val="center"/>
          </w:tcPr>
          <w:p w14:paraId="2DDFFECC" w14:textId="12818917" w:rsidR="00AD5E33" w:rsidRPr="000425DF" w:rsidRDefault="00AD5E33" w:rsidP="00AD5E33">
            <w:pPr>
              <w:rPr>
                <w:rFonts w:asciiTheme="majorBidi" w:hAnsiTheme="majorBidi" w:cstheme="majorBidi"/>
                <w:i/>
                <w:iCs/>
                <w:sz w:val="24"/>
                <w:szCs w:val="24"/>
                <w:lang w:val="en-GB"/>
              </w:rPr>
            </w:pPr>
            <w:r w:rsidRPr="000425DF">
              <w:rPr>
                <w:rFonts w:asciiTheme="majorBidi" w:hAnsiTheme="majorBidi" w:cstheme="majorBidi"/>
                <w:i/>
                <w:iCs/>
                <w:sz w:val="24"/>
                <w:szCs w:val="24"/>
                <w:lang w:val="en-GB" w:eastAsia="zh-TW"/>
              </w:rPr>
              <w:t>Remuneration/fees</w:t>
            </w:r>
          </w:p>
        </w:tc>
        <w:tc>
          <w:tcPr>
            <w:tcW w:w="7371" w:type="dxa"/>
            <w:vAlign w:val="center"/>
          </w:tcPr>
          <w:p w14:paraId="0E74E870" w14:textId="77777777" w:rsidR="00AD5E33" w:rsidRPr="000425DF" w:rsidRDefault="00AD5E33" w:rsidP="00AD5E33">
            <w:pPr>
              <w:rPr>
                <w:rFonts w:asciiTheme="majorBidi" w:hAnsiTheme="majorBidi" w:cstheme="majorBidi"/>
                <w:sz w:val="24"/>
                <w:szCs w:val="24"/>
                <w:lang w:val="en-GB" w:eastAsia="zh-TW"/>
              </w:rPr>
            </w:pPr>
            <w:r w:rsidRPr="000425DF">
              <w:rPr>
                <w:rFonts w:asciiTheme="majorBidi" w:hAnsiTheme="majorBidi" w:cstheme="majorBidi"/>
                <w:sz w:val="24"/>
                <w:szCs w:val="24"/>
                <w:lang w:val="en-GB" w:eastAsia="zh-TW"/>
              </w:rPr>
              <w:t>State</w:t>
            </w:r>
          </w:p>
          <w:p w14:paraId="053E97CD" w14:textId="3605C331" w:rsidR="00AD5E33" w:rsidRPr="000425DF" w:rsidRDefault="00AD5E33" w:rsidP="00AD5E33">
            <w:pPr>
              <w:rPr>
                <w:rFonts w:asciiTheme="majorBidi" w:hAnsiTheme="majorBidi" w:cstheme="majorBidi"/>
                <w:sz w:val="24"/>
                <w:szCs w:val="24"/>
                <w:lang w:val="en-GB"/>
              </w:rPr>
            </w:pPr>
            <w:r w:rsidRPr="000425DF">
              <w:rPr>
                <w:rFonts w:asciiTheme="majorBidi" w:hAnsiTheme="majorBidi" w:cstheme="majorBidi"/>
                <w:sz w:val="24"/>
                <w:szCs w:val="24"/>
                <w:lang w:val="en-GB" w:eastAsia="zh-TW"/>
              </w:rPr>
              <w:t>Prices for an hour of care are set by a joint committee of different ministries (Ministry of Welfare and Social Services, Ministry of Finance).</w:t>
            </w:r>
          </w:p>
        </w:tc>
        <w:tc>
          <w:tcPr>
            <w:tcW w:w="2835" w:type="dxa"/>
            <w:vAlign w:val="center"/>
          </w:tcPr>
          <w:p w14:paraId="4D525615" w14:textId="13A2BF4A" w:rsidR="00AD5E33" w:rsidRPr="000425DF" w:rsidRDefault="00F63F5D" w:rsidP="00AD5E33">
            <w:pPr>
              <w:rPr>
                <w:rFonts w:asciiTheme="majorBidi" w:hAnsiTheme="majorBidi" w:cstheme="majorBidi"/>
                <w:sz w:val="24"/>
                <w:szCs w:val="24"/>
                <w:lang w:val="en-GB"/>
              </w:rPr>
            </w:pPr>
            <w:r>
              <w:rPr>
                <w:rFonts w:asciiTheme="majorBidi" w:hAnsiTheme="majorBidi" w:cstheme="majorBidi"/>
                <w:sz w:val="24"/>
                <w:szCs w:val="24"/>
                <w:lang w:val="en-GB" w:eastAsia="zh-TW"/>
              </w:rPr>
              <w:t>Asiskovitch, 2013</w:t>
            </w:r>
          </w:p>
        </w:tc>
        <w:tc>
          <w:tcPr>
            <w:tcW w:w="1418" w:type="dxa"/>
            <w:vAlign w:val="center"/>
          </w:tcPr>
          <w:p w14:paraId="6ABD4FD3" w14:textId="0F2672DB" w:rsidR="00AD5E33" w:rsidRPr="000425DF" w:rsidRDefault="00AD5E33" w:rsidP="00AD5E33">
            <w:pPr>
              <w:rPr>
                <w:rFonts w:asciiTheme="majorBidi" w:hAnsiTheme="majorBidi" w:cstheme="majorBidi"/>
                <w:sz w:val="24"/>
                <w:szCs w:val="24"/>
                <w:lang w:val="en-GB"/>
              </w:rPr>
            </w:pPr>
            <w:r w:rsidRPr="000425DF">
              <w:rPr>
                <w:rFonts w:asciiTheme="majorBidi" w:hAnsiTheme="majorBidi" w:cstheme="majorBidi"/>
                <w:sz w:val="24"/>
                <w:szCs w:val="24"/>
                <w:lang w:val="en-GB"/>
              </w:rPr>
              <w:t>Medium</w:t>
            </w:r>
          </w:p>
        </w:tc>
      </w:tr>
      <w:tr w:rsidR="00AD5E33" w:rsidRPr="000425DF" w14:paraId="3B0C0F4A" w14:textId="77777777" w:rsidTr="00FF407A">
        <w:trPr>
          <w:trHeight w:val="57"/>
        </w:trPr>
        <w:tc>
          <w:tcPr>
            <w:tcW w:w="2830" w:type="dxa"/>
            <w:vAlign w:val="center"/>
          </w:tcPr>
          <w:p w14:paraId="18B6BF4F" w14:textId="5110E777" w:rsidR="00AD5E33" w:rsidRPr="000425DF" w:rsidRDefault="00AD5E33" w:rsidP="00AD5E33">
            <w:pPr>
              <w:rPr>
                <w:rFonts w:asciiTheme="majorBidi" w:hAnsiTheme="majorBidi" w:cstheme="majorBidi"/>
                <w:i/>
                <w:iCs/>
                <w:sz w:val="24"/>
                <w:szCs w:val="24"/>
                <w:lang w:val="en-GB"/>
              </w:rPr>
            </w:pPr>
            <w:r w:rsidRPr="000425DF">
              <w:rPr>
                <w:rFonts w:asciiTheme="majorBidi" w:hAnsiTheme="majorBidi" w:cstheme="majorBidi"/>
                <w:i/>
                <w:iCs/>
                <w:sz w:val="24"/>
                <w:szCs w:val="24"/>
                <w:lang w:val="en-GB"/>
              </w:rPr>
              <w:t>Provider choice</w:t>
            </w:r>
          </w:p>
        </w:tc>
        <w:tc>
          <w:tcPr>
            <w:tcW w:w="7371" w:type="dxa"/>
            <w:vAlign w:val="center"/>
          </w:tcPr>
          <w:p w14:paraId="108CAB02" w14:textId="77777777" w:rsidR="00AD5E33" w:rsidRPr="000425DF" w:rsidRDefault="00AD5E33" w:rsidP="00AD5E33">
            <w:pPr>
              <w:rPr>
                <w:rFonts w:asciiTheme="majorBidi" w:hAnsiTheme="majorBidi" w:cstheme="majorBidi"/>
                <w:sz w:val="24"/>
                <w:szCs w:val="24"/>
                <w:lang w:val="en-GB"/>
              </w:rPr>
            </w:pPr>
            <w:r w:rsidRPr="000425DF">
              <w:rPr>
                <w:rFonts w:asciiTheme="majorBidi" w:hAnsiTheme="majorBidi" w:cstheme="majorBidi"/>
                <w:sz w:val="24"/>
                <w:szCs w:val="24"/>
                <w:lang w:val="en-GB"/>
              </w:rPr>
              <w:t>State &amp; societal actors</w:t>
            </w:r>
          </w:p>
          <w:p w14:paraId="35D5F0C6" w14:textId="7F8918FB" w:rsidR="00AD5E33" w:rsidRPr="000425DF" w:rsidRDefault="00AD5E33" w:rsidP="00AD5E33">
            <w:pPr>
              <w:rPr>
                <w:rFonts w:asciiTheme="majorBidi" w:hAnsiTheme="majorBidi" w:cstheme="majorBidi"/>
                <w:sz w:val="24"/>
                <w:szCs w:val="24"/>
                <w:lang w:val="en-GB"/>
              </w:rPr>
            </w:pPr>
            <w:r w:rsidRPr="000425DF">
              <w:rPr>
                <w:rFonts w:asciiTheme="majorBidi" w:hAnsiTheme="majorBidi" w:cstheme="majorBidi"/>
                <w:sz w:val="24"/>
                <w:szCs w:val="24"/>
                <w:lang w:val="en-GB"/>
              </w:rPr>
              <w:t>Local committees are responsible for selecting a service provider for benefit recipients. The committees are composed of professionals employed by both the state and the NII: a social worker from the municipal welfare burau, a nurse from the health service/sickness fund and an official from the NII.</w:t>
            </w:r>
          </w:p>
        </w:tc>
        <w:tc>
          <w:tcPr>
            <w:tcW w:w="2835" w:type="dxa"/>
            <w:vAlign w:val="center"/>
          </w:tcPr>
          <w:p w14:paraId="6B82A2CF" w14:textId="734036CA" w:rsidR="00AD5E33" w:rsidRPr="000425DF" w:rsidRDefault="00F63F5D" w:rsidP="00AD5E33">
            <w:pPr>
              <w:rPr>
                <w:rFonts w:asciiTheme="majorBidi" w:hAnsiTheme="majorBidi" w:cstheme="majorBidi"/>
                <w:sz w:val="24"/>
                <w:szCs w:val="24"/>
                <w:lang w:val="en-GB"/>
              </w:rPr>
            </w:pPr>
            <w:r>
              <w:rPr>
                <w:rFonts w:asciiTheme="majorBidi" w:hAnsiTheme="majorBidi" w:cstheme="majorBidi"/>
                <w:sz w:val="24"/>
                <w:szCs w:val="24"/>
                <w:lang w:val="en-GB"/>
              </w:rPr>
              <w:t>Ajzenstadt &amp; Rosenhek, 2000; Borowski &amp; Schmid, 2001; Iecovich, 2012; Morginstin et al., 1993</w:t>
            </w:r>
          </w:p>
        </w:tc>
        <w:tc>
          <w:tcPr>
            <w:tcW w:w="1418" w:type="dxa"/>
            <w:vAlign w:val="center"/>
          </w:tcPr>
          <w:p w14:paraId="0DACD8F6" w14:textId="0121FAF7" w:rsidR="00AD5E33" w:rsidRPr="000425DF" w:rsidRDefault="00AD5E33" w:rsidP="00AD5E33">
            <w:pPr>
              <w:rPr>
                <w:rFonts w:asciiTheme="majorBidi" w:hAnsiTheme="majorBidi" w:cstheme="majorBidi"/>
                <w:sz w:val="24"/>
                <w:szCs w:val="24"/>
                <w:lang w:val="en-GB"/>
              </w:rPr>
            </w:pPr>
            <w:r w:rsidRPr="000425DF">
              <w:rPr>
                <w:rFonts w:asciiTheme="majorBidi" w:hAnsiTheme="majorBidi" w:cstheme="majorBidi"/>
                <w:sz w:val="24"/>
                <w:szCs w:val="24"/>
                <w:lang w:val="en-GB" w:eastAsia="zh-TW"/>
              </w:rPr>
              <w:t>High</w:t>
            </w:r>
          </w:p>
        </w:tc>
      </w:tr>
      <w:tr w:rsidR="00AD5E33" w:rsidRPr="000425DF" w14:paraId="5058B344" w14:textId="77777777" w:rsidTr="00FF407A">
        <w:trPr>
          <w:trHeight w:val="57"/>
        </w:trPr>
        <w:tc>
          <w:tcPr>
            <w:tcW w:w="2830" w:type="dxa"/>
            <w:vAlign w:val="center"/>
          </w:tcPr>
          <w:p w14:paraId="3F75974D" w14:textId="0FA58311" w:rsidR="00AD5E33" w:rsidRPr="000425DF" w:rsidRDefault="00AD5E33" w:rsidP="00AD5E33">
            <w:pPr>
              <w:rPr>
                <w:rFonts w:asciiTheme="majorBidi" w:hAnsiTheme="majorBidi" w:cstheme="majorBidi"/>
                <w:i/>
                <w:iCs/>
                <w:sz w:val="24"/>
                <w:szCs w:val="24"/>
                <w:lang w:val="en-GB"/>
              </w:rPr>
            </w:pPr>
            <w:r w:rsidRPr="000425DF">
              <w:rPr>
                <w:rFonts w:asciiTheme="majorBidi" w:hAnsiTheme="majorBidi" w:cstheme="majorBidi"/>
                <w:i/>
                <w:iCs/>
                <w:sz w:val="24"/>
                <w:szCs w:val="24"/>
                <w:lang w:val="en-GB" w:eastAsia="zh-TW"/>
              </w:rPr>
              <w:t>Benefit choice</w:t>
            </w:r>
          </w:p>
        </w:tc>
        <w:tc>
          <w:tcPr>
            <w:tcW w:w="7371" w:type="dxa"/>
            <w:vAlign w:val="center"/>
          </w:tcPr>
          <w:p w14:paraId="5BA1D288" w14:textId="77777777" w:rsidR="00AD5E33" w:rsidRPr="000425DF" w:rsidRDefault="00AD5E33" w:rsidP="00AD5E33">
            <w:pPr>
              <w:rPr>
                <w:rFonts w:asciiTheme="majorBidi" w:hAnsiTheme="majorBidi" w:cstheme="majorBidi"/>
                <w:sz w:val="24"/>
                <w:szCs w:val="24"/>
                <w:lang w:val="en-GB" w:eastAsia="zh-TW"/>
              </w:rPr>
            </w:pPr>
            <w:r w:rsidRPr="000425DF">
              <w:rPr>
                <w:rFonts w:asciiTheme="majorBidi" w:hAnsiTheme="majorBidi" w:cstheme="majorBidi"/>
                <w:sz w:val="24"/>
                <w:szCs w:val="24"/>
                <w:lang w:val="en-GB" w:eastAsia="zh-TW"/>
              </w:rPr>
              <w:t>State &amp; societal actors</w:t>
            </w:r>
          </w:p>
          <w:p w14:paraId="1D3A49C1" w14:textId="6A1688F4" w:rsidR="00AD5E33" w:rsidRPr="000425DF" w:rsidRDefault="00AD5E33" w:rsidP="00AD5E33">
            <w:pPr>
              <w:rPr>
                <w:rFonts w:asciiTheme="majorBidi" w:hAnsiTheme="majorBidi" w:cstheme="majorBidi"/>
                <w:sz w:val="24"/>
                <w:szCs w:val="24"/>
                <w:lang w:val="en-GB"/>
              </w:rPr>
            </w:pPr>
            <w:r w:rsidRPr="000425DF">
              <w:rPr>
                <w:rFonts w:asciiTheme="majorBidi" w:hAnsiTheme="majorBidi" w:cstheme="majorBidi"/>
                <w:sz w:val="24"/>
                <w:szCs w:val="24"/>
                <w:lang w:val="en-GB" w:eastAsia="zh-TW"/>
              </w:rPr>
              <w:t xml:space="preserve">By law the state defined that home and community care services are the main benefit offered by the LTCI and cash benefits can only be provided in exceptional circumstances. The concrete type of services/service </w:t>
            </w:r>
            <w:r w:rsidRPr="000425DF">
              <w:rPr>
                <w:rFonts w:asciiTheme="majorBidi" w:hAnsiTheme="majorBidi" w:cstheme="majorBidi"/>
                <w:sz w:val="24"/>
                <w:szCs w:val="24"/>
                <w:lang w:val="en-GB" w:eastAsia="zh-TW"/>
              </w:rPr>
              <w:lastRenderedPageBreak/>
              <w:t>package for each benefit recipient is defined in a care plan constructed by the local committee, i.e. by state and societal actors (for the status of the local committee see description above).</w:t>
            </w:r>
          </w:p>
        </w:tc>
        <w:tc>
          <w:tcPr>
            <w:tcW w:w="2835" w:type="dxa"/>
            <w:vAlign w:val="center"/>
          </w:tcPr>
          <w:p w14:paraId="602C305A" w14:textId="04E1DEAB" w:rsidR="00AD5E33" w:rsidRPr="000425DF" w:rsidRDefault="00F63F5D" w:rsidP="00AD5E33">
            <w:pPr>
              <w:rPr>
                <w:rFonts w:asciiTheme="majorBidi" w:hAnsiTheme="majorBidi" w:cstheme="majorBidi"/>
                <w:sz w:val="24"/>
                <w:szCs w:val="24"/>
                <w:lang w:val="en-GB"/>
              </w:rPr>
            </w:pPr>
            <w:r>
              <w:rPr>
                <w:rFonts w:asciiTheme="majorBidi" w:hAnsiTheme="majorBidi" w:cstheme="majorBidi"/>
                <w:sz w:val="24"/>
                <w:szCs w:val="24"/>
                <w:lang w:val="en-GB" w:eastAsia="zh-TW"/>
              </w:rPr>
              <w:lastRenderedPageBreak/>
              <w:t>Ajzenstadt &amp; Rosenhek, 2000; Asiskovitch, 2013; Iecovich, 2012</w:t>
            </w:r>
          </w:p>
        </w:tc>
        <w:tc>
          <w:tcPr>
            <w:tcW w:w="1418" w:type="dxa"/>
            <w:vAlign w:val="center"/>
          </w:tcPr>
          <w:p w14:paraId="1A47D23A" w14:textId="3F1AB3B7" w:rsidR="00AD5E33" w:rsidRPr="000425DF" w:rsidRDefault="00AD5E33" w:rsidP="00AD5E33">
            <w:pPr>
              <w:rPr>
                <w:rFonts w:asciiTheme="majorBidi" w:hAnsiTheme="majorBidi" w:cstheme="majorBidi"/>
                <w:sz w:val="24"/>
                <w:szCs w:val="24"/>
                <w:lang w:val="en-GB"/>
              </w:rPr>
            </w:pPr>
            <w:r w:rsidRPr="000425DF">
              <w:rPr>
                <w:rFonts w:asciiTheme="majorBidi" w:hAnsiTheme="majorBidi" w:cstheme="majorBidi"/>
                <w:sz w:val="24"/>
                <w:szCs w:val="24"/>
                <w:lang w:val="en-GB" w:eastAsia="zh-TW"/>
              </w:rPr>
              <w:t>High</w:t>
            </w:r>
          </w:p>
        </w:tc>
      </w:tr>
      <w:tr w:rsidR="00AD5E33" w:rsidRPr="000425DF" w14:paraId="2A849AD5" w14:textId="77777777" w:rsidTr="00FF407A">
        <w:trPr>
          <w:trHeight w:val="57"/>
        </w:trPr>
        <w:tc>
          <w:tcPr>
            <w:tcW w:w="14454" w:type="dxa"/>
            <w:gridSpan w:val="4"/>
            <w:vAlign w:val="center"/>
          </w:tcPr>
          <w:p w14:paraId="1069162E" w14:textId="26F36720" w:rsidR="00AD5E33" w:rsidRPr="000425DF" w:rsidRDefault="00AD5E33" w:rsidP="00AD5E33">
            <w:pPr>
              <w:rPr>
                <w:rFonts w:asciiTheme="majorBidi" w:hAnsiTheme="majorBidi" w:cstheme="majorBidi"/>
                <w:sz w:val="24"/>
                <w:szCs w:val="24"/>
                <w:lang w:val="en-GB"/>
              </w:rPr>
            </w:pPr>
            <w:r w:rsidRPr="000425DF">
              <w:rPr>
                <w:rFonts w:asciiTheme="majorBidi" w:hAnsiTheme="majorBidi" w:cstheme="majorBidi"/>
                <w:b/>
                <w:bCs/>
                <w:sz w:val="24"/>
                <w:szCs w:val="24"/>
                <w:lang w:val="en-GB" w:eastAsia="zh-TW"/>
              </w:rPr>
              <w:t>Japan</w:t>
            </w:r>
          </w:p>
        </w:tc>
      </w:tr>
      <w:tr w:rsidR="00AD5E33" w:rsidRPr="000425DF" w14:paraId="65CA73A4" w14:textId="77777777" w:rsidTr="00FF407A">
        <w:trPr>
          <w:trHeight w:val="57"/>
        </w:trPr>
        <w:tc>
          <w:tcPr>
            <w:tcW w:w="2830" w:type="dxa"/>
            <w:vAlign w:val="center"/>
          </w:tcPr>
          <w:p w14:paraId="3C34B917" w14:textId="22D98C37" w:rsidR="00AD5E33" w:rsidRPr="000425DF" w:rsidRDefault="00AD5E33" w:rsidP="00AD5E33">
            <w:pPr>
              <w:rPr>
                <w:rFonts w:asciiTheme="majorBidi" w:hAnsiTheme="majorBidi" w:cstheme="majorBidi"/>
                <w:i/>
                <w:iCs/>
                <w:sz w:val="24"/>
                <w:szCs w:val="24"/>
                <w:lang w:val="en-GB"/>
              </w:rPr>
            </w:pPr>
            <w:r w:rsidRPr="000425DF">
              <w:rPr>
                <w:rFonts w:asciiTheme="majorBidi" w:hAnsiTheme="majorBidi" w:cstheme="majorBidi"/>
                <w:i/>
                <w:iCs/>
                <w:sz w:val="24"/>
                <w:szCs w:val="24"/>
                <w:lang w:val="en-GB" w:eastAsia="zh-TW"/>
              </w:rPr>
              <w:t>Eligibility assessment</w:t>
            </w:r>
          </w:p>
        </w:tc>
        <w:tc>
          <w:tcPr>
            <w:tcW w:w="7371" w:type="dxa"/>
            <w:vAlign w:val="center"/>
          </w:tcPr>
          <w:p w14:paraId="0EE4ED27" w14:textId="77777777" w:rsidR="00AD5E33" w:rsidRPr="000425DF" w:rsidRDefault="00AD5E33" w:rsidP="00AD5E33">
            <w:pPr>
              <w:rPr>
                <w:rFonts w:asciiTheme="majorBidi" w:hAnsiTheme="majorBidi" w:cstheme="majorBidi"/>
                <w:sz w:val="24"/>
                <w:szCs w:val="24"/>
                <w:lang w:val="en-GB" w:eastAsia="zh-TW"/>
              </w:rPr>
            </w:pPr>
            <w:r w:rsidRPr="000425DF">
              <w:rPr>
                <w:rFonts w:asciiTheme="majorBidi" w:hAnsiTheme="majorBidi" w:cstheme="majorBidi"/>
                <w:sz w:val="24"/>
                <w:szCs w:val="24"/>
                <w:lang w:val="en-GB" w:eastAsia="zh-TW"/>
              </w:rPr>
              <w:t>State</w:t>
            </w:r>
          </w:p>
          <w:p w14:paraId="4DAD8DC8" w14:textId="7F6ABC78" w:rsidR="00AD5E33" w:rsidRPr="000425DF" w:rsidRDefault="00AD5E33" w:rsidP="00AD5E33">
            <w:pPr>
              <w:rPr>
                <w:rFonts w:asciiTheme="majorBidi" w:hAnsiTheme="majorBidi" w:cstheme="majorBidi"/>
                <w:sz w:val="24"/>
                <w:szCs w:val="24"/>
                <w:lang w:val="en-GB"/>
              </w:rPr>
            </w:pPr>
            <w:r w:rsidRPr="000425DF">
              <w:rPr>
                <w:rFonts w:asciiTheme="majorBidi" w:hAnsiTheme="majorBidi" w:cstheme="majorBidi"/>
                <w:sz w:val="24"/>
                <w:szCs w:val="24"/>
                <w:lang w:val="en-GB" w:eastAsia="zh-TW"/>
              </w:rPr>
              <w:t>Municipalities are responsible for assessing care dependency and confirming eligibility. They do so with a standardized questionnaire and the help of an independent committee appointed by the major.</w:t>
            </w:r>
          </w:p>
        </w:tc>
        <w:tc>
          <w:tcPr>
            <w:tcW w:w="2835" w:type="dxa"/>
            <w:vAlign w:val="center"/>
          </w:tcPr>
          <w:p w14:paraId="1625171D" w14:textId="12F39D51" w:rsidR="00AD5E33" w:rsidRPr="000425DF" w:rsidRDefault="00F63F5D" w:rsidP="00AD5E33">
            <w:pPr>
              <w:rPr>
                <w:rFonts w:asciiTheme="majorBidi" w:hAnsiTheme="majorBidi" w:cstheme="majorBidi"/>
                <w:sz w:val="24"/>
                <w:szCs w:val="24"/>
                <w:lang w:val="en-GB"/>
              </w:rPr>
            </w:pPr>
            <w:r>
              <w:rPr>
                <w:rFonts w:asciiTheme="majorBidi" w:hAnsiTheme="majorBidi" w:cstheme="majorBidi"/>
                <w:sz w:val="24"/>
                <w:szCs w:val="24"/>
                <w:lang w:val="en-GB" w:eastAsia="zh-TW"/>
              </w:rPr>
              <w:t>Campbell &amp; Ikegami, 2003; Maags, 2020; Ozawa &amp; Nakayama, 2005</w:t>
            </w:r>
          </w:p>
        </w:tc>
        <w:tc>
          <w:tcPr>
            <w:tcW w:w="1418" w:type="dxa"/>
            <w:vAlign w:val="center"/>
          </w:tcPr>
          <w:p w14:paraId="27F464C4" w14:textId="0DD1B06D" w:rsidR="00AD5E33" w:rsidRPr="000425DF" w:rsidRDefault="00AD5E33" w:rsidP="00AD5E33">
            <w:pPr>
              <w:rPr>
                <w:rFonts w:asciiTheme="majorBidi" w:hAnsiTheme="majorBidi" w:cstheme="majorBidi"/>
                <w:sz w:val="24"/>
                <w:szCs w:val="24"/>
                <w:lang w:val="en-GB"/>
              </w:rPr>
            </w:pPr>
            <w:r w:rsidRPr="000425DF">
              <w:rPr>
                <w:rFonts w:asciiTheme="majorBidi" w:hAnsiTheme="majorBidi" w:cstheme="majorBidi"/>
                <w:sz w:val="24"/>
                <w:szCs w:val="24"/>
                <w:lang w:val="en-US" w:eastAsia="zh-TW"/>
              </w:rPr>
              <w:t>High</w:t>
            </w:r>
          </w:p>
        </w:tc>
      </w:tr>
      <w:tr w:rsidR="00AD5E33" w:rsidRPr="000425DF" w14:paraId="228402E8" w14:textId="77777777" w:rsidTr="00FF407A">
        <w:trPr>
          <w:trHeight w:val="57"/>
        </w:trPr>
        <w:tc>
          <w:tcPr>
            <w:tcW w:w="2830" w:type="dxa"/>
            <w:vAlign w:val="center"/>
          </w:tcPr>
          <w:p w14:paraId="22C33C83" w14:textId="406A0177" w:rsidR="00AD5E33" w:rsidRPr="000425DF" w:rsidRDefault="00AD5E33" w:rsidP="00AD5E33">
            <w:pPr>
              <w:rPr>
                <w:rFonts w:asciiTheme="majorBidi" w:hAnsiTheme="majorBidi" w:cstheme="majorBidi"/>
                <w:i/>
                <w:iCs/>
                <w:sz w:val="24"/>
                <w:szCs w:val="24"/>
                <w:lang w:val="en-GB"/>
              </w:rPr>
            </w:pPr>
            <w:r w:rsidRPr="000425DF">
              <w:rPr>
                <w:rFonts w:asciiTheme="majorBidi" w:hAnsiTheme="majorBidi" w:cstheme="majorBidi"/>
                <w:i/>
                <w:iCs/>
                <w:sz w:val="24"/>
                <w:szCs w:val="24"/>
                <w:lang w:val="en-GB" w:eastAsia="zh-TW"/>
              </w:rPr>
              <w:t>Payment/contributions</w:t>
            </w:r>
          </w:p>
        </w:tc>
        <w:tc>
          <w:tcPr>
            <w:tcW w:w="7371" w:type="dxa"/>
            <w:vAlign w:val="center"/>
          </w:tcPr>
          <w:p w14:paraId="3DC71117" w14:textId="77777777" w:rsidR="00AD5E33" w:rsidRPr="000425DF" w:rsidRDefault="00AD5E33" w:rsidP="00AD5E33">
            <w:pPr>
              <w:rPr>
                <w:rFonts w:asciiTheme="majorBidi" w:hAnsiTheme="majorBidi" w:cstheme="majorBidi"/>
                <w:sz w:val="24"/>
                <w:szCs w:val="24"/>
                <w:lang w:val="en-GB" w:eastAsia="zh-TW"/>
              </w:rPr>
            </w:pPr>
            <w:r w:rsidRPr="000425DF">
              <w:rPr>
                <w:rFonts w:asciiTheme="majorBidi" w:hAnsiTheme="majorBidi" w:cstheme="majorBidi"/>
                <w:sz w:val="24"/>
                <w:szCs w:val="24"/>
                <w:lang w:val="en-GB" w:eastAsia="zh-TW"/>
              </w:rPr>
              <w:t>State</w:t>
            </w:r>
          </w:p>
          <w:p w14:paraId="18E7778C" w14:textId="77777777" w:rsidR="00AD5E33" w:rsidRPr="000425DF" w:rsidRDefault="00AD5E33" w:rsidP="00AD5E33">
            <w:pPr>
              <w:rPr>
                <w:rFonts w:asciiTheme="majorBidi" w:hAnsiTheme="majorBidi" w:cstheme="majorBidi"/>
                <w:sz w:val="24"/>
                <w:szCs w:val="24"/>
                <w:lang w:val="en-GB" w:eastAsia="zh-TW"/>
              </w:rPr>
            </w:pPr>
            <w:r w:rsidRPr="000425DF">
              <w:rPr>
                <w:rFonts w:asciiTheme="majorBidi" w:hAnsiTheme="majorBidi" w:cstheme="majorBidi"/>
                <w:sz w:val="24"/>
                <w:szCs w:val="24"/>
                <w:lang w:val="en-GB" w:eastAsia="zh-TW"/>
              </w:rPr>
              <w:t>The premium is defined by municipal governments for a period of three years.</w:t>
            </w:r>
          </w:p>
          <w:p w14:paraId="36F53094" w14:textId="02E207AF" w:rsidR="00AD5E33" w:rsidRPr="000425DF" w:rsidRDefault="00AD5E33" w:rsidP="00AD5E33">
            <w:pPr>
              <w:rPr>
                <w:rFonts w:asciiTheme="majorBidi" w:hAnsiTheme="majorBidi" w:cstheme="majorBidi"/>
                <w:sz w:val="24"/>
                <w:szCs w:val="24"/>
                <w:lang w:val="en-GB"/>
              </w:rPr>
            </w:pPr>
            <w:r w:rsidRPr="000425DF">
              <w:rPr>
                <w:rFonts w:asciiTheme="majorBidi" w:hAnsiTheme="majorBidi" w:cstheme="majorBidi"/>
                <w:sz w:val="24"/>
                <w:szCs w:val="24"/>
                <w:lang w:val="en-GB" w:eastAsia="zh-TW"/>
              </w:rPr>
              <w:t>Co-payments are determined centrally by the state.</w:t>
            </w:r>
          </w:p>
        </w:tc>
        <w:tc>
          <w:tcPr>
            <w:tcW w:w="2835" w:type="dxa"/>
            <w:vAlign w:val="center"/>
          </w:tcPr>
          <w:p w14:paraId="77556013" w14:textId="22ED2FD6" w:rsidR="00AD5E33" w:rsidRPr="000425DF" w:rsidRDefault="00F63F5D" w:rsidP="00AD5E33">
            <w:pPr>
              <w:rPr>
                <w:rFonts w:asciiTheme="majorBidi" w:hAnsiTheme="majorBidi" w:cstheme="majorBidi"/>
                <w:sz w:val="24"/>
                <w:szCs w:val="24"/>
                <w:lang w:val="en-GB"/>
              </w:rPr>
            </w:pPr>
            <w:r>
              <w:rPr>
                <w:rFonts w:asciiTheme="majorBidi" w:hAnsiTheme="majorBidi" w:cstheme="majorBidi"/>
                <w:sz w:val="24"/>
                <w:szCs w:val="24"/>
                <w:lang w:val="en-GB" w:eastAsia="zh-TW"/>
              </w:rPr>
              <w:t>Campbell &amp; Ikegami, 2009; Ikegami, 2019; Ozawa &amp; Nakayama, 2005</w:t>
            </w:r>
          </w:p>
        </w:tc>
        <w:tc>
          <w:tcPr>
            <w:tcW w:w="1418" w:type="dxa"/>
            <w:vAlign w:val="center"/>
          </w:tcPr>
          <w:p w14:paraId="2153AF97" w14:textId="5F6F1D7D" w:rsidR="00AD5E33" w:rsidRPr="000425DF" w:rsidRDefault="00AD5E33" w:rsidP="00AD5E33">
            <w:pPr>
              <w:rPr>
                <w:rFonts w:asciiTheme="majorBidi" w:hAnsiTheme="majorBidi" w:cstheme="majorBidi"/>
                <w:sz w:val="24"/>
                <w:szCs w:val="24"/>
                <w:lang w:val="en-GB"/>
              </w:rPr>
            </w:pPr>
            <w:r w:rsidRPr="000425DF">
              <w:rPr>
                <w:rFonts w:asciiTheme="majorBidi" w:hAnsiTheme="majorBidi" w:cstheme="majorBidi"/>
                <w:sz w:val="24"/>
                <w:szCs w:val="24"/>
                <w:lang w:val="en-GB" w:eastAsia="zh-TW"/>
              </w:rPr>
              <w:t>High</w:t>
            </w:r>
          </w:p>
        </w:tc>
      </w:tr>
      <w:tr w:rsidR="00AD5E33" w:rsidRPr="000425DF" w14:paraId="1321B858" w14:textId="77777777" w:rsidTr="00FF407A">
        <w:trPr>
          <w:trHeight w:val="57"/>
        </w:trPr>
        <w:tc>
          <w:tcPr>
            <w:tcW w:w="2830" w:type="dxa"/>
            <w:vAlign w:val="center"/>
          </w:tcPr>
          <w:p w14:paraId="3D7049F6" w14:textId="44CB2C30" w:rsidR="00AD5E33" w:rsidRPr="000425DF" w:rsidRDefault="00AD5E33" w:rsidP="00AD5E33">
            <w:pPr>
              <w:rPr>
                <w:rFonts w:asciiTheme="majorBidi" w:hAnsiTheme="majorBidi" w:cstheme="majorBidi"/>
                <w:i/>
                <w:iCs/>
                <w:sz w:val="24"/>
                <w:szCs w:val="24"/>
                <w:lang w:val="en-GB"/>
              </w:rPr>
            </w:pPr>
            <w:r w:rsidRPr="000425DF">
              <w:rPr>
                <w:rFonts w:asciiTheme="majorBidi" w:hAnsiTheme="majorBidi" w:cstheme="majorBidi"/>
                <w:i/>
                <w:iCs/>
                <w:sz w:val="24"/>
                <w:szCs w:val="24"/>
                <w:lang w:val="en-GB" w:eastAsia="zh-TW"/>
              </w:rPr>
              <w:t>Provider access to system</w:t>
            </w:r>
          </w:p>
        </w:tc>
        <w:tc>
          <w:tcPr>
            <w:tcW w:w="7371" w:type="dxa"/>
            <w:vAlign w:val="center"/>
          </w:tcPr>
          <w:p w14:paraId="416AF6DE" w14:textId="77777777" w:rsidR="00AD5E33" w:rsidRPr="000425DF" w:rsidRDefault="00AD5E33" w:rsidP="00AD5E33">
            <w:pPr>
              <w:rPr>
                <w:rFonts w:asciiTheme="majorBidi" w:hAnsiTheme="majorBidi" w:cstheme="majorBidi"/>
                <w:sz w:val="24"/>
                <w:szCs w:val="24"/>
                <w:lang w:val="en-GB" w:eastAsia="zh-TW"/>
              </w:rPr>
            </w:pPr>
            <w:r w:rsidRPr="000425DF">
              <w:rPr>
                <w:rFonts w:asciiTheme="majorBidi" w:hAnsiTheme="majorBidi" w:cstheme="majorBidi"/>
                <w:sz w:val="24"/>
                <w:szCs w:val="24"/>
                <w:lang w:val="en-GB" w:eastAsia="zh-TW"/>
              </w:rPr>
              <w:t>State &amp; private actors</w:t>
            </w:r>
          </w:p>
          <w:p w14:paraId="17D22761" w14:textId="3F8D7CCA" w:rsidR="00AD5E33" w:rsidRPr="000425DF" w:rsidRDefault="00AD5E33" w:rsidP="00AD5E33">
            <w:pPr>
              <w:rPr>
                <w:rFonts w:asciiTheme="majorBidi" w:hAnsiTheme="majorBidi" w:cstheme="majorBidi"/>
                <w:sz w:val="24"/>
                <w:szCs w:val="24"/>
                <w:lang w:val="en-GB"/>
              </w:rPr>
            </w:pPr>
            <w:r w:rsidRPr="000425DF">
              <w:rPr>
                <w:rFonts w:asciiTheme="majorBidi" w:hAnsiTheme="majorBidi" w:cstheme="majorBidi"/>
                <w:sz w:val="24"/>
                <w:szCs w:val="24"/>
                <w:lang w:val="en-GB" w:eastAsia="zh-TW"/>
              </w:rPr>
              <w:t>In home/community care, all kinds of actors are allowed to deliver LTC and can entry the market without specific regulation (they need a general licence as care providers). In residential care, for-profit providers are prohibited by the state.</w:t>
            </w:r>
          </w:p>
        </w:tc>
        <w:tc>
          <w:tcPr>
            <w:tcW w:w="2835" w:type="dxa"/>
            <w:vAlign w:val="center"/>
          </w:tcPr>
          <w:p w14:paraId="743D72E0" w14:textId="0B49598C" w:rsidR="00AD5E33" w:rsidRPr="000425DF" w:rsidRDefault="00F63F5D" w:rsidP="00AD5E33">
            <w:pPr>
              <w:rPr>
                <w:rFonts w:asciiTheme="majorBidi" w:hAnsiTheme="majorBidi" w:cstheme="majorBidi"/>
                <w:sz w:val="24"/>
                <w:szCs w:val="24"/>
                <w:lang w:val="en-GB"/>
              </w:rPr>
            </w:pPr>
            <w:r>
              <w:rPr>
                <w:rFonts w:asciiTheme="majorBidi" w:hAnsiTheme="majorBidi" w:cstheme="majorBidi"/>
                <w:sz w:val="24"/>
                <w:szCs w:val="24"/>
                <w:lang w:val="en-GB" w:eastAsia="zh-TW"/>
              </w:rPr>
              <w:t>Campbell, 2014; Campbell &amp; Ikegami, 2003; Ozawa &amp; Nakayama, 2005</w:t>
            </w:r>
          </w:p>
        </w:tc>
        <w:tc>
          <w:tcPr>
            <w:tcW w:w="1418" w:type="dxa"/>
            <w:vAlign w:val="center"/>
          </w:tcPr>
          <w:p w14:paraId="746CF5E1" w14:textId="29B4AA5B" w:rsidR="00AD5E33" w:rsidRPr="000425DF" w:rsidRDefault="00AD5E33" w:rsidP="00AD5E33">
            <w:pPr>
              <w:rPr>
                <w:rFonts w:asciiTheme="majorBidi" w:hAnsiTheme="majorBidi" w:cstheme="majorBidi"/>
                <w:sz w:val="24"/>
                <w:szCs w:val="24"/>
                <w:lang w:val="en-GB"/>
              </w:rPr>
            </w:pPr>
            <w:r w:rsidRPr="000425DF">
              <w:rPr>
                <w:rFonts w:asciiTheme="majorBidi" w:hAnsiTheme="majorBidi" w:cstheme="majorBidi"/>
                <w:sz w:val="24"/>
                <w:szCs w:val="24"/>
                <w:lang w:val="en-GB" w:eastAsia="zh-TW"/>
              </w:rPr>
              <w:t>Medium</w:t>
            </w:r>
          </w:p>
        </w:tc>
      </w:tr>
      <w:tr w:rsidR="00AD5E33" w:rsidRPr="000425DF" w14:paraId="7FA4C81A" w14:textId="77777777" w:rsidTr="00FF407A">
        <w:trPr>
          <w:trHeight w:val="57"/>
        </w:trPr>
        <w:tc>
          <w:tcPr>
            <w:tcW w:w="2830" w:type="dxa"/>
            <w:vAlign w:val="center"/>
          </w:tcPr>
          <w:p w14:paraId="0FA9C856" w14:textId="12F81E3B" w:rsidR="00AD5E33" w:rsidRPr="000425DF" w:rsidRDefault="00AD5E33" w:rsidP="00AD5E33">
            <w:pPr>
              <w:rPr>
                <w:rFonts w:asciiTheme="majorBidi" w:hAnsiTheme="majorBidi" w:cstheme="majorBidi"/>
                <w:i/>
                <w:iCs/>
                <w:sz w:val="24"/>
                <w:szCs w:val="24"/>
                <w:lang w:val="en-GB"/>
              </w:rPr>
            </w:pPr>
            <w:r w:rsidRPr="000425DF">
              <w:rPr>
                <w:rFonts w:asciiTheme="majorBidi" w:hAnsiTheme="majorBidi" w:cstheme="majorBidi"/>
                <w:i/>
                <w:iCs/>
                <w:sz w:val="24"/>
                <w:szCs w:val="24"/>
                <w:lang w:val="en-GB" w:eastAsia="zh-TW"/>
              </w:rPr>
              <w:t>Remuneration/fees</w:t>
            </w:r>
          </w:p>
        </w:tc>
        <w:tc>
          <w:tcPr>
            <w:tcW w:w="7371" w:type="dxa"/>
            <w:vAlign w:val="center"/>
          </w:tcPr>
          <w:p w14:paraId="53AC879D" w14:textId="77777777" w:rsidR="00AD5E33" w:rsidRPr="000425DF" w:rsidRDefault="00AD5E33" w:rsidP="00AD5E33">
            <w:pPr>
              <w:rPr>
                <w:rFonts w:asciiTheme="majorBidi" w:hAnsiTheme="majorBidi" w:cstheme="majorBidi"/>
                <w:sz w:val="24"/>
                <w:szCs w:val="24"/>
                <w:lang w:val="en-GB" w:eastAsia="zh-TW"/>
              </w:rPr>
            </w:pPr>
            <w:r w:rsidRPr="000425DF">
              <w:rPr>
                <w:rFonts w:asciiTheme="majorBidi" w:hAnsiTheme="majorBidi" w:cstheme="majorBidi"/>
                <w:sz w:val="24"/>
                <w:szCs w:val="24"/>
                <w:lang w:val="en-GB" w:eastAsia="zh-TW"/>
              </w:rPr>
              <w:t>State</w:t>
            </w:r>
          </w:p>
          <w:p w14:paraId="7F773FD7" w14:textId="1CDB6522" w:rsidR="00AD5E33" w:rsidRPr="000425DF" w:rsidRDefault="00AD5E33" w:rsidP="00AD5E33">
            <w:pPr>
              <w:rPr>
                <w:rFonts w:asciiTheme="majorBidi" w:hAnsiTheme="majorBidi" w:cstheme="majorBidi"/>
                <w:sz w:val="24"/>
                <w:szCs w:val="24"/>
                <w:lang w:val="en-GB"/>
              </w:rPr>
            </w:pPr>
            <w:r w:rsidRPr="000425DF">
              <w:rPr>
                <w:rFonts w:asciiTheme="majorBidi" w:hAnsiTheme="majorBidi" w:cstheme="majorBidi"/>
                <w:sz w:val="24"/>
                <w:szCs w:val="24"/>
                <w:lang w:val="en-GB" w:eastAsia="zh-TW"/>
              </w:rPr>
              <w:t>There are centrally set fees (national applicability with regional cost adjustments) decided by the Ministry of Health, Labour and Welfare every three years.</w:t>
            </w:r>
          </w:p>
        </w:tc>
        <w:tc>
          <w:tcPr>
            <w:tcW w:w="2835" w:type="dxa"/>
            <w:vAlign w:val="center"/>
          </w:tcPr>
          <w:p w14:paraId="1CD90894" w14:textId="72C0BF3C" w:rsidR="00AD5E33" w:rsidRPr="000425DF" w:rsidRDefault="00F63F5D" w:rsidP="00AD5E33">
            <w:pPr>
              <w:rPr>
                <w:rFonts w:asciiTheme="majorBidi" w:hAnsiTheme="majorBidi" w:cstheme="majorBidi"/>
                <w:sz w:val="24"/>
                <w:szCs w:val="24"/>
                <w:lang w:val="en-GB"/>
              </w:rPr>
            </w:pPr>
            <w:r>
              <w:rPr>
                <w:rFonts w:asciiTheme="majorBidi" w:hAnsiTheme="majorBidi" w:cstheme="majorBidi"/>
                <w:sz w:val="24"/>
                <w:szCs w:val="24"/>
                <w:lang w:val="en-GB" w:eastAsia="zh-TW"/>
              </w:rPr>
              <w:t>Campbell &amp; Ikegami, 2003; Rhee et al., 2015; Tsutsumi, 2014</w:t>
            </w:r>
          </w:p>
        </w:tc>
        <w:tc>
          <w:tcPr>
            <w:tcW w:w="1418" w:type="dxa"/>
            <w:vAlign w:val="center"/>
          </w:tcPr>
          <w:p w14:paraId="4D2AD7C7" w14:textId="5AB75BC6" w:rsidR="00AD5E33" w:rsidRPr="000425DF" w:rsidRDefault="00AD5E33" w:rsidP="00AD5E33">
            <w:pPr>
              <w:rPr>
                <w:rFonts w:asciiTheme="majorBidi" w:hAnsiTheme="majorBidi" w:cstheme="majorBidi"/>
                <w:sz w:val="24"/>
                <w:szCs w:val="24"/>
                <w:lang w:val="en-GB"/>
              </w:rPr>
            </w:pPr>
            <w:r w:rsidRPr="000425DF">
              <w:rPr>
                <w:rFonts w:asciiTheme="majorBidi" w:hAnsiTheme="majorBidi" w:cstheme="majorBidi"/>
                <w:sz w:val="24"/>
                <w:szCs w:val="24"/>
                <w:lang w:val="en-GB" w:eastAsia="zh-TW"/>
              </w:rPr>
              <w:t>Medium</w:t>
            </w:r>
          </w:p>
        </w:tc>
      </w:tr>
      <w:tr w:rsidR="00AD5E33" w:rsidRPr="000425DF" w14:paraId="25056783" w14:textId="77777777" w:rsidTr="00FF407A">
        <w:trPr>
          <w:trHeight w:val="57"/>
        </w:trPr>
        <w:tc>
          <w:tcPr>
            <w:tcW w:w="2830" w:type="dxa"/>
            <w:vAlign w:val="center"/>
          </w:tcPr>
          <w:p w14:paraId="6F9D9357" w14:textId="4748B25E" w:rsidR="00AD5E33" w:rsidRPr="000425DF" w:rsidRDefault="00AD5E33" w:rsidP="00AD5E33">
            <w:pPr>
              <w:rPr>
                <w:rFonts w:asciiTheme="majorBidi" w:hAnsiTheme="majorBidi" w:cstheme="majorBidi"/>
                <w:i/>
                <w:iCs/>
                <w:sz w:val="24"/>
                <w:szCs w:val="24"/>
                <w:lang w:val="en-GB"/>
              </w:rPr>
            </w:pPr>
            <w:r w:rsidRPr="000425DF">
              <w:rPr>
                <w:rFonts w:asciiTheme="majorBidi" w:hAnsiTheme="majorBidi" w:cstheme="majorBidi"/>
                <w:i/>
                <w:iCs/>
                <w:sz w:val="24"/>
                <w:szCs w:val="24"/>
                <w:lang w:val="en-GB" w:eastAsia="zh-TW"/>
              </w:rPr>
              <w:t>Provider choice</w:t>
            </w:r>
          </w:p>
        </w:tc>
        <w:tc>
          <w:tcPr>
            <w:tcW w:w="7371" w:type="dxa"/>
            <w:vAlign w:val="center"/>
          </w:tcPr>
          <w:p w14:paraId="4AEF8827" w14:textId="77777777" w:rsidR="00AD5E33" w:rsidRPr="000425DF" w:rsidRDefault="00AD5E33" w:rsidP="00AD5E33">
            <w:pPr>
              <w:rPr>
                <w:rFonts w:asciiTheme="majorBidi" w:hAnsiTheme="majorBidi" w:cstheme="majorBidi"/>
                <w:sz w:val="24"/>
                <w:szCs w:val="24"/>
                <w:lang w:val="en-GB" w:eastAsia="zh-TW"/>
              </w:rPr>
            </w:pPr>
            <w:r w:rsidRPr="000425DF">
              <w:rPr>
                <w:rFonts w:asciiTheme="majorBidi" w:hAnsiTheme="majorBidi" w:cstheme="majorBidi"/>
                <w:sz w:val="24"/>
                <w:szCs w:val="24"/>
                <w:lang w:val="en-GB" w:eastAsia="zh-TW"/>
              </w:rPr>
              <w:t>Societal actors &amp; private actors</w:t>
            </w:r>
          </w:p>
          <w:p w14:paraId="0B2A613A" w14:textId="62472F5C" w:rsidR="00AD5E33" w:rsidRPr="000425DF" w:rsidRDefault="00AD5E33" w:rsidP="00AD5E33">
            <w:pPr>
              <w:rPr>
                <w:rFonts w:asciiTheme="majorBidi" w:hAnsiTheme="majorBidi" w:cstheme="majorBidi"/>
                <w:sz w:val="24"/>
                <w:szCs w:val="24"/>
                <w:lang w:val="en-GB"/>
              </w:rPr>
            </w:pPr>
            <w:r w:rsidRPr="000425DF">
              <w:rPr>
                <w:rFonts w:asciiTheme="majorBidi" w:hAnsiTheme="majorBidi" w:cstheme="majorBidi"/>
                <w:sz w:val="24"/>
                <w:szCs w:val="24"/>
                <w:lang w:val="en-GB" w:eastAsia="zh-TW"/>
              </w:rPr>
              <w:t>The beneficiary can choose providers and services. However, there is an incentive to make use of care managers to assist with the choice which normally is employed with a provider. Providers are mainly societal.</w:t>
            </w:r>
          </w:p>
        </w:tc>
        <w:tc>
          <w:tcPr>
            <w:tcW w:w="2835" w:type="dxa"/>
            <w:vAlign w:val="center"/>
          </w:tcPr>
          <w:p w14:paraId="73E0A1D8" w14:textId="24AEE7DA" w:rsidR="00AD5E33" w:rsidRPr="000425DF" w:rsidRDefault="00F63F5D" w:rsidP="00AD5E33">
            <w:pPr>
              <w:rPr>
                <w:rFonts w:asciiTheme="majorBidi" w:hAnsiTheme="majorBidi" w:cstheme="majorBidi"/>
                <w:sz w:val="24"/>
                <w:szCs w:val="24"/>
                <w:lang w:val="en-GB"/>
              </w:rPr>
            </w:pPr>
            <w:r>
              <w:rPr>
                <w:rFonts w:asciiTheme="majorBidi" w:hAnsiTheme="majorBidi" w:cstheme="majorBidi"/>
                <w:sz w:val="24"/>
                <w:szCs w:val="24"/>
                <w:lang w:val="en-GB" w:eastAsia="zh-TW"/>
              </w:rPr>
              <w:t>Campbell &amp; Ikegami, 2003; MHLW, 2016; Ozawa &amp; Nakayama, 2005; Saito, 2014</w:t>
            </w:r>
          </w:p>
        </w:tc>
        <w:tc>
          <w:tcPr>
            <w:tcW w:w="1418" w:type="dxa"/>
            <w:vAlign w:val="center"/>
          </w:tcPr>
          <w:p w14:paraId="0BADC904" w14:textId="3FF73CDE" w:rsidR="00AD5E33" w:rsidRPr="000425DF" w:rsidRDefault="00AD5E33" w:rsidP="00AD5E33">
            <w:pPr>
              <w:rPr>
                <w:rFonts w:asciiTheme="majorBidi" w:hAnsiTheme="majorBidi" w:cstheme="majorBidi"/>
                <w:sz w:val="24"/>
                <w:szCs w:val="24"/>
                <w:lang w:val="en-GB"/>
              </w:rPr>
            </w:pPr>
            <w:r w:rsidRPr="000425DF">
              <w:rPr>
                <w:rFonts w:asciiTheme="majorBidi" w:hAnsiTheme="majorBidi" w:cstheme="majorBidi"/>
                <w:sz w:val="24"/>
                <w:szCs w:val="24"/>
                <w:lang w:val="en-GB" w:eastAsia="zh-TW"/>
              </w:rPr>
              <w:t>High</w:t>
            </w:r>
          </w:p>
        </w:tc>
      </w:tr>
      <w:tr w:rsidR="00AD5E33" w:rsidRPr="000425DF" w14:paraId="0782E206" w14:textId="77777777" w:rsidTr="00FF407A">
        <w:trPr>
          <w:trHeight w:val="57"/>
        </w:trPr>
        <w:tc>
          <w:tcPr>
            <w:tcW w:w="2830" w:type="dxa"/>
            <w:vAlign w:val="center"/>
          </w:tcPr>
          <w:p w14:paraId="7790292C" w14:textId="0AE6ED57" w:rsidR="00AD5E33" w:rsidRPr="000425DF" w:rsidRDefault="00AD5E33" w:rsidP="00AD5E33">
            <w:pPr>
              <w:rPr>
                <w:rFonts w:asciiTheme="majorBidi" w:hAnsiTheme="majorBidi" w:cstheme="majorBidi"/>
                <w:i/>
                <w:iCs/>
                <w:sz w:val="24"/>
                <w:szCs w:val="24"/>
                <w:lang w:val="en-GB"/>
              </w:rPr>
            </w:pPr>
            <w:r w:rsidRPr="000425DF">
              <w:rPr>
                <w:rFonts w:asciiTheme="majorBidi" w:hAnsiTheme="majorBidi" w:cstheme="majorBidi"/>
                <w:i/>
                <w:iCs/>
                <w:sz w:val="24"/>
                <w:szCs w:val="24"/>
                <w:lang w:val="en-GB" w:eastAsia="zh-TW"/>
              </w:rPr>
              <w:t>Benefit choice</w:t>
            </w:r>
          </w:p>
        </w:tc>
        <w:tc>
          <w:tcPr>
            <w:tcW w:w="7371" w:type="dxa"/>
            <w:vAlign w:val="center"/>
          </w:tcPr>
          <w:p w14:paraId="582BCA2B" w14:textId="77777777" w:rsidR="00AD5E33" w:rsidRPr="000425DF" w:rsidRDefault="00AD5E33" w:rsidP="00AD5E33">
            <w:pPr>
              <w:rPr>
                <w:rFonts w:asciiTheme="majorBidi" w:hAnsiTheme="majorBidi" w:cstheme="majorBidi"/>
                <w:sz w:val="24"/>
                <w:szCs w:val="24"/>
                <w:lang w:val="en-GB" w:eastAsia="zh-TW"/>
              </w:rPr>
            </w:pPr>
            <w:r w:rsidRPr="000425DF">
              <w:rPr>
                <w:rFonts w:asciiTheme="majorBidi" w:hAnsiTheme="majorBidi" w:cstheme="majorBidi"/>
                <w:sz w:val="24"/>
                <w:szCs w:val="24"/>
                <w:lang w:val="en-GB" w:eastAsia="zh-TW"/>
              </w:rPr>
              <w:t>Societal actors &amp; private actors</w:t>
            </w:r>
          </w:p>
          <w:p w14:paraId="70888367" w14:textId="22F7A9DE" w:rsidR="00AD5E33" w:rsidRPr="000425DF" w:rsidRDefault="00AD5E33" w:rsidP="00AD5E33">
            <w:pPr>
              <w:rPr>
                <w:rFonts w:asciiTheme="majorBidi" w:hAnsiTheme="majorBidi" w:cstheme="majorBidi"/>
                <w:sz w:val="24"/>
                <w:szCs w:val="24"/>
                <w:lang w:val="en-GB"/>
              </w:rPr>
            </w:pPr>
            <w:r w:rsidRPr="000425DF">
              <w:rPr>
                <w:rFonts w:asciiTheme="majorBidi" w:hAnsiTheme="majorBidi" w:cstheme="majorBidi"/>
                <w:sz w:val="24"/>
                <w:szCs w:val="24"/>
                <w:lang w:val="en-GB" w:eastAsia="zh-TW"/>
              </w:rPr>
              <w:t>The beneficiary can choose providers and services. However, there is an incentive to make use of care managers to assist with the choice which normally is employed with a provider. Providers are mainly societal.</w:t>
            </w:r>
          </w:p>
        </w:tc>
        <w:tc>
          <w:tcPr>
            <w:tcW w:w="2835" w:type="dxa"/>
            <w:vAlign w:val="center"/>
          </w:tcPr>
          <w:p w14:paraId="40260187" w14:textId="6E824D59" w:rsidR="00AD5E33" w:rsidRPr="000425DF" w:rsidRDefault="00F63F5D" w:rsidP="00AD5E33">
            <w:pPr>
              <w:rPr>
                <w:rFonts w:asciiTheme="majorBidi" w:hAnsiTheme="majorBidi" w:cstheme="majorBidi"/>
                <w:sz w:val="24"/>
                <w:szCs w:val="24"/>
                <w:lang w:val="en-GB"/>
              </w:rPr>
            </w:pPr>
            <w:r>
              <w:rPr>
                <w:rFonts w:asciiTheme="majorBidi" w:hAnsiTheme="majorBidi" w:cstheme="majorBidi"/>
                <w:sz w:val="24"/>
                <w:szCs w:val="24"/>
                <w:lang w:val="en-GB" w:eastAsia="zh-TW"/>
              </w:rPr>
              <w:t>Campbell &amp; Ikegami, 2003; MHLW, 2016; Ozawa &amp; Nakayama, 2005; Saito, 2014</w:t>
            </w:r>
          </w:p>
        </w:tc>
        <w:tc>
          <w:tcPr>
            <w:tcW w:w="1418" w:type="dxa"/>
            <w:vAlign w:val="center"/>
          </w:tcPr>
          <w:p w14:paraId="0D155C4E" w14:textId="34D865C7" w:rsidR="00AD5E33" w:rsidRPr="000425DF" w:rsidRDefault="00AD5E33" w:rsidP="00AD5E33">
            <w:pPr>
              <w:rPr>
                <w:rFonts w:asciiTheme="majorBidi" w:hAnsiTheme="majorBidi" w:cstheme="majorBidi"/>
                <w:sz w:val="24"/>
                <w:szCs w:val="24"/>
                <w:lang w:val="en-GB"/>
              </w:rPr>
            </w:pPr>
            <w:r w:rsidRPr="000425DF">
              <w:rPr>
                <w:rFonts w:asciiTheme="majorBidi" w:hAnsiTheme="majorBidi" w:cstheme="majorBidi"/>
                <w:sz w:val="24"/>
                <w:szCs w:val="24"/>
                <w:lang w:val="en-GB" w:eastAsia="zh-TW"/>
              </w:rPr>
              <w:t>High</w:t>
            </w:r>
          </w:p>
        </w:tc>
      </w:tr>
      <w:tr w:rsidR="00FF407A" w:rsidRPr="000425DF" w14:paraId="28CCA67B" w14:textId="77777777" w:rsidTr="00FF407A">
        <w:trPr>
          <w:trHeight w:val="57"/>
        </w:trPr>
        <w:tc>
          <w:tcPr>
            <w:tcW w:w="14454" w:type="dxa"/>
            <w:gridSpan w:val="4"/>
            <w:vAlign w:val="center"/>
          </w:tcPr>
          <w:p w14:paraId="635E0402" w14:textId="4B8A5C90" w:rsidR="00FF407A" w:rsidRPr="000425DF" w:rsidRDefault="00FF407A" w:rsidP="00FF407A">
            <w:pPr>
              <w:rPr>
                <w:rFonts w:asciiTheme="majorBidi" w:hAnsiTheme="majorBidi" w:cstheme="majorBidi"/>
                <w:sz w:val="24"/>
                <w:szCs w:val="24"/>
                <w:lang w:val="en-GB"/>
              </w:rPr>
            </w:pPr>
            <w:r w:rsidRPr="000425DF">
              <w:rPr>
                <w:rFonts w:asciiTheme="majorBidi" w:hAnsiTheme="majorBidi" w:cstheme="majorBidi"/>
                <w:b/>
                <w:bCs/>
                <w:sz w:val="24"/>
                <w:szCs w:val="24"/>
                <w:lang w:val="en-GB" w:eastAsia="zh-TW"/>
              </w:rPr>
              <w:t>Luxembourg</w:t>
            </w:r>
          </w:p>
        </w:tc>
      </w:tr>
      <w:tr w:rsidR="00FF407A" w:rsidRPr="000425DF" w14:paraId="3B5B175E" w14:textId="77777777" w:rsidTr="00FF407A">
        <w:trPr>
          <w:trHeight w:val="57"/>
        </w:trPr>
        <w:tc>
          <w:tcPr>
            <w:tcW w:w="2830" w:type="dxa"/>
            <w:vAlign w:val="center"/>
          </w:tcPr>
          <w:p w14:paraId="4E1B89C9" w14:textId="5504A68E" w:rsidR="00FF407A" w:rsidRPr="000425DF" w:rsidRDefault="00FF407A" w:rsidP="00FF407A">
            <w:pPr>
              <w:rPr>
                <w:rFonts w:asciiTheme="majorBidi" w:hAnsiTheme="majorBidi" w:cstheme="majorBidi"/>
                <w:i/>
                <w:iCs/>
                <w:sz w:val="24"/>
                <w:szCs w:val="24"/>
                <w:lang w:val="en-GB"/>
              </w:rPr>
            </w:pPr>
            <w:r w:rsidRPr="000425DF">
              <w:rPr>
                <w:rFonts w:asciiTheme="majorBidi" w:hAnsiTheme="majorBidi" w:cstheme="majorBidi"/>
                <w:i/>
                <w:iCs/>
                <w:sz w:val="24"/>
                <w:szCs w:val="24"/>
                <w:lang w:val="en-GB" w:eastAsia="zh-TW"/>
              </w:rPr>
              <w:lastRenderedPageBreak/>
              <w:t>Eligibility assessment</w:t>
            </w:r>
          </w:p>
        </w:tc>
        <w:tc>
          <w:tcPr>
            <w:tcW w:w="7371" w:type="dxa"/>
            <w:vAlign w:val="center"/>
          </w:tcPr>
          <w:p w14:paraId="2E76812F" w14:textId="77777777" w:rsidR="00FF407A" w:rsidRPr="000425DF" w:rsidRDefault="00FF407A" w:rsidP="00FF407A">
            <w:pPr>
              <w:rPr>
                <w:rFonts w:asciiTheme="majorBidi" w:hAnsiTheme="majorBidi" w:cstheme="majorBidi"/>
                <w:sz w:val="24"/>
                <w:szCs w:val="24"/>
                <w:lang w:val="en-GB" w:eastAsia="zh-TW"/>
              </w:rPr>
            </w:pPr>
            <w:r w:rsidRPr="000425DF">
              <w:rPr>
                <w:rFonts w:asciiTheme="majorBidi" w:hAnsiTheme="majorBidi" w:cstheme="majorBidi"/>
                <w:sz w:val="24"/>
                <w:szCs w:val="24"/>
                <w:lang w:val="en-GB" w:eastAsia="zh-TW"/>
              </w:rPr>
              <w:t>State</w:t>
            </w:r>
          </w:p>
          <w:p w14:paraId="1181BA57" w14:textId="1346BB9F" w:rsidR="00FF407A" w:rsidRPr="000425DF" w:rsidRDefault="00FF407A" w:rsidP="00FF407A">
            <w:pPr>
              <w:rPr>
                <w:rFonts w:asciiTheme="majorBidi" w:hAnsiTheme="majorBidi" w:cstheme="majorBidi"/>
                <w:sz w:val="24"/>
                <w:szCs w:val="24"/>
                <w:lang w:val="en-GB"/>
              </w:rPr>
            </w:pPr>
            <w:r w:rsidRPr="000425DF">
              <w:rPr>
                <w:rFonts w:asciiTheme="majorBidi" w:hAnsiTheme="majorBidi" w:cstheme="majorBidi"/>
                <w:sz w:val="24"/>
                <w:szCs w:val="24"/>
                <w:lang w:val="en-GB" w:eastAsia="zh-TW"/>
              </w:rPr>
              <w:t>Care dependency is assessed by the Cellule d’Evaluation et d’Orientation (CEO), a public administration body under the Ministry of Social Security.</w:t>
            </w:r>
          </w:p>
        </w:tc>
        <w:tc>
          <w:tcPr>
            <w:tcW w:w="2835" w:type="dxa"/>
            <w:vAlign w:val="center"/>
          </w:tcPr>
          <w:p w14:paraId="38D658AC" w14:textId="54586A5A" w:rsidR="00FF407A" w:rsidRPr="00507DB2" w:rsidRDefault="00F63F5D" w:rsidP="00FF407A">
            <w:pPr>
              <w:rPr>
                <w:rFonts w:asciiTheme="majorBidi" w:hAnsiTheme="majorBidi" w:cstheme="majorBidi"/>
                <w:sz w:val="24"/>
                <w:szCs w:val="24"/>
              </w:rPr>
            </w:pPr>
            <w:r w:rsidRPr="00507DB2">
              <w:rPr>
                <w:rFonts w:asciiTheme="majorBidi" w:hAnsiTheme="majorBidi" w:cstheme="majorBidi"/>
                <w:sz w:val="24"/>
                <w:szCs w:val="24"/>
                <w:lang w:eastAsia="zh-TW"/>
              </w:rPr>
              <w:t>Kerschen, 2008; Koster &amp; Ribeiro, 2010; Spruit &amp; Hohmann, 2014</w:t>
            </w:r>
          </w:p>
        </w:tc>
        <w:tc>
          <w:tcPr>
            <w:tcW w:w="1418" w:type="dxa"/>
            <w:vAlign w:val="center"/>
          </w:tcPr>
          <w:p w14:paraId="121499C0" w14:textId="353CDC00" w:rsidR="00FF407A" w:rsidRPr="000425DF" w:rsidRDefault="00FF407A" w:rsidP="00FF407A">
            <w:pPr>
              <w:rPr>
                <w:rFonts w:asciiTheme="majorBidi" w:hAnsiTheme="majorBidi" w:cstheme="majorBidi"/>
                <w:sz w:val="24"/>
                <w:szCs w:val="24"/>
                <w:lang w:val="en-GB"/>
              </w:rPr>
            </w:pPr>
            <w:r w:rsidRPr="000425DF">
              <w:rPr>
                <w:rFonts w:asciiTheme="majorBidi" w:hAnsiTheme="majorBidi" w:cstheme="majorBidi"/>
                <w:sz w:val="24"/>
                <w:szCs w:val="24"/>
                <w:lang w:val="en-US" w:eastAsia="zh-TW"/>
              </w:rPr>
              <w:t>High</w:t>
            </w:r>
          </w:p>
        </w:tc>
      </w:tr>
      <w:tr w:rsidR="00FF407A" w:rsidRPr="000425DF" w14:paraId="15485B08" w14:textId="77777777" w:rsidTr="00FF407A">
        <w:trPr>
          <w:trHeight w:val="57"/>
        </w:trPr>
        <w:tc>
          <w:tcPr>
            <w:tcW w:w="2830" w:type="dxa"/>
            <w:vAlign w:val="center"/>
          </w:tcPr>
          <w:p w14:paraId="309C48F7" w14:textId="7AD0BD4C" w:rsidR="00FF407A" w:rsidRPr="000425DF" w:rsidRDefault="00FF407A" w:rsidP="00FF407A">
            <w:pPr>
              <w:rPr>
                <w:rFonts w:asciiTheme="majorBidi" w:hAnsiTheme="majorBidi" w:cstheme="majorBidi"/>
                <w:i/>
                <w:iCs/>
                <w:sz w:val="24"/>
                <w:szCs w:val="24"/>
                <w:lang w:val="en-GB"/>
              </w:rPr>
            </w:pPr>
            <w:r w:rsidRPr="000425DF">
              <w:rPr>
                <w:rFonts w:asciiTheme="majorBidi" w:hAnsiTheme="majorBidi" w:cstheme="majorBidi"/>
                <w:i/>
                <w:iCs/>
                <w:sz w:val="24"/>
                <w:szCs w:val="24"/>
                <w:lang w:val="en-GB" w:eastAsia="zh-TW"/>
              </w:rPr>
              <w:t>Payment/contributions</w:t>
            </w:r>
          </w:p>
        </w:tc>
        <w:tc>
          <w:tcPr>
            <w:tcW w:w="7371" w:type="dxa"/>
            <w:vAlign w:val="center"/>
          </w:tcPr>
          <w:p w14:paraId="34FB0086" w14:textId="77777777" w:rsidR="00FF407A" w:rsidRPr="000425DF" w:rsidRDefault="00FF407A" w:rsidP="00FF407A">
            <w:pPr>
              <w:rPr>
                <w:rFonts w:asciiTheme="majorBidi" w:hAnsiTheme="majorBidi" w:cstheme="majorBidi"/>
                <w:sz w:val="24"/>
                <w:szCs w:val="24"/>
                <w:lang w:val="en-GB" w:eastAsia="zh-TW"/>
              </w:rPr>
            </w:pPr>
            <w:r w:rsidRPr="000425DF">
              <w:rPr>
                <w:rFonts w:asciiTheme="majorBidi" w:hAnsiTheme="majorBidi" w:cstheme="majorBidi"/>
                <w:sz w:val="24"/>
                <w:szCs w:val="24"/>
                <w:lang w:val="en-GB" w:eastAsia="zh-TW"/>
              </w:rPr>
              <w:t>State</w:t>
            </w:r>
          </w:p>
          <w:p w14:paraId="76A80112" w14:textId="1C4FEE85" w:rsidR="00FF407A" w:rsidRPr="000425DF" w:rsidRDefault="00FF407A" w:rsidP="00FF407A">
            <w:pPr>
              <w:rPr>
                <w:rFonts w:asciiTheme="majorBidi" w:hAnsiTheme="majorBidi" w:cstheme="majorBidi"/>
                <w:sz w:val="24"/>
                <w:szCs w:val="24"/>
                <w:lang w:val="en-GB"/>
              </w:rPr>
            </w:pPr>
            <w:r w:rsidRPr="000425DF">
              <w:rPr>
                <w:rFonts w:asciiTheme="majorBidi" w:hAnsiTheme="majorBidi" w:cstheme="majorBidi"/>
                <w:sz w:val="24"/>
                <w:szCs w:val="24"/>
                <w:lang w:val="en-GB" w:eastAsia="zh-TW"/>
              </w:rPr>
              <w:t>The law defines the shares of the different sources used for financing the AD. The income contribution was set at 1% originally (now 1.4%) by law (Art. 376 Loi AD).</w:t>
            </w:r>
          </w:p>
        </w:tc>
        <w:tc>
          <w:tcPr>
            <w:tcW w:w="2835" w:type="dxa"/>
            <w:vAlign w:val="center"/>
          </w:tcPr>
          <w:p w14:paraId="263E0B79" w14:textId="6E0A4547" w:rsidR="00FF407A" w:rsidRPr="000425DF" w:rsidRDefault="00FF407A" w:rsidP="00FF407A">
            <w:pPr>
              <w:rPr>
                <w:rFonts w:asciiTheme="majorBidi" w:hAnsiTheme="majorBidi" w:cstheme="majorBidi"/>
                <w:sz w:val="24"/>
                <w:szCs w:val="24"/>
                <w:lang w:val="en-GB"/>
              </w:rPr>
            </w:pPr>
            <w:r w:rsidRPr="000425DF">
              <w:rPr>
                <w:rFonts w:asciiTheme="majorBidi" w:hAnsiTheme="majorBidi" w:cstheme="majorBidi"/>
                <w:sz w:val="24"/>
                <w:szCs w:val="24"/>
                <w:lang w:val="en-GB" w:eastAsia="zh-TW"/>
              </w:rPr>
              <w:t xml:space="preserve">Loi AD; </w:t>
            </w:r>
            <w:r w:rsidR="00F63F5D">
              <w:rPr>
                <w:rFonts w:asciiTheme="majorBidi" w:hAnsiTheme="majorBidi" w:cstheme="majorBidi"/>
                <w:sz w:val="24"/>
                <w:szCs w:val="24"/>
                <w:lang w:val="en-GB" w:eastAsia="zh-TW"/>
              </w:rPr>
              <w:t>Luxembourg Presidency, 2005</w:t>
            </w:r>
          </w:p>
        </w:tc>
        <w:tc>
          <w:tcPr>
            <w:tcW w:w="1418" w:type="dxa"/>
            <w:vAlign w:val="center"/>
          </w:tcPr>
          <w:p w14:paraId="354AE538" w14:textId="669F890E" w:rsidR="00FF407A" w:rsidRPr="000425DF" w:rsidRDefault="00FF407A" w:rsidP="00FF407A">
            <w:pPr>
              <w:rPr>
                <w:rFonts w:asciiTheme="majorBidi" w:hAnsiTheme="majorBidi" w:cstheme="majorBidi"/>
                <w:sz w:val="24"/>
                <w:szCs w:val="24"/>
                <w:lang w:val="en-GB"/>
              </w:rPr>
            </w:pPr>
            <w:r w:rsidRPr="000425DF">
              <w:rPr>
                <w:rFonts w:asciiTheme="majorBidi" w:hAnsiTheme="majorBidi" w:cstheme="majorBidi"/>
                <w:sz w:val="24"/>
                <w:szCs w:val="24"/>
                <w:lang w:val="en-GB" w:eastAsia="zh-TW"/>
              </w:rPr>
              <w:t>High</w:t>
            </w:r>
          </w:p>
        </w:tc>
      </w:tr>
      <w:tr w:rsidR="00FF407A" w:rsidRPr="000425DF" w14:paraId="308F19AF" w14:textId="77777777" w:rsidTr="00FF407A">
        <w:trPr>
          <w:trHeight w:val="57"/>
        </w:trPr>
        <w:tc>
          <w:tcPr>
            <w:tcW w:w="2830" w:type="dxa"/>
            <w:vAlign w:val="center"/>
          </w:tcPr>
          <w:p w14:paraId="13D8F28A" w14:textId="1159D1DA" w:rsidR="00FF407A" w:rsidRPr="000425DF" w:rsidRDefault="00FF407A" w:rsidP="00FF407A">
            <w:pPr>
              <w:rPr>
                <w:rFonts w:asciiTheme="majorBidi" w:hAnsiTheme="majorBidi" w:cstheme="majorBidi"/>
                <w:i/>
                <w:iCs/>
                <w:sz w:val="24"/>
                <w:szCs w:val="24"/>
                <w:lang w:val="en-GB"/>
              </w:rPr>
            </w:pPr>
            <w:r w:rsidRPr="000425DF">
              <w:rPr>
                <w:rFonts w:asciiTheme="majorBidi" w:hAnsiTheme="majorBidi" w:cstheme="majorBidi"/>
                <w:i/>
                <w:iCs/>
                <w:sz w:val="24"/>
                <w:szCs w:val="24"/>
                <w:lang w:val="en-GB" w:eastAsia="zh-TW"/>
              </w:rPr>
              <w:t>Provider access to system</w:t>
            </w:r>
          </w:p>
        </w:tc>
        <w:tc>
          <w:tcPr>
            <w:tcW w:w="7371" w:type="dxa"/>
            <w:vAlign w:val="center"/>
          </w:tcPr>
          <w:p w14:paraId="3DD46406" w14:textId="77777777" w:rsidR="00FF407A" w:rsidRPr="000425DF" w:rsidRDefault="00FF407A" w:rsidP="00FF407A">
            <w:pPr>
              <w:rPr>
                <w:rFonts w:asciiTheme="majorBidi" w:hAnsiTheme="majorBidi" w:cstheme="majorBidi"/>
                <w:sz w:val="24"/>
                <w:szCs w:val="24"/>
                <w:lang w:val="en-GB" w:eastAsia="zh-TW"/>
              </w:rPr>
            </w:pPr>
            <w:r w:rsidRPr="000425DF">
              <w:rPr>
                <w:rFonts w:asciiTheme="majorBidi" w:hAnsiTheme="majorBidi" w:cstheme="majorBidi"/>
                <w:sz w:val="24"/>
                <w:szCs w:val="24"/>
                <w:lang w:val="en-GB" w:eastAsia="zh-TW"/>
              </w:rPr>
              <w:t>State</w:t>
            </w:r>
          </w:p>
          <w:p w14:paraId="04DD4731" w14:textId="180E0D21" w:rsidR="00FF407A" w:rsidRPr="000425DF" w:rsidRDefault="00FF407A" w:rsidP="00FF407A">
            <w:pPr>
              <w:rPr>
                <w:rFonts w:asciiTheme="majorBidi" w:hAnsiTheme="majorBidi" w:cstheme="majorBidi"/>
                <w:sz w:val="24"/>
                <w:szCs w:val="24"/>
                <w:lang w:val="en-GB"/>
              </w:rPr>
            </w:pPr>
            <w:r w:rsidRPr="000425DF">
              <w:rPr>
                <w:rFonts w:asciiTheme="majorBidi" w:hAnsiTheme="majorBidi" w:cstheme="majorBidi"/>
                <w:sz w:val="24"/>
                <w:szCs w:val="24"/>
                <w:lang w:val="en-GB" w:eastAsia="zh-TW"/>
              </w:rPr>
              <w:t>Ministries (of Health/Social Affairs/Family Affairs) are responsible for licencing/approving formal LTC providers. Informal care givers are also examined (availability and training needs). There seems to be no strict regulation controlling e.g. numbers of providers strongly.</w:t>
            </w:r>
          </w:p>
        </w:tc>
        <w:tc>
          <w:tcPr>
            <w:tcW w:w="2835" w:type="dxa"/>
            <w:vAlign w:val="center"/>
          </w:tcPr>
          <w:p w14:paraId="3800D8FA" w14:textId="7D901AD3" w:rsidR="00FF407A" w:rsidRPr="000425DF" w:rsidRDefault="00FF407A" w:rsidP="00FF407A">
            <w:pPr>
              <w:rPr>
                <w:rFonts w:asciiTheme="majorBidi" w:hAnsiTheme="majorBidi" w:cstheme="majorBidi"/>
                <w:sz w:val="24"/>
                <w:szCs w:val="24"/>
                <w:lang w:val="en-GB"/>
              </w:rPr>
            </w:pPr>
            <w:r w:rsidRPr="000425DF">
              <w:rPr>
                <w:rFonts w:asciiTheme="majorBidi" w:hAnsiTheme="majorBidi" w:cstheme="majorBidi"/>
                <w:sz w:val="24"/>
                <w:szCs w:val="24"/>
                <w:lang w:val="en-GB" w:eastAsia="zh-TW"/>
              </w:rPr>
              <w:t xml:space="preserve">Loi AD; </w:t>
            </w:r>
            <w:r w:rsidR="00F63F5D">
              <w:rPr>
                <w:rFonts w:asciiTheme="majorBidi" w:hAnsiTheme="majorBidi" w:cstheme="majorBidi"/>
                <w:sz w:val="24"/>
                <w:szCs w:val="24"/>
                <w:lang w:val="en-GB" w:eastAsia="zh-TW"/>
              </w:rPr>
              <w:t>MISSOC, 2009; OECD, 2011c; Pacolet &amp; Wispelaere, 2018</w:t>
            </w:r>
          </w:p>
        </w:tc>
        <w:tc>
          <w:tcPr>
            <w:tcW w:w="1418" w:type="dxa"/>
            <w:vAlign w:val="center"/>
          </w:tcPr>
          <w:p w14:paraId="1390AED0" w14:textId="07C40F43" w:rsidR="00FF407A" w:rsidRPr="000425DF" w:rsidRDefault="00FF407A" w:rsidP="00FF407A">
            <w:pPr>
              <w:rPr>
                <w:rFonts w:asciiTheme="majorBidi" w:hAnsiTheme="majorBidi" w:cstheme="majorBidi"/>
                <w:sz w:val="24"/>
                <w:szCs w:val="24"/>
                <w:lang w:val="en-GB"/>
              </w:rPr>
            </w:pPr>
            <w:r w:rsidRPr="000425DF">
              <w:rPr>
                <w:rFonts w:asciiTheme="majorBidi" w:hAnsiTheme="majorBidi" w:cstheme="majorBidi"/>
                <w:sz w:val="24"/>
                <w:szCs w:val="24"/>
                <w:lang w:val="en-GB"/>
              </w:rPr>
              <w:t>Medium</w:t>
            </w:r>
          </w:p>
        </w:tc>
      </w:tr>
      <w:tr w:rsidR="00FF407A" w:rsidRPr="000425DF" w14:paraId="331C655B" w14:textId="77777777" w:rsidTr="00FF407A">
        <w:trPr>
          <w:trHeight w:val="57"/>
        </w:trPr>
        <w:tc>
          <w:tcPr>
            <w:tcW w:w="2830" w:type="dxa"/>
            <w:vAlign w:val="center"/>
          </w:tcPr>
          <w:p w14:paraId="7CD92A48" w14:textId="078A4114" w:rsidR="00FF407A" w:rsidRPr="000425DF" w:rsidRDefault="00FF407A" w:rsidP="00FF407A">
            <w:pPr>
              <w:rPr>
                <w:rFonts w:asciiTheme="majorBidi" w:hAnsiTheme="majorBidi" w:cstheme="majorBidi"/>
                <w:i/>
                <w:iCs/>
                <w:sz w:val="24"/>
                <w:szCs w:val="24"/>
                <w:lang w:val="en-GB"/>
              </w:rPr>
            </w:pPr>
            <w:r w:rsidRPr="000425DF">
              <w:rPr>
                <w:rFonts w:asciiTheme="majorBidi" w:hAnsiTheme="majorBidi" w:cstheme="majorBidi"/>
                <w:i/>
                <w:iCs/>
                <w:sz w:val="24"/>
                <w:szCs w:val="24"/>
                <w:lang w:val="en-GB"/>
              </w:rPr>
              <w:t>Remuneration/fees</w:t>
            </w:r>
          </w:p>
        </w:tc>
        <w:tc>
          <w:tcPr>
            <w:tcW w:w="7371" w:type="dxa"/>
            <w:vAlign w:val="center"/>
          </w:tcPr>
          <w:p w14:paraId="5DEF5788" w14:textId="77777777" w:rsidR="00FF407A" w:rsidRPr="000425DF" w:rsidRDefault="00FF407A" w:rsidP="00FF407A">
            <w:pPr>
              <w:rPr>
                <w:rFonts w:asciiTheme="majorBidi" w:hAnsiTheme="majorBidi" w:cstheme="majorBidi"/>
                <w:sz w:val="24"/>
                <w:szCs w:val="24"/>
                <w:lang w:val="en-GB"/>
              </w:rPr>
            </w:pPr>
            <w:r w:rsidRPr="000425DF">
              <w:rPr>
                <w:rFonts w:asciiTheme="majorBidi" w:hAnsiTheme="majorBidi" w:cstheme="majorBidi"/>
                <w:sz w:val="24"/>
                <w:szCs w:val="24"/>
                <w:lang w:val="en-GB"/>
              </w:rPr>
              <w:t>State &amp; societal actors</w:t>
            </w:r>
          </w:p>
          <w:p w14:paraId="323818F3" w14:textId="41FDF03F" w:rsidR="00FF407A" w:rsidRPr="000425DF" w:rsidRDefault="00FF407A" w:rsidP="00FF407A">
            <w:pPr>
              <w:rPr>
                <w:rFonts w:asciiTheme="majorBidi" w:hAnsiTheme="majorBidi" w:cstheme="majorBidi"/>
                <w:sz w:val="24"/>
                <w:szCs w:val="24"/>
                <w:lang w:val="en-GB"/>
              </w:rPr>
            </w:pPr>
            <w:r w:rsidRPr="000425DF">
              <w:rPr>
                <w:rFonts w:asciiTheme="majorBidi" w:hAnsiTheme="majorBidi" w:cstheme="majorBidi"/>
                <w:sz w:val="24"/>
                <w:szCs w:val="24"/>
                <w:lang w:val="en-GB"/>
              </w:rPr>
              <w:t>Remuneration of formal providers (majority of care) are negotiated between the Health Insurance Fund and provider associations, i.e. societal actors. The level of cash benefits is defined by law, i.e. set by the state.</w:t>
            </w:r>
          </w:p>
        </w:tc>
        <w:tc>
          <w:tcPr>
            <w:tcW w:w="2835" w:type="dxa"/>
            <w:vAlign w:val="center"/>
          </w:tcPr>
          <w:p w14:paraId="2D21E172" w14:textId="4D6F3526" w:rsidR="00FF407A" w:rsidRPr="000425DF" w:rsidRDefault="00FF407A" w:rsidP="00FF407A">
            <w:pPr>
              <w:rPr>
                <w:rFonts w:asciiTheme="majorBidi" w:hAnsiTheme="majorBidi" w:cstheme="majorBidi"/>
                <w:sz w:val="24"/>
                <w:szCs w:val="24"/>
                <w:lang w:val="en-GB"/>
              </w:rPr>
            </w:pPr>
            <w:r w:rsidRPr="000425DF">
              <w:rPr>
                <w:rFonts w:asciiTheme="majorBidi" w:hAnsiTheme="majorBidi" w:cstheme="majorBidi"/>
                <w:sz w:val="24"/>
                <w:szCs w:val="24"/>
                <w:lang w:val="en-GB"/>
              </w:rPr>
              <w:t xml:space="preserve">Loi AD; </w:t>
            </w:r>
            <w:r w:rsidR="00F63F5D">
              <w:rPr>
                <w:rFonts w:asciiTheme="majorBidi" w:hAnsiTheme="majorBidi" w:cstheme="majorBidi"/>
                <w:sz w:val="24"/>
                <w:szCs w:val="24"/>
                <w:lang w:val="en-GB"/>
              </w:rPr>
              <w:t>Kerschen, 2008; MISSOC, 2013 [2002]; OECD, 2011c; Pacolet &amp; Wispelaere, 2018; Spruit &amp; Hohmann, 2014</w:t>
            </w:r>
          </w:p>
        </w:tc>
        <w:tc>
          <w:tcPr>
            <w:tcW w:w="1418" w:type="dxa"/>
            <w:vAlign w:val="center"/>
          </w:tcPr>
          <w:p w14:paraId="07D28A9D" w14:textId="6A2F498A" w:rsidR="00FF407A" w:rsidRPr="000425DF" w:rsidRDefault="00FF407A" w:rsidP="00FF407A">
            <w:pPr>
              <w:rPr>
                <w:rFonts w:asciiTheme="majorBidi" w:hAnsiTheme="majorBidi" w:cstheme="majorBidi"/>
                <w:sz w:val="24"/>
                <w:szCs w:val="24"/>
                <w:lang w:val="en-GB"/>
              </w:rPr>
            </w:pPr>
            <w:r w:rsidRPr="000425DF">
              <w:rPr>
                <w:rFonts w:asciiTheme="majorBidi" w:hAnsiTheme="majorBidi" w:cstheme="majorBidi"/>
                <w:sz w:val="24"/>
                <w:szCs w:val="24"/>
                <w:lang w:val="en-GB"/>
              </w:rPr>
              <w:t>High</w:t>
            </w:r>
          </w:p>
        </w:tc>
      </w:tr>
      <w:tr w:rsidR="00FF407A" w:rsidRPr="000425DF" w14:paraId="05BAA53F" w14:textId="77777777" w:rsidTr="00FF407A">
        <w:trPr>
          <w:trHeight w:val="57"/>
        </w:trPr>
        <w:tc>
          <w:tcPr>
            <w:tcW w:w="2830" w:type="dxa"/>
            <w:vAlign w:val="center"/>
          </w:tcPr>
          <w:p w14:paraId="63691000" w14:textId="33253030" w:rsidR="00FF407A" w:rsidRPr="000425DF" w:rsidRDefault="00FF407A" w:rsidP="00FF407A">
            <w:pPr>
              <w:rPr>
                <w:rFonts w:asciiTheme="majorBidi" w:hAnsiTheme="majorBidi" w:cstheme="majorBidi"/>
                <w:i/>
                <w:iCs/>
                <w:sz w:val="24"/>
                <w:szCs w:val="24"/>
                <w:lang w:val="en-GB"/>
              </w:rPr>
            </w:pPr>
            <w:r w:rsidRPr="000425DF">
              <w:rPr>
                <w:rFonts w:asciiTheme="majorBidi" w:hAnsiTheme="majorBidi" w:cstheme="majorBidi"/>
                <w:i/>
                <w:iCs/>
                <w:sz w:val="24"/>
                <w:szCs w:val="24"/>
                <w:lang w:val="en-GB"/>
              </w:rPr>
              <w:t>Provider choice</w:t>
            </w:r>
          </w:p>
        </w:tc>
        <w:tc>
          <w:tcPr>
            <w:tcW w:w="7371" w:type="dxa"/>
            <w:vAlign w:val="center"/>
          </w:tcPr>
          <w:p w14:paraId="34B68159" w14:textId="77777777" w:rsidR="00FF407A" w:rsidRPr="000425DF" w:rsidRDefault="00FF407A" w:rsidP="00FF407A">
            <w:pPr>
              <w:rPr>
                <w:rFonts w:asciiTheme="majorBidi" w:hAnsiTheme="majorBidi" w:cstheme="majorBidi"/>
                <w:sz w:val="24"/>
                <w:szCs w:val="24"/>
                <w:lang w:val="en-GB"/>
              </w:rPr>
            </w:pPr>
            <w:r w:rsidRPr="000425DF">
              <w:rPr>
                <w:rFonts w:asciiTheme="majorBidi" w:hAnsiTheme="majorBidi" w:cstheme="majorBidi"/>
                <w:sz w:val="24"/>
                <w:szCs w:val="24"/>
                <w:lang w:val="en-GB"/>
              </w:rPr>
              <w:t>Private actors</w:t>
            </w:r>
          </w:p>
          <w:p w14:paraId="5097B5D4" w14:textId="588CF9FD" w:rsidR="00FF407A" w:rsidRPr="000425DF" w:rsidRDefault="00FF407A" w:rsidP="00FF407A">
            <w:pPr>
              <w:rPr>
                <w:rFonts w:asciiTheme="majorBidi" w:hAnsiTheme="majorBidi" w:cstheme="majorBidi"/>
                <w:sz w:val="24"/>
                <w:szCs w:val="24"/>
                <w:lang w:val="en-GB"/>
              </w:rPr>
            </w:pPr>
            <w:r w:rsidRPr="000425DF">
              <w:rPr>
                <w:rFonts w:asciiTheme="majorBidi" w:hAnsiTheme="majorBidi" w:cstheme="majorBidi"/>
                <w:sz w:val="24"/>
                <w:szCs w:val="24"/>
                <w:lang w:val="en-GB"/>
              </w:rPr>
              <w:t>Both formal and informal providers can be chosen by the care recipient.</w:t>
            </w:r>
          </w:p>
        </w:tc>
        <w:tc>
          <w:tcPr>
            <w:tcW w:w="2835" w:type="dxa"/>
            <w:vAlign w:val="center"/>
          </w:tcPr>
          <w:p w14:paraId="67275A15" w14:textId="3A9DA977" w:rsidR="00FF407A" w:rsidRPr="000425DF" w:rsidRDefault="00F63F5D" w:rsidP="00FF407A">
            <w:pPr>
              <w:rPr>
                <w:rFonts w:asciiTheme="majorBidi" w:hAnsiTheme="majorBidi" w:cstheme="majorBidi"/>
                <w:sz w:val="24"/>
                <w:szCs w:val="24"/>
                <w:lang w:val="en-GB"/>
              </w:rPr>
            </w:pPr>
            <w:r>
              <w:rPr>
                <w:rFonts w:asciiTheme="majorBidi" w:hAnsiTheme="majorBidi" w:cstheme="majorBidi"/>
                <w:sz w:val="24"/>
                <w:szCs w:val="24"/>
                <w:lang w:val="en-GB"/>
              </w:rPr>
              <w:t>MISSOC, 2009; OECD, 2005; Spruit &amp; Hohmann, 2014</w:t>
            </w:r>
          </w:p>
        </w:tc>
        <w:tc>
          <w:tcPr>
            <w:tcW w:w="1418" w:type="dxa"/>
            <w:vAlign w:val="center"/>
          </w:tcPr>
          <w:p w14:paraId="6BB7D030" w14:textId="36E5E9B4" w:rsidR="00FF407A" w:rsidRPr="000425DF" w:rsidRDefault="00FF407A" w:rsidP="00FF407A">
            <w:pPr>
              <w:rPr>
                <w:rFonts w:asciiTheme="majorBidi" w:hAnsiTheme="majorBidi" w:cstheme="majorBidi"/>
                <w:sz w:val="24"/>
                <w:szCs w:val="24"/>
                <w:lang w:val="en-GB"/>
              </w:rPr>
            </w:pPr>
            <w:r w:rsidRPr="000425DF">
              <w:rPr>
                <w:rFonts w:asciiTheme="majorBidi" w:hAnsiTheme="majorBidi" w:cstheme="majorBidi"/>
                <w:sz w:val="24"/>
                <w:szCs w:val="24"/>
                <w:lang w:val="en-GB"/>
              </w:rPr>
              <w:t>High</w:t>
            </w:r>
          </w:p>
        </w:tc>
      </w:tr>
      <w:tr w:rsidR="00FF407A" w:rsidRPr="000425DF" w14:paraId="63889C4A" w14:textId="77777777" w:rsidTr="00FF407A">
        <w:trPr>
          <w:trHeight w:val="57"/>
        </w:trPr>
        <w:tc>
          <w:tcPr>
            <w:tcW w:w="2830" w:type="dxa"/>
            <w:vAlign w:val="center"/>
          </w:tcPr>
          <w:p w14:paraId="64621343" w14:textId="2D4360DA" w:rsidR="00FF407A" w:rsidRPr="000425DF" w:rsidRDefault="00FF407A" w:rsidP="00FF407A">
            <w:pPr>
              <w:rPr>
                <w:rFonts w:asciiTheme="majorBidi" w:hAnsiTheme="majorBidi" w:cstheme="majorBidi"/>
                <w:i/>
                <w:iCs/>
                <w:sz w:val="24"/>
                <w:szCs w:val="24"/>
                <w:lang w:val="en-GB"/>
              </w:rPr>
            </w:pPr>
            <w:r w:rsidRPr="000425DF">
              <w:rPr>
                <w:rFonts w:asciiTheme="majorBidi" w:hAnsiTheme="majorBidi" w:cstheme="majorBidi"/>
                <w:i/>
                <w:iCs/>
                <w:sz w:val="24"/>
                <w:szCs w:val="24"/>
                <w:lang w:val="en-GB"/>
              </w:rPr>
              <w:t>Benefit choice</w:t>
            </w:r>
          </w:p>
        </w:tc>
        <w:tc>
          <w:tcPr>
            <w:tcW w:w="7371" w:type="dxa"/>
            <w:vAlign w:val="center"/>
          </w:tcPr>
          <w:p w14:paraId="0CE76975" w14:textId="77777777" w:rsidR="00FF407A" w:rsidRPr="000425DF" w:rsidRDefault="00FF407A" w:rsidP="00FF407A">
            <w:pPr>
              <w:rPr>
                <w:rFonts w:asciiTheme="majorBidi" w:hAnsiTheme="majorBidi" w:cstheme="majorBidi"/>
                <w:sz w:val="24"/>
                <w:szCs w:val="24"/>
                <w:lang w:val="en-GB"/>
              </w:rPr>
            </w:pPr>
            <w:r w:rsidRPr="000425DF">
              <w:rPr>
                <w:rFonts w:asciiTheme="majorBidi" w:hAnsiTheme="majorBidi" w:cstheme="majorBidi"/>
                <w:sz w:val="24"/>
                <w:szCs w:val="24"/>
                <w:lang w:val="en-GB"/>
              </w:rPr>
              <w:t>State &amp; private actors</w:t>
            </w:r>
          </w:p>
          <w:p w14:paraId="2189E615" w14:textId="24C57450" w:rsidR="00FF407A" w:rsidRPr="000425DF" w:rsidRDefault="00FF407A" w:rsidP="00FF407A">
            <w:pPr>
              <w:rPr>
                <w:rFonts w:asciiTheme="majorBidi" w:hAnsiTheme="majorBidi" w:cstheme="majorBidi"/>
                <w:sz w:val="24"/>
                <w:szCs w:val="24"/>
                <w:lang w:val="en-GB"/>
              </w:rPr>
            </w:pPr>
            <w:r w:rsidRPr="000425DF">
              <w:rPr>
                <w:rFonts w:asciiTheme="majorBidi" w:hAnsiTheme="majorBidi" w:cstheme="majorBidi"/>
                <w:sz w:val="24"/>
                <w:szCs w:val="24"/>
                <w:lang w:val="en-GB"/>
              </w:rPr>
              <w:t>Care recipients can in principle choose which kinds of benefits they want (residential care, home care, cash benefits, combination). However, there is a threshold of care hours which can be taken up in the form of cash benefits defined in the law, over this threshold only services are granted. Therefore, there is also some state regulation involved.</w:t>
            </w:r>
          </w:p>
        </w:tc>
        <w:tc>
          <w:tcPr>
            <w:tcW w:w="2835" w:type="dxa"/>
            <w:vAlign w:val="center"/>
          </w:tcPr>
          <w:p w14:paraId="424C66F4" w14:textId="661B267E" w:rsidR="00FF407A" w:rsidRPr="000425DF" w:rsidRDefault="00F63F5D" w:rsidP="00FF407A">
            <w:pPr>
              <w:rPr>
                <w:rFonts w:asciiTheme="majorBidi" w:hAnsiTheme="majorBidi" w:cstheme="majorBidi"/>
                <w:sz w:val="24"/>
                <w:szCs w:val="24"/>
                <w:lang w:val="en-GB"/>
              </w:rPr>
            </w:pPr>
            <w:r>
              <w:rPr>
                <w:rFonts w:asciiTheme="majorBidi" w:hAnsiTheme="majorBidi" w:cstheme="majorBidi"/>
                <w:sz w:val="24"/>
                <w:szCs w:val="24"/>
                <w:lang w:val="en-US"/>
              </w:rPr>
              <w:t>Kerschen, 2008; Luxembourg Presidency, 2005; MISSOC, 2009</w:t>
            </w:r>
          </w:p>
        </w:tc>
        <w:tc>
          <w:tcPr>
            <w:tcW w:w="1418" w:type="dxa"/>
            <w:vAlign w:val="center"/>
          </w:tcPr>
          <w:p w14:paraId="081688BE" w14:textId="1D5ADD3C" w:rsidR="00FF407A" w:rsidRPr="000425DF" w:rsidRDefault="00FF407A" w:rsidP="00FF407A">
            <w:pPr>
              <w:rPr>
                <w:rFonts w:asciiTheme="majorBidi" w:hAnsiTheme="majorBidi" w:cstheme="majorBidi"/>
                <w:sz w:val="24"/>
                <w:szCs w:val="24"/>
                <w:lang w:val="en-GB"/>
              </w:rPr>
            </w:pPr>
            <w:r w:rsidRPr="000425DF">
              <w:rPr>
                <w:rFonts w:asciiTheme="majorBidi" w:hAnsiTheme="majorBidi" w:cstheme="majorBidi"/>
                <w:sz w:val="24"/>
                <w:szCs w:val="24"/>
                <w:lang w:val="en-GB"/>
              </w:rPr>
              <w:t>High</w:t>
            </w:r>
          </w:p>
        </w:tc>
      </w:tr>
      <w:tr w:rsidR="00FF407A" w:rsidRPr="000425DF" w14:paraId="28669DC7" w14:textId="77777777" w:rsidTr="00FF407A">
        <w:trPr>
          <w:trHeight w:val="57"/>
        </w:trPr>
        <w:tc>
          <w:tcPr>
            <w:tcW w:w="14454" w:type="dxa"/>
            <w:gridSpan w:val="4"/>
            <w:vAlign w:val="center"/>
          </w:tcPr>
          <w:p w14:paraId="57EC8992" w14:textId="7BEEB427" w:rsidR="00FF407A" w:rsidRPr="000425DF" w:rsidRDefault="00FF407A" w:rsidP="00FF407A">
            <w:pPr>
              <w:rPr>
                <w:rFonts w:asciiTheme="majorBidi" w:hAnsiTheme="majorBidi" w:cstheme="majorBidi"/>
                <w:sz w:val="24"/>
                <w:szCs w:val="24"/>
                <w:lang w:val="en-GB"/>
              </w:rPr>
            </w:pPr>
            <w:r w:rsidRPr="000425DF">
              <w:rPr>
                <w:rFonts w:asciiTheme="majorBidi" w:hAnsiTheme="majorBidi" w:cstheme="majorBidi"/>
                <w:b/>
                <w:bCs/>
                <w:sz w:val="24"/>
                <w:szCs w:val="24"/>
                <w:lang w:val="en-GB"/>
              </w:rPr>
              <w:t>Netherlands</w:t>
            </w:r>
          </w:p>
        </w:tc>
      </w:tr>
      <w:tr w:rsidR="00FF407A" w:rsidRPr="000425DF" w14:paraId="6D79DBF9" w14:textId="77777777" w:rsidTr="00FF407A">
        <w:trPr>
          <w:trHeight w:val="57"/>
        </w:trPr>
        <w:tc>
          <w:tcPr>
            <w:tcW w:w="2830" w:type="dxa"/>
            <w:vAlign w:val="center"/>
          </w:tcPr>
          <w:p w14:paraId="03BF98D0" w14:textId="1AB937E6" w:rsidR="00FF407A" w:rsidRPr="000425DF" w:rsidRDefault="00FF407A" w:rsidP="00FF407A">
            <w:pPr>
              <w:rPr>
                <w:rFonts w:asciiTheme="majorBidi" w:hAnsiTheme="majorBidi" w:cstheme="majorBidi"/>
                <w:i/>
                <w:iCs/>
                <w:sz w:val="24"/>
                <w:szCs w:val="24"/>
                <w:lang w:val="en-GB"/>
              </w:rPr>
            </w:pPr>
            <w:r w:rsidRPr="000425DF">
              <w:rPr>
                <w:rFonts w:asciiTheme="majorBidi" w:hAnsiTheme="majorBidi" w:cstheme="majorBidi"/>
                <w:i/>
                <w:iCs/>
                <w:sz w:val="24"/>
                <w:szCs w:val="24"/>
                <w:lang w:val="en-GB"/>
              </w:rPr>
              <w:t>Eligibility assessment (intro</w:t>
            </w:r>
            <w:r>
              <w:rPr>
                <w:rFonts w:asciiTheme="majorBidi" w:hAnsiTheme="majorBidi" w:cstheme="majorBidi"/>
                <w:i/>
                <w:iCs/>
                <w:sz w:val="24"/>
                <w:szCs w:val="24"/>
                <w:lang w:val="en-GB"/>
              </w:rPr>
              <w:t>duction)</w:t>
            </w:r>
          </w:p>
        </w:tc>
        <w:tc>
          <w:tcPr>
            <w:tcW w:w="7371" w:type="dxa"/>
            <w:vAlign w:val="center"/>
          </w:tcPr>
          <w:p w14:paraId="6F3DB0B3" w14:textId="77777777" w:rsidR="00FF407A" w:rsidRPr="000425DF" w:rsidRDefault="00FF407A" w:rsidP="00FF407A">
            <w:pPr>
              <w:rPr>
                <w:rFonts w:asciiTheme="majorBidi" w:hAnsiTheme="majorBidi" w:cstheme="majorBidi"/>
                <w:sz w:val="24"/>
                <w:szCs w:val="24"/>
                <w:lang w:val="en-GB"/>
              </w:rPr>
            </w:pPr>
            <w:r w:rsidRPr="000425DF">
              <w:rPr>
                <w:rFonts w:asciiTheme="majorBidi" w:hAnsiTheme="majorBidi" w:cstheme="majorBidi"/>
                <w:sz w:val="24"/>
                <w:szCs w:val="24"/>
                <w:lang w:val="en-GB"/>
              </w:rPr>
              <w:t>Societal actors &amp; private actors</w:t>
            </w:r>
          </w:p>
          <w:p w14:paraId="68561BE8" w14:textId="2CB0A722" w:rsidR="00FF407A" w:rsidRPr="000425DF" w:rsidRDefault="00FF407A" w:rsidP="00FF407A">
            <w:pPr>
              <w:rPr>
                <w:rFonts w:asciiTheme="majorBidi" w:hAnsiTheme="majorBidi" w:cstheme="majorBidi"/>
                <w:sz w:val="24"/>
                <w:szCs w:val="24"/>
                <w:lang w:val="en-GB"/>
              </w:rPr>
            </w:pPr>
            <w:r w:rsidRPr="000425DF">
              <w:rPr>
                <w:rFonts w:asciiTheme="majorBidi" w:hAnsiTheme="majorBidi" w:cstheme="majorBidi"/>
                <w:sz w:val="24"/>
                <w:szCs w:val="24"/>
                <w:lang w:val="en-GB"/>
              </w:rPr>
              <w:t xml:space="preserve">Until the end of the 1980s, dependency assessment of (potential) care recipients lay with general practitioners (GPs). The majority of GPs operate as private entrepreneurs (Böhm et al. 2012; Schäfer et al. 2010). </w:t>
            </w:r>
            <w:r w:rsidRPr="000425DF">
              <w:rPr>
                <w:rFonts w:asciiTheme="majorBidi" w:hAnsiTheme="majorBidi" w:cstheme="majorBidi"/>
                <w:sz w:val="24"/>
                <w:szCs w:val="24"/>
                <w:lang w:val="en-GB"/>
              </w:rPr>
              <w:lastRenderedPageBreak/>
              <w:t>Formally, eligibility had to be approved by the health insurance funds as the main administrative body.</w:t>
            </w:r>
          </w:p>
        </w:tc>
        <w:tc>
          <w:tcPr>
            <w:tcW w:w="2835" w:type="dxa"/>
            <w:vAlign w:val="center"/>
          </w:tcPr>
          <w:p w14:paraId="4A7983E6" w14:textId="0825036E" w:rsidR="00FF407A" w:rsidRPr="00507DB2" w:rsidRDefault="00F63F5D" w:rsidP="00FF407A">
            <w:pPr>
              <w:rPr>
                <w:rFonts w:asciiTheme="majorBidi" w:hAnsiTheme="majorBidi" w:cstheme="majorBidi"/>
                <w:sz w:val="24"/>
                <w:szCs w:val="24"/>
              </w:rPr>
            </w:pPr>
            <w:r w:rsidRPr="00507DB2">
              <w:rPr>
                <w:rFonts w:asciiTheme="majorBidi" w:hAnsiTheme="majorBidi" w:cstheme="majorBidi"/>
                <w:sz w:val="24"/>
                <w:szCs w:val="24"/>
              </w:rPr>
              <w:lastRenderedPageBreak/>
              <w:t xml:space="preserve">Böhm, Schmid, Götze, Landwehr, &amp; Rothgang, 2012; Poske, 1985; </w:t>
            </w:r>
            <w:r w:rsidRPr="00507DB2">
              <w:rPr>
                <w:rFonts w:asciiTheme="majorBidi" w:hAnsiTheme="majorBidi" w:cstheme="majorBidi"/>
                <w:sz w:val="24"/>
                <w:szCs w:val="24"/>
              </w:rPr>
              <w:lastRenderedPageBreak/>
              <w:t>Schäfer et al., 2010; Winters, 1996, 1999</w:t>
            </w:r>
          </w:p>
        </w:tc>
        <w:tc>
          <w:tcPr>
            <w:tcW w:w="1418" w:type="dxa"/>
            <w:vAlign w:val="center"/>
          </w:tcPr>
          <w:p w14:paraId="32C5E89F" w14:textId="60292A34" w:rsidR="00FF407A" w:rsidRPr="000425DF" w:rsidRDefault="00FF407A" w:rsidP="00FF407A">
            <w:pPr>
              <w:rPr>
                <w:rFonts w:asciiTheme="majorBidi" w:hAnsiTheme="majorBidi" w:cstheme="majorBidi"/>
                <w:sz w:val="24"/>
                <w:szCs w:val="24"/>
                <w:lang w:val="en-GB"/>
              </w:rPr>
            </w:pPr>
            <w:r w:rsidRPr="000425DF">
              <w:rPr>
                <w:rFonts w:asciiTheme="majorBidi" w:hAnsiTheme="majorBidi" w:cstheme="majorBidi"/>
                <w:sz w:val="24"/>
                <w:szCs w:val="24"/>
                <w:lang w:val="en-US"/>
              </w:rPr>
              <w:lastRenderedPageBreak/>
              <w:t>Medium</w:t>
            </w:r>
          </w:p>
        </w:tc>
      </w:tr>
      <w:tr w:rsidR="00FF407A" w:rsidRPr="000425DF" w14:paraId="05F6749E" w14:textId="77777777" w:rsidTr="00FF407A">
        <w:trPr>
          <w:trHeight w:val="57"/>
        </w:trPr>
        <w:tc>
          <w:tcPr>
            <w:tcW w:w="2830" w:type="dxa"/>
            <w:vAlign w:val="center"/>
          </w:tcPr>
          <w:p w14:paraId="76F8D2D8" w14:textId="77435B57" w:rsidR="00FF407A" w:rsidRPr="000425DF" w:rsidRDefault="00FF407A" w:rsidP="00FF407A">
            <w:pPr>
              <w:rPr>
                <w:rFonts w:asciiTheme="majorBidi" w:hAnsiTheme="majorBidi" w:cstheme="majorBidi"/>
                <w:i/>
                <w:iCs/>
                <w:sz w:val="24"/>
                <w:szCs w:val="24"/>
                <w:lang w:val="en-GB"/>
              </w:rPr>
            </w:pPr>
            <w:r w:rsidRPr="000425DF">
              <w:rPr>
                <w:rFonts w:asciiTheme="majorBidi" w:hAnsiTheme="majorBidi" w:cstheme="majorBidi"/>
                <w:i/>
                <w:iCs/>
                <w:color w:val="1F3864" w:themeColor="accent1" w:themeShade="80"/>
                <w:sz w:val="24"/>
                <w:szCs w:val="24"/>
                <w:lang w:val="en-GB"/>
              </w:rPr>
              <w:t>Eligibility assessment (</w:t>
            </w:r>
            <w:r>
              <w:rPr>
                <w:rFonts w:asciiTheme="majorBidi" w:hAnsiTheme="majorBidi" w:cstheme="majorBidi"/>
                <w:i/>
                <w:iCs/>
                <w:color w:val="1F3864" w:themeColor="accent1" w:themeShade="80"/>
                <w:sz w:val="24"/>
                <w:szCs w:val="24"/>
                <w:lang w:val="en-GB"/>
              </w:rPr>
              <w:t>today)</w:t>
            </w:r>
          </w:p>
        </w:tc>
        <w:tc>
          <w:tcPr>
            <w:tcW w:w="7371" w:type="dxa"/>
            <w:vAlign w:val="center"/>
          </w:tcPr>
          <w:p w14:paraId="3FC6F4E8" w14:textId="77777777" w:rsidR="00FF407A" w:rsidRPr="000425DF" w:rsidRDefault="00FF407A" w:rsidP="00FF407A">
            <w:pPr>
              <w:rPr>
                <w:rFonts w:asciiTheme="majorBidi" w:hAnsiTheme="majorBidi" w:cstheme="majorBidi"/>
                <w:color w:val="1F3864" w:themeColor="accent1" w:themeShade="80"/>
                <w:sz w:val="24"/>
                <w:szCs w:val="24"/>
                <w:lang w:val="en-GB"/>
              </w:rPr>
            </w:pPr>
            <w:r w:rsidRPr="000425DF">
              <w:rPr>
                <w:rFonts w:asciiTheme="majorBidi" w:hAnsiTheme="majorBidi" w:cstheme="majorBidi"/>
                <w:color w:val="1F3864" w:themeColor="accent1" w:themeShade="80"/>
                <w:sz w:val="24"/>
                <w:szCs w:val="24"/>
                <w:lang w:val="en-GB"/>
              </w:rPr>
              <w:t>State</w:t>
            </w:r>
          </w:p>
          <w:p w14:paraId="42BD9E2E" w14:textId="4EAE396E" w:rsidR="00FF407A" w:rsidRPr="000425DF" w:rsidRDefault="00FF407A" w:rsidP="00FF407A">
            <w:pPr>
              <w:rPr>
                <w:rFonts w:asciiTheme="majorBidi" w:hAnsiTheme="majorBidi" w:cstheme="majorBidi"/>
                <w:sz w:val="24"/>
                <w:szCs w:val="24"/>
                <w:lang w:val="en-GB"/>
              </w:rPr>
            </w:pPr>
            <w:r w:rsidRPr="000425DF">
              <w:rPr>
                <w:rFonts w:asciiTheme="majorBidi" w:hAnsiTheme="majorBidi" w:cstheme="majorBidi"/>
                <w:color w:val="1F3864" w:themeColor="accent1" w:themeShade="80"/>
                <w:sz w:val="24"/>
                <w:szCs w:val="24"/>
                <w:lang w:val="en-GB"/>
              </w:rPr>
              <w:t>The eligibility/needs assessment is conducted by the Centrum Indicatiestelling Zorg (CIZ, Center for Care Needs Assessment) since 2005. The CIZ is an independent national organisation with regional branches under the responsibility of the Ministry of Health, Welfare and Sport.</w:t>
            </w:r>
          </w:p>
        </w:tc>
        <w:tc>
          <w:tcPr>
            <w:tcW w:w="2835" w:type="dxa"/>
            <w:vAlign w:val="center"/>
          </w:tcPr>
          <w:p w14:paraId="7F6A3255" w14:textId="63CF87F2" w:rsidR="00FF407A" w:rsidRPr="00507DB2" w:rsidRDefault="00F63F5D" w:rsidP="00FF407A">
            <w:pPr>
              <w:rPr>
                <w:rFonts w:asciiTheme="majorBidi" w:hAnsiTheme="majorBidi" w:cstheme="majorBidi"/>
                <w:sz w:val="24"/>
                <w:szCs w:val="24"/>
              </w:rPr>
            </w:pPr>
            <w:r w:rsidRPr="00507DB2">
              <w:rPr>
                <w:rFonts w:asciiTheme="majorBidi" w:hAnsiTheme="majorBidi" w:cstheme="majorBidi"/>
                <w:color w:val="1F3864" w:themeColor="accent1" w:themeShade="80"/>
                <w:sz w:val="24"/>
                <w:szCs w:val="24"/>
                <w:lang w:eastAsia="zh-TW"/>
              </w:rPr>
              <w:t>Centrum indicatiestelling zorg [CIZ], 2021; Da Roit, 2013; Deken &amp; Maarse, 2014; Dijkhoff, 2018</w:t>
            </w:r>
          </w:p>
        </w:tc>
        <w:tc>
          <w:tcPr>
            <w:tcW w:w="1418" w:type="dxa"/>
            <w:vAlign w:val="center"/>
          </w:tcPr>
          <w:p w14:paraId="2819EF1A" w14:textId="064F39C3" w:rsidR="00FF407A" w:rsidRPr="000425DF" w:rsidRDefault="00FF407A" w:rsidP="00FF407A">
            <w:pPr>
              <w:rPr>
                <w:rFonts w:asciiTheme="majorBidi" w:hAnsiTheme="majorBidi" w:cstheme="majorBidi"/>
                <w:sz w:val="24"/>
                <w:szCs w:val="24"/>
                <w:lang w:val="en-GB"/>
              </w:rPr>
            </w:pPr>
            <w:r w:rsidRPr="000425DF">
              <w:rPr>
                <w:rFonts w:asciiTheme="majorBidi" w:hAnsiTheme="majorBidi" w:cstheme="majorBidi"/>
                <w:color w:val="1F3864" w:themeColor="accent1" w:themeShade="80"/>
                <w:sz w:val="24"/>
                <w:szCs w:val="24"/>
                <w:lang w:val="en-US" w:eastAsia="zh-TW"/>
              </w:rPr>
              <w:t>High</w:t>
            </w:r>
          </w:p>
        </w:tc>
      </w:tr>
      <w:tr w:rsidR="00FF407A" w:rsidRPr="000425DF" w14:paraId="6E7D7FB5" w14:textId="77777777" w:rsidTr="00FF407A">
        <w:trPr>
          <w:trHeight w:val="57"/>
        </w:trPr>
        <w:tc>
          <w:tcPr>
            <w:tcW w:w="2830" w:type="dxa"/>
            <w:vAlign w:val="center"/>
          </w:tcPr>
          <w:p w14:paraId="5AE47F67" w14:textId="275A3906" w:rsidR="00FF407A" w:rsidRPr="000425DF" w:rsidRDefault="00FF407A" w:rsidP="00FF407A">
            <w:pPr>
              <w:rPr>
                <w:rFonts w:asciiTheme="majorBidi" w:hAnsiTheme="majorBidi" w:cstheme="majorBidi"/>
                <w:i/>
                <w:iCs/>
                <w:sz w:val="24"/>
                <w:szCs w:val="24"/>
                <w:lang w:val="en-GB"/>
              </w:rPr>
            </w:pPr>
            <w:r w:rsidRPr="000425DF">
              <w:rPr>
                <w:rFonts w:asciiTheme="majorBidi" w:hAnsiTheme="majorBidi" w:cstheme="majorBidi"/>
                <w:i/>
                <w:iCs/>
                <w:sz w:val="24"/>
                <w:szCs w:val="24"/>
                <w:lang w:val="en-GB" w:eastAsia="zh-TW"/>
              </w:rPr>
              <w:t>Payment/contributions (intro</w:t>
            </w:r>
            <w:r>
              <w:rPr>
                <w:rFonts w:asciiTheme="majorBidi" w:hAnsiTheme="majorBidi" w:cstheme="majorBidi"/>
                <w:i/>
                <w:iCs/>
                <w:sz w:val="24"/>
                <w:szCs w:val="24"/>
                <w:lang w:val="en-GB" w:eastAsia="zh-TW"/>
              </w:rPr>
              <w:t>duction)</w:t>
            </w:r>
          </w:p>
        </w:tc>
        <w:tc>
          <w:tcPr>
            <w:tcW w:w="7371" w:type="dxa"/>
            <w:vAlign w:val="center"/>
          </w:tcPr>
          <w:p w14:paraId="2D143609" w14:textId="77777777" w:rsidR="00FF407A" w:rsidRPr="000425DF" w:rsidRDefault="00FF407A" w:rsidP="00FF407A">
            <w:pPr>
              <w:rPr>
                <w:rFonts w:asciiTheme="majorBidi" w:hAnsiTheme="majorBidi" w:cstheme="majorBidi"/>
                <w:sz w:val="24"/>
                <w:szCs w:val="24"/>
                <w:lang w:val="en-GB" w:eastAsia="zh-TW"/>
              </w:rPr>
            </w:pPr>
            <w:r w:rsidRPr="000425DF">
              <w:rPr>
                <w:rFonts w:asciiTheme="majorBidi" w:hAnsiTheme="majorBidi" w:cstheme="majorBidi"/>
                <w:sz w:val="24"/>
                <w:szCs w:val="24"/>
                <w:lang w:val="en-GB" w:eastAsia="zh-TW"/>
              </w:rPr>
              <w:t>State</w:t>
            </w:r>
          </w:p>
          <w:p w14:paraId="0AF8807E" w14:textId="7B69C4BE" w:rsidR="00FF407A" w:rsidRPr="000425DF" w:rsidRDefault="00FF407A" w:rsidP="00FF407A">
            <w:pPr>
              <w:rPr>
                <w:rFonts w:asciiTheme="majorBidi" w:hAnsiTheme="majorBidi" w:cstheme="majorBidi"/>
                <w:sz w:val="24"/>
                <w:szCs w:val="24"/>
                <w:lang w:val="en-GB"/>
              </w:rPr>
            </w:pPr>
            <w:r w:rsidRPr="000425DF">
              <w:rPr>
                <w:rFonts w:asciiTheme="majorBidi" w:hAnsiTheme="majorBidi" w:cstheme="majorBidi"/>
                <w:sz w:val="24"/>
                <w:szCs w:val="24"/>
                <w:lang w:val="en-GB" w:eastAsia="zh-TW"/>
              </w:rPr>
              <w:t>The main financial responsibility rests with the government. The information retrieved implies that the state decides on contribution rates, level of government subsidies and level/organization of co-payments.</w:t>
            </w:r>
          </w:p>
        </w:tc>
        <w:tc>
          <w:tcPr>
            <w:tcW w:w="2835" w:type="dxa"/>
            <w:vAlign w:val="center"/>
          </w:tcPr>
          <w:p w14:paraId="7A660EBA" w14:textId="6E04C4E7" w:rsidR="00FF407A" w:rsidRPr="000425DF" w:rsidRDefault="00F63F5D" w:rsidP="00FF407A">
            <w:pPr>
              <w:rPr>
                <w:rFonts w:asciiTheme="majorBidi" w:hAnsiTheme="majorBidi" w:cstheme="majorBidi"/>
                <w:sz w:val="24"/>
                <w:szCs w:val="24"/>
                <w:lang w:val="en-GB"/>
              </w:rPr>
            </w:pPr>
            <w:r>
              <w:rPr>
                <w:rFonts w:asciiTheme="majorBidi" w:hAnsiTheme="majorBidi" w:cstheme="majorBidi"/>
                <w:sz w:val="24"/>
                <w:szCs w:val="24"/>
                <w:lang w:val="en-GB"/>
              </w:rPr>
              <w:t>Mot, 2010; Spoor, 2014; Winters, 1996</w:t>
            </w:r>
          </w:p>
        </w:tc>
        <w:tc>
          <w:tcPr>
            <w:tcW w:w="1418" w:type="dxa"/>
            <w:vAlign w:val="center"/>
          </w:tcPr>
          <w:p w14:paraId="384FF52D" w14:textId="00BB1110" w:rsidR="00FF407A" w:rsidRPr="000425DF" w:rsidRDefault="00FF407A" w:rsidP="00FF407A">
            <w:pPr>
              <w:rPr>
                <w:rFonts w:asciiTheme="majorBidi" w:hAnsiTheme="majorBidi" w:cstheme="majorBidi"/>
                <w:sz w:val="24"/>
                <w:szCs w:val="24"/>
                <w:lang w:val="en-GB"/>
              </w:rPr>
            </w:pPr>
            <w:r w:rsidRPr="000425DF">
              <w:rPr>
                <w:rFonts w:asciiTheme="majorBidi" w:hAnsiTheme="majorBidi" w:cstheme="majorBidi"/>
                <w:sz w:val="24"/>
                <w:szCs w:val="24"/>
                <w:lang w:val="en-GB"/>
              </w:rPr>
              <w:t>Medium</w:t>
            </w:r>
          </w:p>
        </w:tc>
      </w:tr>
      <w:tr w:rsidR="00FF407A" w:rsidRPr="000425DF" w14:paraId="1189CAA9" w14:textId="77777777" w:rsidTr="00FF407A">
        <w:trPr>
          <w:trHeight w:val="57"/>
        </w:trPr>
        <w:tc>
          <w:tcPr>
            <w:tcW w:w="2830" w:type="dxa"/>
            <w:vAlign w:val="center"/>
          </w:tcPr>
          <w:p w14:paraId="5F994414" w14:textId="174CC23C" w:rsidR="00FF407A" w:rsidRPr="000425DF" w:rsidRDefault="00FF407A" w:rsidP="00FF407A">
            <w:pPr>
              <w:rPr>
                <w:rFonts w:asciiTheme="majorBidi" w:hAnsiTheme="majorBidi" w:cstheme="majorBidi"/>
                <w:i/>
                <w:iCs/>
                <w:sz w:val="24"/>
                <w:szCs w:val="24"/>
                <w:lang w:val="en-GB"/>
              </w:rPr>
            </w:pPr>
            <w:r w:rsidRPr="000425DF">
              <w:rPr>
                <w:rFonts w:asciiTheme="majorBidi" w:hAnsiTheme="majorBidi" w:cstheme="majorBidi"/>
                <w:i/>
                <w:iCs/>
                <w:color w:val="1F3864" w:themeColor="accent1" w:themeShade="80"/>
                <w:sz w:val="24"/>
                <w:szCs w:val="24"/>
                <w:lang w:val="en-GB"/>
              </w:rPr>
              <w:t>Payment/contributions (intro</w:t>
            </w:r>
            <w:r>
              <w:rPr>
                <w:rFonts w:asciiTheme="majorBidi" w:hAnsiTheme="majorBidi" w:cstheme="majorBidi"/>
                <w:i/>
                <w:iCs/>
                <w:color w:val="1F3864" w:themeColor="accent1" w:themeShade="80"/>
                <w:sz w:val="24"/>
                <w:szCs w:val="24"/>
                <w:lang w:val="en-GB"/>
              </w:rPr>
              <w:t>duction)</w:t>
            </w:r>
          </w:p>
        </w:tc>
        <w:tc>
          <w:tcPr>
            <w:tcW w:w="7371" w:type="dxa"/>
            <w:vAlign w:val="center"/>
          </w:tcPr>
          <w:p w14:paraId="0A781968" w14:textId="77777777" w:rsidR="00FF407A" w:rsidRPr="000425DF" w:rsidRDefault="00FF407A" w:rsidP="00FF407A">
            <w:pPr>
              <w:rPr>
                <w:rFonts w:asciiTheme="majorBidi" w:hAnsiTheme="majorBidi" w:cstheme="majorBidi"/>
                <w:color w:val="1F3864" w:themeColor="accent1" w:themeShade="80"/>
                <w:sz w:val="24"/>
                <w:szCs w:val="24"/>
                <w:lang w:val="en-US"/>
              </w:rPr>
            </w:pPr>
            <w:r w:rsidRPr="000425DF">
              <w:rPr>
                <w:rFonts w:asciiTheme="majorBidi" w:hAnsiTheme="majorBidi" w:cstheme="majorBidi"/>
                <w:color w:val="1F3864" w:themeColor="accent1" w:themeShade="80"/>
                <w:sz w:val="24"/>
                <w:szCs w:val="24"/>
                <w:lang w:val="en-US"/>
              </w:rPr>
              <w:t>State</w:t>
            </w:r>
          </w:p>
          <w:p w14:paraId="15D5A0E3" w14:textId="3C7350E2" w:rsidR="00FF407A" w:rsidRPr="000425DF" w:rsidRDefault="00FF407A" w:rsidP="00FF407A">
            <w:pPr>
              <w:rPr>
                <w:rFonts w:asciiTheme="majorBidi" w:hAnsiTheme="majorBidi" w:cstheme="majorBidi"/>
                <w:sz w:val="24"/>
                <w:szCs w:val="24"/>
                <w:lang w:val="en-GB"/>
              </w:rPr>
            </w:pPr>
            <w:r w:rsidRPr="000425DF">
              <w:rPr>
                <w:rFonts w:asciiTheme="majorBidi" w:hAnsiTheme="majorBidi" w:cstheme="majorBidi"/>
                <w:color w:val="1F3864" w:themeColor="accent1" w:themeShade="80"/>
                <w:sz w:val="24"/>
                <w:szCs w:val="24"/>
                <w:lang w:val="en-US"/>
              </w:rPr>
              <w:t>Revenues of the AWBZ are collected by a General Fund centrally. Both the contribution rates and co-payments seem to be determined by the state (AWBZ Art 6, 17).</w:t>
            </w:r>
          </w:p>
        </w:tc>
        <w:tc>
          <w:tcPr>
            <w:tcW w:w="2835" w:type="dxa"/>
            <w:vAlign w:val="center"/>
          </w:tcPr>
          <w:p w14:paraId="3F89F457" w14:textId="68DB9484" w:rsidR="00FF407A" w:rsidRPr="00507DB2" w:rsidRDefault="00FF407A" w:rsidP="00FF407A">
            <w:pPr>
              <w:rPr>
                <w:rFonts w:asciiTheme="majorBidi" w:hAnsiTheme="majorBidi" w:cstheme="majorBidi"/>
                <w:sz w:val="24"/>
                <w:szCs w:val="24"/>
              </w:rPr>
            </w:pPr>
            <w:r w:rsidRPr="00507DB2">
              <w:rPr>
                <w:rFonts w:asciiTheme="majorBidi" w:hAnsiTheme="majorBidi" w:cstheme="majorBidi"/>
                <w:color w:val="1F3864" w:themeColor="accent1" w:themeShade="80"/>
                <w:sz w:val="24"/>
                <w:szCs w:val="24"/>
              </w:rPr>
              <w:t xml:space="preserve">AWBZ (version 2014); </w:t>
            </w:r>
            <w:r w:rsidR="00F63F5D" w:rsidRPr="00507DB2">
              <w:rPr>
                <w:rFonts w:asciiTheme="majorBidi" w:hAnsiTheme="majorBidi" w:cstheme="majorBidi"/>
                <w:color w:val="1F3864" w:themeColor="accent1" w:themeShade="80"/>
                <w:sz w:val="24"/>
                <w:szCs w:val="24"/>
              </w:rPr>
              <w:t>Dijkhoff, 2018; Schut &amp; van den Berg, 2010</w:t>
            </w:r>
          </w:p>
        </w:tc>
        <w:tc>
          <w:tcPr>
            <w:tcW w:w="1418" w:type="dxa"/>
            <w:vAlign w:val="center"/>
          </w:tcPr>
          <w:p w14:paraId="2A6F7936" w14:textId="61DC1297" w:rsidR="00FF407A" w:rsidRPr="000425DF" w:rsidRDefault="00FF407A" w:rsidP="00FF407A">
            <w:pPr>
              <w:rPr>
                <w:rFonts w:asciiTheme="majorBidi" w:hAnsiTheme="majorBidi" w:cstheme="majorBidi"/>
                <w:sz w:val="24"/>
                <w:szCs w:val="24"/>
                <w:lang w:val="en-GB"/>
              </w:rPr>
            </w:pPr>
            <w:r w:rsidRPr="000425DF">
              <w:rPr>
                <w:rFonts w:asciiTheme="majorBidi" w:hAnsiTheme="majorBidi" w:cstheme="majorBidi"/>
                <w:color w:val="1F3864" w:themeColor="accent1" w:themeShade="80"/>
                <w:sz w:val="24"/>
                <w:szCs w:val="24"/>
                <w:lang w:val="en-GB"/>
              </w:rPr>
              <w:t>Medium</w:t>
            </w:r>
          </w:p>
        </w:tc>
      </w:tr>
      <w:tr w:rsidR="00FF407A" w:rsidRPr="000425DF" w14:paraId="282418D1" w14:textId="77777777" w:rsidTr="00FF407A">
        <w:trPr>
          <w:trHeight w:val="57"/>
        </w:trPr>
        <w:tc>
          <w:tcPr>
            <w:tcW w:w="2830" w:type="dxa"/>
            <w:vAlign w:val="center"/>
          </w:tcPr>
          <w:p w14:paraId="6E307827" w14:textId="35648413" w:rsidR="00FF407A" w:rsidRPr="000425DF" w:rsidRDefault="00FF407A" w:rsidP="00FF407A">
            <w:pPr>
              <w:rPr>
                <w:rFonts w:asciiTheme="majorBidi" w:hAnsiTheme="majorBidi" w:cstheme="majorBidi"/>
                <w:i/>
                <w:iCs/>
                <w:sz w:val="24"/>
                <w:szCs w:val="24"/>
                <w:lang w:val="en-GB"/>
              </w:rPr>
            </w:pPr>
            <w:r w:rsidRPr="000425DF">
              <w:rPr>
                <w:rFonts w:asciiTheme="majorBidi" w:hAnsiTheme="majorBidi" w:cstheme="majorBidi"/>
                <w:i/>
                <w:iCs/>
                <w:sz w:val="24"/>
                <w:szCs w:val="24"/>
                <w:lang w:val="en-GB"/>
              </w:rPr>
              <w:t>Provider access to system (intro</w:t>
            </w:r>
            <w:r>
              <w:rPr>
                <w:rFonts w:asciiTheme="majorBidi" w:hAnsiTheme="majorBidi" w:cstheme="majorBidi"/>
                <w:i/>
                <w:iCs/>
                <w:sz w:val="24"/>
                <w:szCs w:val="24"/>
                <w:lang w:val="en-GB"/>
              </w:rPr>
              <w:t>duction)</w:t>
            </w:r>
          </w:p>
        </w:tc>
        <w:tc>
          <w:tcPr>
            <w:tcW w:w="7371" w:type="dxa"/>
            <w:vAlign w:val="center"/>
          </w:tcPr>
          <w:p w14:paraId="7C76A194" w14:textId="77777777" w:rsidR="00FF407A" w:rsidRPr="000425DF" w:rsidRDefault="00FF407A" w:rsidP="00FF407A">
            <w:pPr>
              <w:rPr>
                <w:rFonts w:asciiTheme="majorBidi" w:hAnsiTheme="majorBidi" w:cstheme="majorBidi"/>
                <w:sz w:val="24"/>
                <w:szCs w:val="24"/>
                <w:lang w:val="en-US"/>
              </w:rPr>
            </w:pPr>
            <w:r w:rsidRPr="000425DF">
              <w:rPr>
                <w:rFonts w:asciiTheme="majorBidi" w:hAnsiTheme="majorBidi" w:cstheme="majorBidi"/>
                <w:sz w:val="24"/>
                <w:szCs w:val="24"/>
                <w:lang w:val="en-US"/>
              </w:rPr>
              <w:t>State</w:t>
            </w:r>
          </w:p>
          <w:p w14:paraId="547E6A4D" w14:textId="6E219769" w:rsidR="00FF407A" w:rsidRPr="000425DF" w:rsidRDefault="00FF407A" w:rsidP="00FF407A">
            <w:pPr>
              <w:rPr>
                <w:rFonts w:asciiTheme="majorBidi" w:hAnsiTheme="majorBidi" w:cstheme="majorBidi"/>
                <w:sz w:val="24"/>
                <w:szCs w:val="24"/>
                <w:lang w:val="en-GB"/>
              </w:rPr>
            </w:pPr>
            <w:r w:rsidRPr="000425DF">
              <w:rPr>
                <w:rFonts w:asciiTheme="majorBidi" w:hAnsiTheme="majorBidi" w:cstheme="majorBidi"/>
                <w:sz w:val="24"/>
                <w:szCs w:val="24"/>
                <w:lang w:val="en-US"/>
              </w:rPr>
              <w:t>Nursing home expansions and new nursing homes needed state licenses. There is a direct, strict control by the state of the number of nursing home beds.</w:t>
            </w:r>
          </w:p>
        </w:tc>
        <w:tc>
          <w:tcPr>
            <w:tcW w:w="2835" w:type="dxa"/>
            <w:vAlign w:val="center"/>
          </w:tcPr>
          <w:p w14:paraId="10C0E8D0" w14:textId="025A3113" w:rsidR="00FF407A" w:rsidRPr="000425DF" w:rsidRDefault="00F63F5D" w:rsidP="00FF407A">
            <w:pPr>
              <w:rPr>
                <w:rFonts w:asciiTheme="majorBidi" w:hAnsiTheme="majorBidi" w:cstheme="majorBidi"/>
                <w:sz w:val="24"/>
                <w:szCs w:val="24"/>
                <w:lang w:val="en-GB"/>
              </w:rPr>
            </w:pPr>
            <w:r>
              <w:rPr>
                <w:rFonts w:asciiTheme="majorBidi" w:hAnsiTheme="majorBidi" w:cstheme="majorBidi"/>
                <w:sz w:val="24"/>
                <w:szCs w:val="24"/>
                <w:lang w:val="en-GB"/>
              </w:rPr>
              <w:t>Da Roit, 2013; Winters, 1996</w:t>
            </w:r>
          </w:p>
        </w:tc>
        <w:tc>
          <w:tcPr>
            <w:tcW w:w="1418" w:type="dxa"/>
            <w:vAlign w:val="center"/>
          </w:tcPr>
          <w:p w14:paraId="53B0290F" w14:textId="320A321C" w:rsidR="00FF407A" w:rsidRPr="000425DF" w:rsidRDefault="00FF407A" w:rsidP="00FF407A">
            <w:pPr>
              <w:rPr>
                <w:rFonts w:asciiTheme="majorBidi" w:hAnsiTheme="majorBidi" w:cstheme="majorBidi"/>
                <w:sz w:val="24"/>
                <w:szCs w:val="24"/>
                <w:lang w:val="en-GB"/>
              </w:rPr>
            </w:pPr>
            <w:r w:rsidRPr="000425DF">
              <w:rPr>
                <w:rFonts w:asciiTheme="majorBidi" w:hAnsiTheme="majorBidi" w:cstheme="majorBidi"/>
                <w:sz w:val="24"/>
                <w:szCs w:val="24"/>
                <w:lang w:val="en-GB"/>
              </w:rPr>
              <w:t>High</w:t>
            </w:r>
          </w:p>
        </w:tc>
      </w:tr>
      <w:tr w:rsidR="00FF407A" w:rsidRPr="000425DF" w14:paraId="33213C65" w14:textId="77777777" w:rsidTr="00FF407A">
        <w:trPr>
          <w:trHeight w:val="57"/>
        </w:trPr>
        <w:tc>
          <w:tcPr>
            <w:tcW w:w="2830" w:type="dxa"/>
            <w:vAlign w:val="center"/>
          </w:tcPr>
          <w:p w14:paraId="0BD8C0C7" w14:textId="4E0D4806" w:rsidR="00FF407A" w:rsidRPr="000425DF" w:rsidRDefault="00FF407A" w:rsidP="00FF407A">
            <w:pPr>
              <w:rPr>
                <w:rFonts w:asciiTheme="majorBidi" w:hAnsiTheme="majorBidi" w:cstheme="majorBidi"/>
                <w:i/>
                <w:iCs/>
                <w:sz w:val="24"/>
                <w:szCs w:val="24"/>
                <w:lang w:val="en-GB"/>
              </w:rPr>
            </w:pPr>
            <w:r w:rsidRPr="000425DF">
              <w:rPr>
                <w:rFonts w:asciiTheme="majorBidi" w:hAnsiTheme="majorBidi" w:cstheme="majorBidi"/>
                <w:i/>
                <w:iCs/>
                <w:color w:val="1F3864" w:themeColor="accent1" w:themeShade="80"/>
                <w:sz w:val="24"/>
                <w:szCs w:val="24"/>
                <w:lang w:val="en-GB"/>
              </w:rPr>
              <w:t>Provider access to system (</w:t>
            </w:r>
            <w:r>
              <w:rPr>
                <w:rFonts w:asciiTheme="majorBidi" w:hAnsiTheme="majorBidi" w:cstheme="majorBidi"/>
                <w:i/>
                <w:iCs/>
                <w:color w:val="1F3864" w:themeColor="accent1" w:themeShade="80"/>
                <w:sz w:val="24"/>
                <w:szCs w:val="24"/>
                <w:lang w:val="en-GB"/>
              </w:rPr>
              <w:t>today)</w:t>
            </w:r>
          </w:p>
        </w:tc>
        <w:tc>
          <w:tcPr>
            <w:tcW w:w="7371" w:type="dxa"/>
            <w:vAlign w:val="center"/>
          </w:tcPr>
          <w:p w14:paraId="17B27A1A" w14:textId="77777777" w:rsidR="00FF407A" w:rsidRPr="000425DF" w:rsidRDefault="00FF407A" w:rsidP="00FF407A">
            <w:pPr>
              <w:rPr>
                <w:rFonts w:asciiTheme="majorBidi" w:hAnsiTheme="majorBidi" w:cstheme="majorBidi"/>
                <w:color w:val="1F3864" w:themeColor="accent1" w:themeShade="80"/>
                <w:sz w:val="24"/>
                <w:szCs w:val="24"/>
                <w:lang w:val="en-US"/>
              </w:rPr>
            </w:pPr>
            <w:r w:rsidRPr="000425DF">
              <w:rPr>
                <w:rFonts w:asciiTheme="majorBidi" w:hAnsiTheme="majorBidi" w:cstheme="majorBidi"/>
                <w:color w:val="1F3864" w:themeColor="accent1" w:themeShade="80"/>
                <w:sz w:val="24"/>
                <w:szCs w:val="24"/>
                <w:lang w:val="en-US"/>
              </w:rPr>
              <w:t>State &amp; societal actors</w:t>
            </w:r>
          </w:p>
          <w:p w14:paraId="15684446" w14:textId="3502E2E8" w:rsidR="00FF407A" w:rsidRPr="000425DF" w:rsidRDefault="00FF407A" w:rsidP="00FF407A">
            <w:pPr>
              <w:rPr>
                <w:rFonts w:asciiTheme="majorBidi" w:hAnsiTheme="majorBidi" w:cstheme="majorBidi"/>
                <w:sz w:val="24"/>
                <w:szCs w:val="24"/>
                <w:lang w:val="en-GB"/>
              </w:rPr>
            </w:pPr>
            <w:r w:rsidRPr="000425DF">
              <w:rPr>
                <w:rFonts w:asciiTheme="majorBidi" w:hAnsiTheme="majorBidi" w:cstheme="majorBidi"/>
                <w:color w:val="1F3864" w:themeColor="accent1" w:themeShade="80"/>
                <w:sz w:val="24"/>
                <w:szCs w:val="24"/>
                <w:lang w:val="en-US"/>
              </w:rPr>
              <w:t>The Regional Care Offices are responsible for contracting providers. For some time in the 2000s, they were allowed to selectively contract care providers (Gingrich 2011). In the instiutional care sector, for-profit providers are not allowed, while in home care they are (next to non-profit actors) (EC 2016; Riedel and Kraus 2011). This seems to be determined by the state. The use of the PB is to some extend regulated/controlled yb the regional care offices (Kelders and De Vaan 2018).</w:t>
            </w:r>
          </w:p>
        </w:tc>
        <w:tc>
          <w:tcPr>
            <w:tcW w:w="2835" w:type="dxa"/>
            <w:vAlign w:val="center"/>
          </w:tcPr>
          <w:p w14:paraId="5C0FEAD3" w14:textId="190BC772" w:rsidR="00FF407A" w:rsidRPr="00507DB2" w:rsidRDefault="00F63F5D" w:rsidP="00FF407A">
            <w:pPr>
              <w:rPr>
                <w:rFonts w:asciiTheme="majorBidi" w:hAnsiTheme="majorBidi" w:cstheme="majorBidi"/>
                <w:sz w:val="24"/>
                <w:szCs w:val="24"/>
              </w:rPr>
            </w:pPr>
            <w:r w:rsidRPr="00507DB2">
              <w:rPr>
                <w:rFonts w:asciiTheme="majorBidi" w:hAnsiTheme="majorBidi" w:cstheme="majorBidi"/>
                <w:color w:val="1F3864" w:themeColor="accent1" w:themeShade="80"/>
                <w:sz w:val="24"/>
                <w:szCs w:val="24"/>
              </w:rPr>
              <w:t>Deken &amp; Maarse, 2014; European Commission [EC], 2016; Gingrich, 2011; Kelders &amp; De Vaan, 2018; Riedel &amp; Kraus, 2011</w:t>
            </w:r>
          </w:p>
        </w:tc>
        <w:tc>
          <w:tcPr>
            <w:tcW w:w="1418" w:type="dxa"/>
            <w:vAlign w:val="center"/>
          </w:tcPr>
          <w:p w14:paraId="69B07FBC" w14:textId="7C1F0024" w:rsidR="00FF407A" w:rsidRPr="000425DF" w:rsidRDefault="00FF407A" w:rsidP="00FF407A">
            <w:pPr>
              <w:rPr>
                <w:rFonts w:asciiTheme="majorBidi" w:hAnsiTheme="majorBidi" w:cstheme="majorBidi"/>
                <w:sz w:val="24"/>
                <w:szCs w:val="24"/>
                <w:lang w:val="en-GB"/>
              </w:rPr>
            </w:pPr>
            <w:r w:rsidRPr="000425DF">
              <w:rPr>
                <w:rFonts w:asciiTheme="majorBidi" w:hAnsiTheme="majorBidi" w:cstheme="majorBidi"/>
                <w:color w:val="1F3864" w:themeColor="accent1" w:themeShade="80"/>
                <w:sz w:val="24"/>
                <w:szCs w:val="24"/>
                <w:lang w:val="en-GB"/>
              </w:rPr>
              <w:t>Low</w:t>
            </w:r>
          </w:p>
        </w:tc>
      </w:tr>
      <w:tr w:rsidR="00FF407A" w:rsidRPr="000425DF" w14:paraId="14B7E95D" w14:textId="77777777" w:rsidTr="00FF407A">
        <w:trPr>
          <w:trHeight w:val="57"/>
        </w:trPr>
        <w:tc>
          <w:tcPr>
            <w:tcW w:w="2830" w:type="dxa"/>
            <w:vAlign w:val="center"/>
          </w:tcPr>
          <w:p w14:paraId="1D16B427" w14:textId="01F780F1" w:rsidR="00FF407A" w:rsidRPr="000425DF" w:rsidRDefault="00FF407A" w:rsidP="00FF407A">
            <w:pPr>
              <w:rPr>
                <w:rFonts w:asciiTheme="majorBidi" w:hAnsiTheme="majorBidi" w:cstheme="majorBidi"/>
                <w:i/>
                <w:iCs/>
                <w:sz w:val="24"/>
                <w:szCs w:val="24"/>
                <w:lang w:val="en-GB"/>
              </w:rPr>
            </w:pPr>
            <w:r w:rsidRPr="000425DF">
              <w:rPr>
                <w:rFonts w:asciiTheme="majorBidi" w:hAnsiTheme="majorBidi" w:cstheme="majorBidi"/>
                <w:i/>
                <w:iCs/>
                <w:sz w:val="24"/>
                <w:szCs w:val="24"/>
                <w:lang w:val="en-GB"/>
              </w:rPr>
              <w:t>Remuneration/fees (intr</w:t>
            </w:r>
            <w:r>
              <w:rPr>
                <w:rFonts w:asciiTheme="majorBidi" w:hAnsiTheme="majorBidi" w:cstheme="majorBidi"/>
                <w:i/>
                <w:iCs/>
                <w:sz w:val="24"/>
                <w:szCs w:val="24"/>
                <w:lang w:val="en-GB"/>
              </w:rPr>
              <w:t>oduction)</w:t>
            </w:r>
          </w:p>
        </w:tc>
        <w:tc>
          <w:tcPr>
            <w:tcW w:w="7371" w:type="dxa"/>
            <w:vAlign w:val="center"/>
          </w:tcPr>
          <w:p w14:paraId="00D986FA" w14:textId="77777777" w:rsidR="00FF407A" w:rsidRPr="000425DF" w:rsidRDefault="00FF407A" w:rsidP="00FF407A">
            <w:pPr>
              <w:rPr>
                <w:rFonts w:asciiTheme="majorBidi" w:hAnsiTheme="majorBidi" w:cstheme="majorBidi"/>
                <w:sz w:val="24"/>
                <w:szCs w:val="24"/>
                <w:lang w:val="en-US"/>
              </w:rPr>
            </w:pPr>
            <w:r w:rsidRPr="000425DF">
              <w:rPr>
                <w:rFonts w:asciiTheme="majorBidi" w:hAnsiTheme="majorBidi" w:cstheme="majorBidi"/>
                <w:sz w:val="24"/>
                <w:szCs w:val="24"/>
                <w:lang w:val="en-US"/>
              </w:rPr>
              <w:t>Societal actors</w:t>
            </w:r>
          </w:p>
          <w:p w14:paraId="0B09FE42" w14:textId="341BD620" w:rsidR="00FF407A" w:rsidRPr="000425DF" w:rsidRDefault="00FF407A" w:rsidP="00FF407A">
            <w:pPr>
              <w:rPr>
                <w:rFonts w:asciiTheme="majorBidi" w:hAnsiTheme="majorBidi" w:cstheme="majorBidi"/>
                <w:sz w:val="24"/>
                <w:szCs w:val="24"/>
                <w:lang w:val="en-GB"/>
              </w:rPr>
            </w:pPr>
            <w:r w:rsidRPr="000425DF">
              <w:rPr>
                <w:rFonts w:asciiTheme="majorBidi" w:hAnsiTheme="majorBidi" w:cstheme="majorBidi"/>
                <w:sz w:val="24"/>
                <w:szCs w:val="24"/>
                <w:lang w:val="en-US"/>
              </w:rPr>
              <w:t xml:space="preserve">Until 1983, there was no systematic cost control by the government (nor insurance bodies). Nursing homes got reimbursed for the incurred cost </w:t>
            </w:r>
            <w:r w:rsidRPr="000425DF">
              <w:rPr>
                <w:rFonts w:asciiTheme="majorBidi" w:hAnsiTheme="majorBidi" w:cstheme="majorBidi"/>
                <w:sz w:val="24"/>
                <w:szCs w:val="24"/>
                <w:lang w:val="en-US"/>
              </w:rPr>
              <w:lastRenderedPageBreak/>
              <w:t>retrospectively. Nursing homes are predominantly societal actors (see provision)</w:t>
            </w:r>
          </w:p>
        </w:tc>
        <w:tc>
          <w:tcPr>
            <w:tcW w:w="2835" w:type="dxa"/>
            <w:vAlign w:val="center"/>
          </w:tcPr>
          <w:p w14:paraId="196BE566" w14:textId="4B257E35" w:rsidR="00FF407A" w:rsidRPr="000425DF" w:rsidRDefault="00F63F5D" w:rsidP="00FF407A">
            <w:pPr>
              <w:rPr>
                <w:rFonts w:asciiTheme="majorBidi" w:hAnsiTheme="majorBidi" w:cstheme="majorBidi"/>
                <w:sz w:val="24"/>
                <w:szCs w:val="24"/>
                <w:lang w:val="en-GB"/>
              </w:rPr>
            </w:pPr>
            <w:r>
              <w:rPr>
                <w:rFonts w:asciiTheme="majorBidi" w:hAnsiTheme="majorBidi" w:cstheme="majorBidi"/>
                <w:sz w:val="24"/>
                <w:szCs w:val="24"/>
                <w:lang w:val="en-GB" w:eastAsia="zh-TW"/>
              </w:rPr>
              <w:lastRenderedPageBreak/>
              <w:t>Winters, 1996</w:t>
            </w:r>
          </w:p>
        </w:tc>
        <w:tc>
          <w:tcPr>
            <w:tcW w:w="1418" w:type="dxa"/>
            <w:vAlign w:val="center"/>
          </w:tcPr>
          <w:p w14:paraId="5B4C2F1A" w14:textId="7282E6F8" w:rsidR="00FF407A" w:rsidRPr="000425DF" w:rsidRDefault="00FF407A" w:rsidP="00FF407A">
            <w:pPr>
              <w:rPr>
                <w:rFonts w:asciiTheme="majorBidi" w:hAnsiTheme="majorBidi" w:cstheme="majorBidi"/>
                <w:sz w:val="24"/>
                <w:szCs w:val="24"/>
                <w:lang w:val="en-GB"/>
              </w:rPr>
            </w:pPr>
            <w:r w:rsidRPr="000425DF">
              <w:rPr>
                <w:rFonts w:asciiTheme="majorBidi" w:hAnsiTheme="majorBidi" w:cstheme="majorBidi"/>
                <w:sz w:val="24"/>
                <w:szCs w:val="24"/>
                <w:lang w:val="en-GB" w:eastAsia="zh-TW"/>
              </w:rPr>
              <w:t>Medium</w:t>
            </w:r>
          </w:p>
        </w:tc>
      </w:tr>
      <w:tr w:rsidR="00FF407A" w:rsidRPr="000425DF" w14:paraId="09E427AA" w14:textId="77777777" w:rsidTr="00FF407A">
        <w:trPr>
          <w:trHeight w:val="57"/>
        </w:trPr>
        <w:tc>
          <w:tcPr>
            <w:tcW w:w="2830" w:type="dxa"/>
            <w:vAlign w:val="center"/>
          </w:tcPr>
          <w:p w14:paraId="6E80645B" w14:textId="0494F4C1" w:rsidR="00FF407A" w:rsidRPr="000425DF" w:rsidRDefault="00FF407A" w:rsidP="00FF407A">
            <w:pPr>
              <w:rPr>
                <w:rFonts w:asciiTheme="majorBidi" w:hAnsiTheme="majorBidi" w:cstheme="majorBidi"/>
                <w:i/>
                <w:iCs/>
                <w:sz w:val="24"/>
                <w:szCs w:val="24"/>
                <w:lang w:val="en-GB"/>
              </w:rPr>
            </w:pPr>
            <w:r w:rsidRPr="000425DF">
              <w:rPr>
                <w:rFonts w:asciiTheme="majorBidi" w:hAnsiTheme="majorBidi" w:cstheme="majorBidi"/>
                <w:i/>
                <w:iCs/>
                <w:color w:val="1F3864" w:themeColor="accent1" w:themeShade="80"/>
                <w:sz w:val="24"/>
                <w:szCs w:val="24"/>
                <w:lang w:val="en-GB" w:eastAsia="zh-TW"/>
              </w:rPr>
              <w:t>Remuneration/fees (</w:t>
            </w:r>
            <w:r>
              <w:rPr>
                <w:rFonts w:asciiTheme="majorBidi" w:hAnsiTheme="majorBidi" w:cstheme="majorBidi"/>
                <w:i/>
                <w:iCs/>
                <w:color w:val="1F3864" w:themeColor="accent1" w:themeShade="80"/>
                <w:sz w:val="24"/>
                <w:szCs w:val="24"/>
                <w:lang w:val="en-GB" w:eastAsia="zh-TW"/>
              </w:rPr>
              <w:t>today)</w:t>
            </w:r>
          </w:p>
        </w:tc>
        <w:tc>
          <w:tcPr>
            <w:tcW w:w="7371" w:type="dxa"/>
            <w:vAlign w:val="center"/>
          </w:tcPr>
          <w:p w14:paraId="1344E2D4" w14:textId="77777777" w:rsidR="00FF407A" w:rsidRPr="000425DF" w:rsidRDefault="00FF407A" w:rsidP="00FF407A">
            <w:pPr>
              <w:rPr>
                <w:rFonts w:asciiTheme="majorBidi" w:hAnsiTheme="majorBidi" w:cstheme="majorBidi"/>
                <w:color w:val="1F3864" w:themeColor="accent1" w:themeShade="80"/>
                <w:sz w:val="24"/>
                <w:szCs w:val="24"/>
                <w:lang w:val="en-US" w:eastAsia="zh-TW"/>
              </w:rPr>
            </w:pPr>
            <w:r w:rsidRPr="000425DF">
              <w:rPr>
                <w:rFonts w:asciiTheme="majorBidi" w:hAnsiTheme="majorBidi" w:cstheme="majorBidi"/>
                <w:color w:val="1F3864" w:themeColor="accent1" w:themeShade="80"/>
                <w:sz w:val="24"/>
                <w:szCs w:val="24"/>
                <w:lang w:val="en-US" w:eastAsia="zh-TW"/>
              </w:rPr>
              <w:t>State &amp; societal actors</w:t>
            </w:r>
          </w:p>
          <w:p w14:paraId="4E96F384" w14:textId="54BE9291" w:rsidR="00FF407A" w:rsidRPr="000425DF" w:rsidRDefault="00FF407A" w:rsidP="00FF407A">
            <w:pPr>
              <w:rPr>
                <w:rFonts w:asciiTheme="majorBidi" w:hAnsiTheme="majorBidi" w:cstheme="majorBidi"/>
                <w:sz w:val="24"/>
                <w:szCs w:val="24"/>
                <w:lang w:val="en-GB"/>
              </w:rPr>
            </w:pPr>
            <w:r w:rsidRPr="000425DF">
              <w:rPr>
                <w:rFonts w:asciiTheme="majorBidi" w:hAnsiTheme="majorBidi" w:cstheme="majorBidi"/>
                <w:color w:val="1F3864" w:themeColor="accent1" w:themeShade="80"/>
                <w:sz w:val="24"/>
                <w:szCs w:val="24"/>
                <w:lang w:val="en-US" w:eastAsia="zh-TW"/>
              </w:rPr>
              <w:t>In 2010 care packages with defined levels of remuneration are employed. The maximum tariffs providers can receive for providing packages is set by the Dutch Healthcare Authority. In this framework, the regional care offices (zorgkantoren) who function as the purchasers negotiate the concrete remuneration levels with care providers. Care providers are mainly societal actors (see above). The Care Offices are independently and are connected to the largest healthcare insurer in a region (Zorguerzekeraars Nederland n.d.). Health Insurers are dominantly non-for profit organisations (Kroneman et al. 2016).</w:t>
            </w:r>
          </w:p>
        </w:tc>
        <w:tc>
          <w:tcPr>
            <w:tcW w:w="2835" w:type="dxa"/>
            <w:vAlign w:val="center"/>
          </w:tcPr>
          <w:p w14:paraId="2E099D51" w14:textId="77777777" w:rsidR="00FF407A" w:rsidRPr="000425DF" w:rsidRDefault="00FF407A" w:rsidP="00FF407A">
            <w:pPr>
              <w:rPr>
                <w:rFonts w:asciiTheme="majorBidi" w:hAnsiTheme="majorBidi" w:cstheme="majorBidi"/>
                <w:color w:val="1F3864" w:themeColor="accent1" w:themeShade="80"/>
                <w:sz w:val="24"/>
                <w:szCs w:val="24"/>
                <w:lang w:val="en-US" w:eastAsia="zh-TW"/>
              </w:rPr>
            </w:pPr>
          </w:p>
          <w:p w14:paraId="1008DD8E" w14:textId="02EA33E9" w:rsidR="00FF407A" w:rsidRPr="00FF407A" w:rsidRDefault="00F63F5D" w:rsidP="00FF407A">
            <w:pPr>
              <w:rPr>
                <w:rFonts w:asciiTheme="majorBidi" w:hAnsiTheme="majorBidi" w:cstheme="majorBidi"/>
                <w:sz w:val="24"/>
                <w:szCs w:val="24"/>
              </w:rPr>
            </w:pPr>
            <w:r>
              <w:rPr>
                <w:rFonts w:asciiTheme="majorBidi" w:hAnsiTheme="majorBidi" w:cstheme="majorBidi"/>
                <w:color w:val="1F3864" w:themeColor="accent1" w:themeShade="80"/>
                <w:sz w:val="24"/>
                <w:szCs w:val="24"/>
              </w:rPr>
              <w:t>Da Roit, 2013; Deken &amp; Maarse, 2014; Kelders &amp; De Vaan, 2018; Kroneman et al., 2016; Zorguerzekeraars Nederland, n.d.</w:t>
            </w:r>
          </w:p>
        </w:tc>
        <w:tc>
          <w:tcPr>
            <w:tcW w:w="1418" w:type="dxa"/>
            <w:vAlign w:val="center"/>
          </w:tcPr>
          <w:p w14:paraId="3F2858D1" w14:textId="4DAA1B77" w:rsidR="00FF407A" w:rsidRPr="000425DF" w:rsidRDefault="00FF407A" w:rsidP="00FF407A">
            <w:pPr>
              <w:rPr>
                <w:rFonts w:asciiTheme="majorBidi" w:hAnsiTheme="majorBidi" w:cstheme="majorBidi"/>
                <w:sz w:val="24"/>
                <w:szCs w:val="24"/>
                <w:lang w:val="en-GB"/>
              </w:rPr>
            </w:pPr>
            <w:r w:rsidRPr="000425DF">
              <w:rPr>
                <w:rFonts w:asciiTheme="majorBidi" w:hAnsiTheme="majorBidi" w:cstheme="majorBidi"/>
                <w:color w:val="1F3864" w:themeColor="accent1" w:themeShade="80"/>
                <w:sz w:val="24"/>
                <w:szCs w:val="24"/>
                <w:lang w:val="en-US"/>
              </w:rPr>
              <w:t>Medium</w:t>
            </w:r>
          </w:p>
        </w:tc>
      </w:tr>
      <w:tr w:rsidR="00FF407A" w:rsidRPr="000425DF" w14:paraId="57D29897" w14:textId="77777777" w:rsidTr="00FF407A">
        <w:trPr>
          <w:trHeight w:val="57"/>
        </w:trPr>
        <w:tc>
          <w:tcPr>
            <w:tcW w:w="2830" w:type="dxa"/>
            <w:vAlign w:val="center"/>
          </w:tcPr>
          <w:p w14:paraId="10D26127" w14:textId="176A11BF" w:rsidR="00FF407A" w:rsidRPr="000425DF" w:rsidRDefault="00FF407A" w:rsidP="00FF407A">
            <w:pPr>
              <w:rPr>
                <w:rFonts w:asciiTheme="majorBidi" w:hAnsiTheme="majorBidi" w:cstheme="majorBidi"/>
                <w:i/>
                <w:iCs/>
                <w:sz w:val="24"/>
                <w:szCs w:val="24"/>
                <w:lang w:val="en-GB"/>
              </w:rPr>
            </w:pPr>
            <w:r w:rsidRPr="000425DF">
              <w:rPr>
                <w:rFonts w:asciiTheme="majorBidi" w:hAnsiTheme="majorBidi" w:cstheme="majorBidi"/>
                <w:i/>
                <w:iCs/>
                <w:sz w:val="24"/>
                <w:szCs w:val="24"/>
                <w:lang w:val="en-GB"/>
              </w:rPr>
              <w:t>Provider choice (intr</w:t>
            </w:r>
            <w:r>
              <w:rPr>
                <w:rFonts w:asciiTheme="majorBidi" w:hAnsiTheme="majorBidi" w:cstheme="majorBidi"/>
                <w:i/>
                <w:iCs/>
                <w:sz w:val="24"/>
                <w:szCs w:val="24"/>
                <w:lang w:val="en-GB"/>
              </w:rPr>
              <w:t>oduction)</w:t>
            </w:r>
          </w:p>
        </w:tc>
        <w:tc>
          <w:tcPr>
            <w:tcW w:w="7371" w:type="dxa"/>
            <w:vAlign w:val="center"/>
          </w:tcPr>
          <w:p w14:paraId="37DE5386" w14:textId="77777777" w:rsidR="00FF407A" w:rsidRPr="000425DF" w:rsidRDefault="00FF407A" w:rsidP="00FF407A">
            <w:pPr>
              <w:rPr>
                <w:rFonts w:asciiTheme="majorBidi" w:hAnsiTheme="majorBidi" w:cstheme="majorBidi"/>
                <w:sz w:val="24"/>
                <w:szCs w:val="24"/>
                <w:lang w:val="en-GB"/>
              </w:rPr>
            </w:pPr>
            <w:r w:rsidRPr="000425DF">
              <w:rPr>
                <w:rFonts w:asciiTheme="majorBidi" w:hAnsiTheme="majorBidi" w:cstheme="majorBidi"/>
                <w:sz w:val="24"/>
                <w:szCs w:val="24"/>
                <w:lang w:val="en-GB"/>
              </w:rPr>
              <w:t>Private actors</w:t>
            </w:r>
          </w:p>
          <w:p w14:paraId="71E5D814" w14:textId="67370AE0" w:rsidR="00FF407A" w:rsidRPr="000425DF" w:rsidRDefault="00FF407A" w:rsidP="00FF407A">
            <w:pPr>
              <w:rPr>
                <w:rFonts w:asciiTheme="majorBidi" w:hAnsiTheme="majorBidi" w:cstheme="majorBidi"/>
                <w:sz w:val="24"/>
                <w:szCs w:val="24"/>
                <w:lang w:val="en-GB"/>
              </w:rPr>
            </w:pPr>
            <w:r w:rsidRPr="000425DF">
              <w:rPr>
                <w:rFonts w:asciiTheme="majorBidi" w:hAnsiTheme="majorBidi" w:cstheme="majorBidi"/>
                <w:sz w:val="24"/>
                <w:szCs w:val="24"/>
                <w:lang w:val="en-GB"/>
              </w:rPr>
              <w:t>Recipients can choose their preferred care facility. (In practice, this can be limited as places are scarce and there are waiting lists.)</w:t>
            </w:r>
          </w:p>
        </w:tc>
        <w:tc>
          <w:tcPr>
            <w:tcW w:w="2835" w:type="dxa"/>
            <w:vAlign w:val="center"/>
          </w:tcPr>
          <w:p w14:paraId="199F58FA" w14:textId="00125A91" w:rsidR="00FF407A" w:rsidRPr="000425DF" w:rsidRDefault="00F63F5D" w:rsidP="00FF407A">
            <w:pPr>
              <w:rPr>
                <w:rFonts w:asciiTheme="majorBidi" w:hAnsiTheme="majorBidi" w:cstheme="majorBidi"/>
                <w:sz w:val="24"/>
                <w:szCs w:val="24"/>
                <w:lang w:val="en-GB"/>
              </w:rPr>
            </w:pPr>
            <w:r>
              <w:rPr>
                <w:rFonts w:asciiTheme="majorBidi" w:hAnsiTheme="majorBidi" w:cstheme="majorBidi"/>
                <w:sz w:val="24"/>
                <w:szCs w:val="24"/>
                <w:lang w:val="en-GB"/>
              </w:rPr>
              <w:t>Mot, 2010; Poske, 1985; Winters, 1996</w:t>
            </w:r>
          </w:p>
        </w:tc>
        <w:tc>
          <w:tcPr>
            <w:tcW w:w="1418" w:type="dxa"/>
            <w:vAlign w:val="center"/>
          </w:tcPr>
          <w:p w14:paraId="11251CE8" w14:textId="3DE7113C" w:rsidR="00FF407A" w:rsidRPr="000425DF" w:rsidRDefault="00FF407A" w:rsidP="00FF407A">
            <w:pPr>
              <w:rPr>
                <w:rFonts w:asciiTheme="majorBidi" w:hAnsiTheme="majorBidi" w:cstheme="majorBidi"/>
                <w:sz w:val="24"/>
                <w:szCs w:val="24"/>
                <w:lang w:val="en-GB"/>
              </w:rPr>
            </w:pPr>
            <w:r w:rsidRPr="000425DF">
              <w:rPr>
                <w:rFonts w:asciiTheme="majorBidi" w:hAnsiTheme="majorBidi" w:cstheme="majorBidi"/>
                <w:sz w:val="24"/>
                <w:szCs w:val="24"/>
                <w:lang w:val="en-GB"/>
              </w:rPr>
              <w:t>Medium</w:t>
            </w:r>
          </w:p>
        </w:tc>
      </w:tr>
      <w:tr w:rsidR="00FF407A" w:rsidRPr="000425DF" w14:paraId="47F7168C" w14:textId="77777777" w:rsidTr="00FF407A">
        <w:trPr>
          <w:trHeight w:val="57"/>
        </w:trPr>
        <w:tc>
          <w:tcPr>
            <w:tcW w:w="2830" w:type="dxa"/>
            <w:vAlign w:val="center"/>
          </w:tcPr>
          <w:p w14:paraId="4534CE6B" w14:textId="7D4F6CE7" w:rsidR="00FF407A" w:rsidRPr="000425DF" w:rsidRDefault="00FF407A" w:rsidP="00FF407A">
            <w:pPr>
              <w:rPr>
                <w:rFonts w:asciiTheme="majorBidi" w:hAnsiTheme="majorBidi" w:cstheme="majorBidi"/>
                <w:i/>
                <w:iCs/>
                <w:sz w:val="24"/>
                <w:szCs w:val="24"/>
                <w:lang w:val="en-GB"/>
              </w:rPr>
            </w:pPr>
            <w:r w:rsidRPr="000425DF">
              <w:rPr>
                <w:rFonts w:asciiTheme="majorBidi" w:hAnsiTheme="majorBidi" w:cstheme="majorBidi"/>
                <w:i/>
                <w:iCs/>
                <w:color w:val="1F3864" w:themeColor="accent1" w:themeShade="80"/>
                <w:sz w:val="24"/>
                <w:szCs w:val="24"/>
                <w:lang w:val="en-GB"/>
              </w:rPr>
              <w:t>Provider choice (</w:t>
            </w:r>
            <w:r>
              <w:rPr>
                <w:rFonts w:asciiTheme="majorBidi" w:hAnsiTheme="majorBidi" w:cstheme="majorBidi"/>
                <w:i/>
                <w:iCs/>
                <w:color w:val="1F3864" w:themeColor="accent1" w:themeShade="80"/>
                <w:sz w:val="24"/>
                <w:szCs w:val="24"/>
                <w:lang w:val="en-GB"/>
              </w:rPr>
              <w:t>today)</w:t>
            </w:r>
          </w:p>
        </w:tc>
        <w:tc>
          <w:tcPr>
            <w:tcW w:w="7371" w:type="dxa"/>
            <w:vAlign w:val="center"/>
          </w:tcPr>
          <w:p w14:paraId="1256631D" w14:textId="77777777" w:rsidR="00FF407A" w:rsidRPr="000425DF" w:rsidRDefault="00FF407A" w:rsidP="00FF407A">
            <w:pPr>
              <w:rPr>
                <w:rFonts w:asciiTheme="majorBidi" w:hAnsiTheme="majorBidi" w:cstheme="majorBidi"/>
                <w:color w:val="1F3864" w:themeColor="accent1" w:themeShade="80"/>
                <w:sz w:val="24"/>
                <w:szCs w:val="24"/>
                <w:lang w:val="en-US"/>
              </w:rPr>
            </w:pPr>
            <w:r w:rsidRPr="000425DF">
              <w:rPr>
                <w:rFonts w:asciiTheme="majorBidi" w:hAnsiTheme="majorBidi" w:cstheme="majorBidi"/>
                <w:color w:val="1F3864" w:themeColor="accent1" w:themeShade="80"/>
                <w:sz w:val="24"/>
                <w:szCs w:val="24"/>
                <w:lang w:val="en-US"/>
              </w:rPr>
              <w:t>Private actors</w:t>
            </w:r>
          </w:p>
          <w:p w14:paraId="15DFB87D" w14:textId="1724FE85" w:rsidR="00FF407A" w:rsidRPr="000425DF" w:rsidRDefault="00FF407A" w:rsidP="00FF407A">
            <w:pPr>
              <w:rPr>
                <w:rFonts w:asciiTheme="majorBidi" w:hAnsiTheme="majorBidi" w:cstheme="majorBidi"/>
                <w:sz w:val="24"/>
                <w:szCs w:val="24"/>
                <w:lang w:val="en-GB"/>
              </w:rPr>
            </w:pPr>
            <w:r w:rsidRPr="000425DF">
              <w:rPr>
                <w:rFonts w:asciiTheme="majorBidi" w:hAnsiTheme="majorBidi" w:cstheme="majorBidi"/>
                <w:color w:val="1F3864" w:themeColor="accent1" w:themeShade="80"/>
                <w:sz w:val="24"/>
                <w:szCs w:val="24"/>
                <w:lang w:val="en-US"/>
              </w:rPr>
              <w:t>Care recipients can choose providers (from the ones contracted with the Care Offices). There is no change in this sub-dimension.</w:t>
            </w:r>
          </w:p>
        </w:tc>
        <w:tc>
          <w:tcPr>
            <w:tcW w:w="2835" w:type="dxa"/>
            <w:vAlign w:val="center"/>
          </w:tcPr>
          <w:p w14:paraId="42B5502D" w14:textId="1F2322BB" w:rsidR="00FF407A" w:rsidRPr="000425DF" w:rsidRDefault="00F63F5D" w:rsidP="00FF407A">
            <w:pPr>
              <w:rPr>
                <w:rFonts w:asciiTheme="majorBidi" w:hAnsiTheme="majorBidi" w:cstheme="majorBidi"/>
                <w:sz w:val="24"/>
                <w:szCs w:val="24"/>
                <w:lang w:val="en-GB"/>
              </w:rPr>
            </w:pPr>
            <w:r>
              <w:rPr>
                <w:rFonts w:asciiTheme="majorBidi" w:hAnsiTheme="majorBidi" w:cstheme="majorBidi"/>
                <w:color w:val="1F3864" w:themeColor="accent1" w:themeShade="80"/>
                <w:sz w:val="24"/>
                <w:szCs w:val="24"/>
                <w:lang w:val="en-GB" w:eastAsia="zh-TW"/>
              </w:rPr>
              <w:t>Dijkhoff, 2018</w:t>
            </w:r>
          </w:p>
        </w:tc>
        <w:tc>
          <w:tcPr>
            <w:tcW w:w="1418" w:type="dxa"/>
            <w:vAlign w:val="center"/>
          </w:tcPr>
          <w:p w14:paraId="40D1B41A" w14:textId="0956C14B" w:rsidR="00FF407A" w:rsidRPr="000425DF" w:rsidRDefault="00FF407A" w:rsidP="00FF407A">
            <w:pPr>
              <w:rPr>
                <w:rFonts w:asciiTheme="majorBidi" w:hAnsiTheme="majorBidi" w:cstheme="majorBidi"/>
                <w:sz w:val="24"/>
                <w:szCs w:val="24"/>
                <w:lang w:val="en-GB"/>
              </w:rPr>
            </w:pPr>
            <w:r w:rsidRPr="000425DF">
              <w:rPr>
                <w:rFonts w:asciiTheme="majorBidi" w:hAnsiTheme="majorBidi" w:cstheme="majorBidi"/>
                <w:color w:val="1F3864" w:themeColor="accent1" w:themeShade="80"/>
                <w:sz w:val="24"/>
                <w:szCs w:val="24"/>
                <w:lang w:val="en-GB" w:eastAsia="zh-TW"/>
              </w:rPr>
              <w:t>Medium</w:t>
            </w:r>
          </w:p>
        </w:tc>
      </w:tr>
      <w:tr w:rsidR="00FF407A" w:rsidRPr="000425DF" w14:paraId="5A0D3762" w14:textId="77777777" w:rsidTr="00FF407A">
        <w:trPr>
          <w:trHeight w:val="57"/>
        </w:trPr>
        <w:tc>
          <w:tcPr>
            <w:tcW w:w="2830" w:type="dxa"/>
            <w:vAlign w:val="center"/>
          </w:tcPr>
          <w:p w14:paraId="6D28CF2D" w14:textId="4C7E010C" w:rsidR="00FF407A" w:rsidRPr="000425DF" w:rsidRDefault="00FF407A" w:rsidP="00FF407A">
            <w:pPr>
              <w:rPr>
                <w:rFonts w:asciiTheme="majorBidi" w:hAnsiTheme="majorBidi" w:cstheme="majorBidi"/>
                <w:i/>
                <w:iCs/>
                <w:sz w:val="24"/>
                <w:szCs w:val="24"/>
                <w:lang w:val="en-GB"/>
              </w:rPr>
            </w:pPr>
            <w:r w:rsidRPr="000425DF">
              <w:rPr>
                <w:rFonts w:asciiTheme="majorBidi" w:hAnsiTheme="majorBidi" w:cstheme="majorBidi"/>
                <w:i/>
                <w:iCs/>
                <w:sz w:val="24"/>
                <w:szCs w:val="24"/>
                <w:lang w:val="en-GB" w:eastAsia="zh-TW"/>
              </w:rPr>
              <w:t>Benefit choice (in</w:t>
            </w:r>
            <w:r>
              <w:rPr>
                <w:rFonts w:asciiTheme="majorBidi" w:hAnsiTheme="majorBidi" w:cstheme="majorBidi"/>
                <w:i/>
                <w:iCs/>
                <w:sz w:val="24"/>
                <w:szCs w:val="24"/>
                <w:lang w:val="en-GB" w:eastAsia="zh-TW"/>
              </w:rPr>
              <w:t>troduction)</w:t>
            </w:r>
          </w:p>
        </w:tc>
        <w:tc>
          <w:tcPr>
            <w:tcW w:w="7371" w:type="dxa"/>
            <w:vAlign w:val="center"/>
          </w:tcPr>
          <w:p w14:paraId="60F5A54D" w14:textId="77777777" w:rsidR="00FF407A" w:rsidRPr="000425DF" w:rsidRDefault="00FF407A" w:rsidP="00FF407A">
            <w:pPr>
              <w:rPr>
                <w:rFonts w:asciiTheme="majorBidi" w:hAnsiTheme="majorBidi" w:cstheme="majorBidi"/>
                <w:sz w:val="24"/>
                <w:szCs w:val="24"/>
                <w:lang w:val="en-GB" w:eastAsia="zh-TW"/>
              </w:rPr>
            </w:pPr>
            <w:r w:rsidRPr="000425DF">
              <w:rPr>
                <w:rFonts w:asciiTheme="majorBidi" w:hAnsiTheme="majorBidi" w:cstheme="majorBidi"/>
                <w:sz w:val="24"/>
                <w:szCs w:val="24"/>
                <w:lang w:val="en-GB" w:eastAsia="zh-TW"/>
              </w:rPr>
              <w:t>State</w:t>
            </w:r>
          </w:p>
          <w:p w14:paraId="51A0D4C7" w14:textId="4AD35B55" w:rsidR="00FF407A" w:rsidRPr="000425DF" w:rsidRDefault="00FF407A" w:rsidP="00FF407A">
            <w:pPr>
              <w:rPr>
                <w:rFonts w:asciiTheme="majorBidi" w:hAnsiTheme="majorBidi" w:cstheme="majorBidi"/>
                <w:sz w:val="24"/>
                <w:szCs w:val="24"/>
                <w:lang w:val="en-GB"/>
              </w:rPr>
            </w:pPr>
            <w:r w:rsidRPr="000425DF">
              <w:rPr>
                <w:rFonts w:asciiTheme="majorBidi" w:hAnsiTheme="majorBidi" w:cstheme="majorBidi"/>
                <w:sz w:val="24"/>
                <w:szCs w:val="24"/>
                <w:lang w:val="en-GB" w:eastAsia="zh-TW"/>
              </w:rPr>
              <w:t>As there is only one type of benefits (residential care, see provision), the state has predefined the benefit type by law.</w:t>
            </w:r>
          </w:p>
        </w:tc>
        <w:tc>
          <w:tcPr>
            <w:tcW w:w="2835" w:type="dxa"/>
            <w:vAlign w:val="center"/>
          </w:tcPr>
          <w:p w14:paraId="220FB1A2" w14:textId="77777777" w:rsidR="00FF407A" w:rsidRPr="000425DF" w:rsidRDefault="00FF407A" w:rsidP="00FF407A">
            <w:pPr>
              <w:rPr>
                <w:rFonts w:asciiTheme="majorBidi" w:hAnsiTheme="majorBidi" w:cstheme="majorBidi"/>
                <w:sz w:val="24"/>
                <w:szCs w:val="24"/>
                <w:lang w:val="en-GB"/>
              </w:rPr>
            </w:pPr>
          </w:p>
        </w:tc>
        <w:tc>
          <w:tcPr>
            <w:tcW w:w="1418" w:type="dxa"/>
            <w:vAlign w:val="center"/>
          </w:tcPr>
          <w:p w14:paraId="4F1E5770" w14:textId="296395FC" w:rsidR="00FF407A" w:rsidRPr="000425DF" w:rsidRDefault="00FF407A" w:rsidP="00FF407A">
            <w:pPr>
              <w:rPr>
                <w:rFonts w:asciiTheme="majorBidi" w:hAnsiTheme="majorBidi" w:cstheme="majorBidi"/>
                <w:sz w:val="24"/>
                <w:szCs w:val="24"/>
                <w:lang w:val="en-GB"/>
              </w:rPr>
            </w:pPr>
            <w:r w:rsidRPr="000425DF">
              <w:rPr>
                <w:rFonts w:asciiTheme="majorBidi" w:hAnsiTheme="majorBidi" w:cstheme="majorBidi"/>
                <w:sz w:val="24"/>
                <w:szCs w:val="24"/>
                <w:lang w:val="en-GB" w:eastAsia="zh-TW"/>
              </w:rPr>
              <w:t>High</w:t>
            </w:r>
          </w:p>
        </w:tc>
      </w:tr>
      <w:tr w:rsidR="00FF407A" w:rsidRPr="00F63F5D" w14:paraId="5CCDA0BB" w14:textId="77777777" w:rsidTr="00FF407A">
        <w:trPr>
          <w:trHeight w:val="57"/>
        </w:trPr>
        <w:tc>
          <w:tcPr>
            <w:tcW w:w="2830" w:type="dxa"/>
            <w:vAlign w:val="center"/>
          </w:tcPr>
          <w:p w14:paraId="48128052" w14:textId="6B77944F" w:rsidR="00FF407A" w:rsidRPr="000425DF" w:rsidRDefault="00FF407A" w:rsidP="00FF407A">
            <w:pPr>
              <w:rPr>
                <w:rFonts w:asciiTheme="majorBidi" w:hAnsiTheme="majorBidi" w:cstheme="majorBidi"/>
                <w:i/>
                <w:iCs/>
                <w:sz w:val="24"/>
                <w:szCs w:val="24"/>
                <w:lang w:val="en-GB"/>
              </w:rPr>
            </w:pPr>
            <w:r w:rsidRPr="000425DF">
              <w:rPr>
                <w:rFonts w:asciiTheme="majorBidi" w:hAnsiTheme="majorBidi" w:cstheme="majorBidi"/>
                <w:i/>
                <w:iCs/>
                <w:color w:val="1F3864" w:themeColor="accent1" w:themeShade="80"/>
                <w:sz w:val="24"/>
                <w:szCs w:val="24"/>
                <w:lang w:val="en-GB" w:eastAsia="zh-TW"/>
              </w:rPr>
              <w:t>Benefit choice (</w:t>
            </w:r>
            <w:r>
              <w:rPr>
                <w:rFonts w:asciiTheme="majorBidi" w:hAnsiTheme="majorBidi" w:cstheme="majorBidi"/>
                <w:i/>
                <w:iCs/>
                <w:color w:val="1F3864" w:themeColor="accent1" w:themeShade="80"/>
                <w:sz w:val="24"/>
                <w:szCs w:val="24"/>
                <w:lang w:val="en-GB" w:eastAsia="zh-TW"/>
              </w:rPr>
              <w:t>today)</w:t>
            </w:r>
          </w:p>
        </w:tc>
        <w:tc>
          <w:tcPr>
            <w:tcW w:w="7371" w:type="dxa"/>
            <w:vAlign w:val="center"/>
          </w:tcPr>
          <w:p w14:paraId="2CEFA54E" w14:textId="77777777" w:rsidR="00FF407A" w:rsidRPr="000425DF" w:rsidRDefault="00FF407A" w:rsidP="00FF407A">
            <w:pPr>
              <w:rPr>
                <w:rFonts w:asciiTheme="majorBidi" w:hAnsiTheme="majorBidi" w:cstheme="majorBidi"/>
                <w:color w:val="1F3864" w:themeColor="accent1" w:themeShade="80"/>
                <w:sz w:val="24"/>
                <w:szCs w:val="24"/>
                <w:lang w:val="en-GB" w:eastAsia="zh-TW"/>
              </w:rPr>
            </w:pPr>
            <w:r w:rsidRPr="000425DF">
              <w:rPr>
                <w:rFonts w:asciiTheme="majorBidi" w:hAnsiTheme="majorBidi" w:cstheme="majorBidi"/>
                <w:color w:val="1F3864" w:themeColor="accent1" w:themeShade="80"/>
                <w:sz w:val="24"/>
                <w:szCs w:val="24"/>
                <w:lang w:val="en-GB" w:eastAsia="zh-TW"/>
              </w:rPr>
              <w:t>State &amp; private actors</w:t>
            </w:r>
          </w:p>
          <w:p w14:paraId="08D19BD7" w14:textId="00A56DB1" w:rsidR="00FF407A" w:rsidRPr="000425DF" w:rsidRDefault="00FF407A" w:rsidP="00FF407A">
            <w:pPr>
              <w:rPr>
                <w:rFonts w:asciiTheme="majorBidi" w:hAnsiTheme="majorBidi" w:cstheme="majorBidi"/>
                <w:sz w:val="24"/>
                <w:szCs w:val="24"/>
                <w:lang w:val="en-GB"/>
              </w:rPr>
            </w:pPr>
            <w:r w:rsidRPr="000425DF">
              <w:rPr>
                <w:rFonts w:asciiTheme="majorBidi" w:hAnsiTheme="majorBidi" w:cstheme="majorBidi"/>
                <w:color w:val="1F3864" w:themeColor="accent1" w:themeShade="80"/>
                <w:sz w:val="24"/>
                <w:szCs w:val="24"/>
                <w:lang w:val="en-GB" w:eastAsia="zh-TW"/>
              </w:rPr>
              <w:t xml:space="preserve">In the later years of the AWBZ system (mid 1990s-mid 2010s), there was limited choice of benefit types for care recipients. Besides residential and home care in kind, there was also the possibility of receiving a personal budget (PB). However, there was no “legal right” to the PB option and it was  subject to budgetary constraints (Dijkhoff 2018). The regulations of the </w:t>
            </w:r>
            <w:r w:rsidRPr="000425DF">
              <w:rPr>
                <w:rFonts w:asciiTheme="majorBidi" w:hAnsiTheme="majorBidi" w:cstheme="majorBidi"/>
                <w:color w:val="1F3864" w:themeColor="accent1" w:themeShade="80"/>
                <w:sz w:val="24"/>
                <w:szCs w:val="24"/>
                <w:lang w:val="en-GB"/>
              </w:rPr>
              <w:t>PB were made my ministerial degree. (This was later changes with more choice being introduced with the Wlz). (From the late 2000s, parts of home care were transferred to a separate scheme, the WMO, under responsibility of the municipalities).</w:t>
            </w:r>
          </w:p>
        </w:tc>
        <w:tc>
          <w:tcPr>
            <w:tcW w:w="2835" w:type="dxa"/>
            <w:vAlign w:val="center"/>
          </w:tcPr>
          <w:p w14:paraId="6C54369C" w14:textId="0535F0CC" w:rsidR="00FF407A" w:rsidRPr="00507DB2" w:rsidRDefault="00F63F5D" w:rsidP="00FF407A">
            <w:pPr>
              <w:rPr>
                <w:rFonts w:asciiTheme="majorBidi" w:hAnsiTheme="majorBidi" w:cstheme="majorBidi"/>
                <w:sz w:val="24"/>
                <w:szCs w:val="24"/>
              </w:rPr>
            </w:pPr>
            <w:r w:rsidRPr="00507DB2">
              <w:rPr>
                <w:rFonts w:asciiTheme="majorBidi" w:hAnsiTheme="majorBidi" w:cstheme="majorBidi"/>
                <w:color w:val="1F3864" w:themeColor="accent1" w:themeShade="80"/>
                <w:sz w:val="24"/>
                <w:szCs w:val="24"/>
              </w:rPr>
              <w:t>Da Roit, 2013; Deken &amp; Maarse, 2014; Dijkhoff, 2018</w:t>
            </w:r>
          </w:p>
        </w:tc>
        <w:tc>
          <w:tcPr>
            <w:tcW w:w="1418" w:type="dxa"/>
            <w:vAlign w:val="center"/>
          </w:tcPr>
          <w:p w14:paraId="75BFDEA7" w14:textId="73214C64" w:rsidR="00FF407A" w:rsidRPr="00F63F5D" w:rsidRDefault="00FF407A" w:rsidP="00FF407A">
            <w:pPr>
              <w:rPr>
                <w:rFonts w:asciiTheme="majorBidi" w:hAnsiTheme="majorBidi" w:cstheme="majorBidi"/>
                <w:sz w:val="24"/>
                <w:szCs w:val="24"/>
                <w:lang w:val="en-US"/>
              </w:rPr>
            </w:pPr>
            <w:r w:rsidRPr="00F63F5D">
              <w:rPr>
                <w:rFonts w:asciiTheme="majorBidi" w:hAnsiTheme="majorBidi" w:cstheme="majorBidi"/>
                <w:color w:val="1F3864" w:themeColor="accent1" w:themeShade="80"/>
                <w:sz w:val="24"/>
                <w:szCs w:val="24"/>
                <w:lang w:val="en-US"/>
              </w:rPr>
              <w:t>High</w:t>
            </w:r>
          </w:p>
        </w:tc>
      </w:tr>
      <w:tr w:rsidR="00FF407A" w:rsidRPr="00F63F5D" w14:paraId="2D69C780" w14:textId="77777777" w:rsidTr="00FF407A">
        <w:trPr>
          <w:trHeight w:val="57"/>
        </w:trPr>
        <w:tc>
          <w:tcPr>
            <w:tcW w:w="14454" w:type="dxa"/>
            <w:gridSpan w:val="4"/>
            <w:tcBorders>
              <w:bottom w:val="single" w:sz="4" w:space="0" w:color="auto"/>
            </w:tcBorders>
            <w:shd w:val="clear" w:color="auto" w:fill="auto"/>
            <w:vAlign w:val="center"/>
          </w:tcPr>
          <w:p w14:paraId="78D20DD6" w14:textId="56AC3424" w:rsidR="00FF407A" w:rsidRPr="00F63F5D" w:rsidRDefault="00FF407A" w:rsidP="00FF407A">
            <w:pPr>
              <w:rPr>
                <w:rFonts w:asciiTheme="majorBidi" w:hAnsiTheme="majorBidi" w:cstheme="majorBidi"/>
                <w:color w:val="1F3864" w:themeColor="accent1" w:themeShade="80"/>
                <w:sz w:val="24"/>
                <w:szCs w:val="24"/>
                <w:lang w:val="en-US"/>
              </w:rPr>
            </w:pPr>
            <w:r w:rsidRPr="00F63F5D">
              <w:rPr>
                <w:rFonts w:asciiTheme="majorBidi" w:hAnsiTheme="majorBidi" w:cstheme="majorBidi"/>
                <w:b/>
                <w:bCs/>
                <w:sz w:val="24"/>
                <w:szCs w:val="24"/>
                <w:lang w:val="en-US"/>
              </w:rPr>
              <w:t>South Korea</w:t>
            </w:r>
          </w:p>
        </w:tc>
      </w:tr>
      <w:tr w:rsidR="00FF407A" w:rsidRPr="000425DF" w14:paraId="00164097" w14:textId="77777777" w:rsidTr="00FF407A">
        <w:trPr>
          <w:trHeight w:val="57"/>
        </w:trPr>
        <w:tc>
          <w:tcPr>
            <w:tcW w:w="2830" w:type="dxa"/>
            <w:tcBorders>
              <w:bottom w:val="single" w:sz="4" w:space="0" w:color="auto"/>
            </w:tcBorders>
            <w:vAlign w:val="center"/>
          </w:tcPr>
          <w:p w14:paraId="4E173D9C" w14:textId="19FB14D5" w:rsidR="00FF407A" w:rsidRPr="00F63F5D" w:rsidRDefault="00FF407A" w:rsidP="00FF407A">
            <w:pPr>
              <w:rPr>
                <w:rFonts w:asciiTheme="majorBidi" w:hAnsiTheme="majorBidi" w:cstheme="majorBidi"/>
                <w:i/>
                <w:iCs/>
                <w:color w:val="1F3864" w:themeColor="accent1" w:themeShade="80"/>
                <w:sz w:val="24"/>
                <w:szCs w:val="24"/>
                <w:lang w:val="en-US"/>
              </w:rPr>
            </w:pPr>
            <w:r w:rsidRPr="00F63F5D">
              <w:rPr>
                <w:rFonts w:asciiTheme="majorBidi" w:hAnsiTheme="majorBidi" w:cstheme="majorBidi"/>
                <w:i/>
                <w:iCs/>
                <w:sz w:val="24"/>
                <w:szCs w:val="24"/>
                <w:lang w:val="en-US"/>
              </w:rPr>
              <w:lastRenderedPageBreak/>
              <w:t>Eligibility assessment</w:t>
            </w:r>
          </w:p>
        </w:tc>
        <w:tc>
          <w:tcPr>
            <w:tcW w:w="7371" w:type="dxa"/>
            <w:tcBorders>
              <w:bottom w:val="single" w:sz="4" w:space="0" w:color="auto"/>
            </w:tcBorders>
            <w:vAlign w:val="center"/>
          </w:tcPr>
          <w:p w14:paraId="505AEE8B" w14:textId="77777777" w:rsidR="00FF407A" w:rsidRPr="00F63F5D" w:rsidRDefault="00FF407A" w:rsidP="00FF407A">
            <w:pPr>
              <w:rPr>
                <w:rFonts w:asciiTheme="majorBidi" w:hAnsiTheme="majorBidi" w:cstheme="majorBidi"/>
                <w:sz w:val="24"/>
                <w:szCs w:val="24"/>
                <w:lang w:val="en-US"/>
              </w:rPr>
            </w:pPr>
            <w:r w:rsidRPr="00F63F5D">
              <w:rPr>
                <w:rFonts w:asciiTheme="majorBidi" w:hAnsiTheme="majorBidi" w:cstheme="majorBidi"/>
                <w:sz w:val="24"/>
                <w:szCs w:val="24"/>
                <w:lang w:val="en-US"/>
              </w:rPr>
              <w:t>Societal actors</w:t>
            </w:r>
          </w:p>
          <w:p w14:paraId="6CA367C8" w14:textId="4B7E290E" w:rsidR="00FF407A" w:rsidRPr="000425DF" w:rsidRDefault="00FF407A" w:rsidP="00FF407A">
            <w:pPr>
              <w:rPr>
                <w:rFonts w:asciiTheme="majorBidi" w:hAnsiTheme="majorBidi" w:cstheme="majorBidi"/>
                <w:color w:val="1F3864" w:themeColor="accent1" w:themeShade="80"/>
                <w:sz w:val="24"/>
                <w:szCs w:val="24"/>
                <w:lang w:val="en-GB"/>
              </w:rPr>
            </w:pPr>
            <w:r w:rsidRPr="00F63F5D">
              <w:rPr>
                <w:rFonts w:asciiTheme="majorBidi" w:hAnsiTheme="majorBidi" w:cstheme="majorBidi"/>
                <w:sz w:val="24"/>
                <w:szCs w:val="24"/>
                <w:lang w:val="en-US"/>
              </w:rPr>
              <w:t>The Nati</w:t>
            </w:r>
            <w:r w:rsidRPr="000425DF">
              <w:rPr>
                <w:rFonts w:asciiTheme="majorBidi" w:hAnsiTheme="majorBidi" w:cstheme="majorBidi"/>
                <w:sz w:val="24"/>
                <w:szCs w:val="24"/>
                <w:lang w:val="en-US"/>
              </w:rPr>
              <w:t>onal Health Insurance Corporation (NHIC) is responsible for eligibility assessment. (The NHIC can also delegate assessment to municipalities/cities.)</w:t>
            </w:r>
          </w:p>
        </w:tc>
        <w:tc>
          <w:tcPr>
            <w:tcW w:w="2835" w:type="dxa"/>
            <w:vAlign w:val="center"/>
          </w:tcPr>
          <w:p w14:paraId="53D142E4" w14:textId="438C5EDC" w:rsidR="00FF407A" w:rsidRPr="00FF407A" w:rsidRDefault="00FF407A" w:rsidP="00FF407A">
            <w:pPr>
              <w:rPr>
                <w:rFonts w:asciiTheme="majorBidi" w:hAnsiTheme="majorBidi" w:cstheme="majorBidi"/>
                <w:color w:val="1F3864" w:themeColor="accent1" w:themeShade="80"/>
                <w:sz w:val="24"/>
                <w:szCs w:val="24"/>
                <w:lang w:val="en-US"/>
              </w:rPr>
            </w:pPr>
            <w:r w:rsidRPr="000425DF">
              <w:rPr>
                <w:rFonts w:asciiTheme="majorBidi" w:hAnsiTheme="majorBidi" w:cstheme="majorBidi"/>
                <w:sz w:val="24"/>
                <w:szCs w:val="24"/>
                <w:lang w:val="en-GB"/>
              </w:rPr>
              <w:t xml:space="preserve">LTCI Act; </w:t>
            </w:r>
            <w:r w:rsidR="00F63F5D">
              <w:rPr>
                <w:rFonts w:asciiTheme="majorBidi" w:hAnsiTheme="majorBidi" w:cstheme="majorBidi"/>
                <w:sz w:val="24"/>
                <w:szCs w:val="24"/>
                <w:lang w:val="en-GB"/>
              </w:rPr>
              <w:t>Maags, 2020; OECD, 2011b; Rhee et al., 2015</w:t>
            </w:r>
          </w:p>
        </w:tc>
        <w:tc>
          <w:tcPr>
            <w:tcW w:w="1418" w:type="dxa"/>
            <w:vAlign w:val="center"/>
          </w:tcPr>
          <w:p w14:paraId="1DFFF993" w14:textId="3992749F" w:rsidR="00FF407A" w:rsidRPr="00FF407A" w:rsidRDefault="00FF407A" w:rsidP="00FF407A">
            <w:pPr>
              <w:rPr>
                <w:rFonts w:asciiTheme="majorBidi" w:hAnsiTheme="majorBidi" w:cstheme="majorBidi"/>
                <w:color w:val="1F3864" w:themeColor="accent1" w:themeShade="80"/>
                <w:sz w:val="24"/>
                <w:szCs w:val="24"/>
                <w:lang w:val="en-US"/>
              </w:rPr>
            </w:pPr>
            <w:r w:rsidRPr="000425DF">
              <w:rPr>
                <w:rFonts w:asciiTheme="majorBidi" w:hAnsiTheme="majorBidi" w:cstheme="majorBidi"/>
                <w:sz w:val="24"/>
                <w:szCs w:val="24"/>
                <w:lang w:val="en-US"/>
              </w:rPr>
              <w:t>High</w:t>
            </w:r>
          </w:p>
        </w:tc>
      </w:tr>
      <w:tr w:rsidR="00FF407A" w:rsidRPr="000425DF" w14:paraId="3CB0C832" w14:textId="77777777" w:rsidTr="00FF407A">
        <w:trPr>
          <w:trHeight w:val="57"/>
        </w:trPr>
        <w:tc>
          <w:tcPr>
            <w:tcW w:w="2830" w:type="dxa"/>
            <w:tcBorders>
              <w:bottom w:val="single" w:sz="4" w:space="0" w:color="auto"/>
            </w:tcBorders>
            <w:vAlign w:val="center"/>
          </w:tcPr>
          <w:p w14:paraId="70B89F91" w14:textId="4290BB7F" w:rsidR="00FF407A" w:rsidRPr="000425DF" w:rsidRDefault="00FF407A" w:rsidP="00FF407A">
            <w:pPr>
              <w:rPr>
                <w:rFonts w:asciiTheme="majorBidi" w:hAnsiTheme="majorBidi" w:cstheme="majorBidi"/>
                <w:i/>
                <w:iCs/>
                <w:color w:val="1F3864" w:themeColor="accent1" w:themeShade="80"/>
                <w:sz w:val="24"/>
                <w:szCs w:val="24"/>
                <w:lang w:val="en-GB"/>
              </w:rPr>
            </w:pPr>
            <w:r w:rsidRPr="000425DF">
              <w:rPr>
                <w:rFonts w:asciiTheme="majorBidi" w:hAnsiTheme="majorBidi" w:cstheme="majorBidi"/>
                <w:i/>
                <w:iCs/>
                <w:sz w:val="24"/>
                <w:szCs w:val="24"/>
                <w:lang w:val="en-GB"/>
              </w:rPr>
              <w:t>Payment/contributions</w:t>
            </w:r>
          </w:p>
        </w:tc>
        <w:tc>
          <w:tcPr>
            <w:tcW w:w="7371" w:type="dxa"/>
            <w:tcBorders>
              <w:bottom w:val="single" w:sz="4" w:space="0" w:color="auto"/>
            </w:tcBorders>
            <w:vAlign w:val="center"/>
          </w:tcPr>
          <w:p w14:paraId="4575D8C5" w14:textId="77777777" w:rsidR="00FF407A" w:rsidRPr="000425DF" w:rsidRDefault="00FF407A" w:rsidP="00FF407A">
            <w:pPr>
              <w:rPr>
                <w:rFonts w:asciiTheme="majorBidi" w:hAnsiTheme="majorBidi" w:cstheme="majorBidi"/>
                <w:sz w:val="24"/>
                <w:szCs w:val="24"/>
                <w:lang w:val="en-US"/>
              </w:rPr>
            </w:pPr>
            <w:r w:rsidRPr="000425DF">
              <w:rPr>
                <w:rFonts w:asciiTheme="majorBidi" w:hAnsiTheme="majorBidi" w:cstheme="majorBidi"/>
                <w:sz w:val="24"/>
                <w:szCs w:val="24"/>
                <w:lang w:val="en-US"/>
              </w:rPr>
              <w:t>State</w:t>
            </w:r>
          </w:p>
          <w:p w14:paraId="75CE7F26" w14:textId="5509CB0B" w:rsidR="00FF407A" w:rsidRPr="000425DF" w:rsidRDefault="00FF407A" w:rsidP="00FF407A">
            <w:pPr>
              <w:rPr>
                <w:rFonts w:asciiTheme="majorBidi" w:hAnsiTheme="majorBidi" w:cstheme="majorBidi"/>
                <w:color w:val="1F3864" w:themeColor="accent1" w:themeShade="80"/>
                <w:sz w:val="24"/>
                <w:szCs w:val="24"/>
                <w:lang w:val="en-GB"/>
              </w:rPr>
            </w:pPr>
            <w:r w:rsidRPr="000425DF">
              <w:rPr>
                <w:rFonts w:asciiTheme="majorBidi" w:hAnsiTheme="majorBidi" w:cstheme="majorBidi"/>
                <w:sz w:val="24"/>
                <w:szCs w:val="24"/>
                <w:lang w:val="en-US"/>
              </w:rPr>
              <w:t>The LTCI Act defines that the premiums will be set by a Presidential Decree (Art. 9).</w:t>
            </w:r>
          </w:p>
        </w:tc>
        <w:tc>
          <w:tcPr>
            <w:tcW w:w="2835" w:type="dxa"/>
            <w:vAlign w:val="center"/>
          </w:tcPr>
          <w:p w14:paraId="0DF0DE00" w14:textId="73BF37CA" w:rsidR="00FF407A" w:rsidRPr="00FF407A" w:rsidRDefault="00FF407A" w:rsidP="00FF407A">
            <w:pPr>
              <w:rPr>
                <w:rFonts w:asciiTheme="majorBidi" w:hAnsiTheme="majorBidi" w:cstheme="majorBidi"/>
                <w:color w:val="1F3864" w:themeColor="accent1" w:themeShade="80"/>
                <w:sz w:val="24"/>
                <w:szCs w:val="24"/>
                <w:lang w:val="en-US"/>
              </w:rPr>
            </w:pPr>
            <w:r w:rsidRPr="000425DF">
              <w:rPr>
                <w:rFonts w:asciiTheme="majorBidi" w:hAnsiTheme="majorBidi" w:cstheme="majorBidi"/>
                <w:sz w:val="24"/>
                <w:szCs w:val="24"/>
                <w:lang w:val="en-US"/>
              </w:rPr>
              <w:t>LTCI Act</w:t>
            </w:r>
          </w:p>
        </w:tc>
        <w:tc>
          <w:tcPr>
            <w:tcW w:w="1418" w:type="dxa"/>
            <w:vAlign w:val="center"/>
          </w:tcPr>
          <w:p w14:paraId="6C816FF4" w14:textId="09CC3593" w:rsidR="00FF407A" w:rsidRPr="00FF407A" w:rsidRDefault="00FF407A" w:rsidP="00FF407A">
            <w:pPr>
              <w:rPr>
                <w:rFonts w:asciiTheme="majorBidi" w:hAnsiTheme="majorBidi" w:cstheme="majorBidi"/>
                <w:color w:val="1F3864" w:themeColor="accent1" w:themeShade="80"/>
                <w:sz w:val="24"/>
                <w:szCs w:val="24"/>
                <w:lang w:val="en-US"/>
              </w:rPr>
            </w:pPr>
            <w:r w:rsidRPr="000425DF">
              <w:rPr>
                <w:rFonts w:asciiTheme="majorBidi" w:hAnsiTheme="majorBidi" w:cstheme="majorBidi"/>
                <w:sz w:val="24"/>
                <w:szCs w:val="24"/>
                <w:lang w:val="en-GB"/>
              </w:rPr>
              <w:t>Medium</w:t>
            </w:r>
          </w:p>
        </w:tc>
      </w:tr>
      <w:tr w:rsidR="00FF407A" w:rsidRPr="000425DF" w14:paraId="5B1CC23C" w14:textId="77777777" w:rsidTr="00FF407A">
        <w:trPr>
          <w:trHeight w:val="57"/>
        </w:trPr>
        <w:tc>
          <w:tcPr>
            <w:tcW w:w="2830" w:type="dxa"/>
            <w:tcBorders>
              <w:bottom w:val="single" w:sz="4" w:space="0" w:color="auto"/>
            </w:tcBorders>
            <w:vAlign w:val="center"/>
          </w:tcPr>
          <w:p w14:paraId="64FCF702" w14:textId="7A2FFF2C" w:rsidR="00FF407A" w:rsidRPr="000425DF" w:rsidRDefault="00FF407A" w:rsidP="00FF407A">
            <w:pPr>
              <w:rPr>
                <w:rFonts w:asciiTheme="majorBidi" w:hAnsiTheme="majorBidi" w:cstheme="majorBidi"/>
                <w:i/>
                <w:iCs/>
                <w:color w:val="1F3864" w:themeColor="accent1" w:themeShade="80"/>
                <w:sz w:val="24"/>
                <w:szCs w:val="24"/>
                <w:lang w:val="en-GB"/>
              </w:rPr>
            </w:pPr>
            <w:r w:rsidRPr="000425DF">
              <w:rPr>
                <w:rFonts w:asciiTheme="majorBidi" w:hAnsiTheme="majorBidi" w:cstheme="majorBidi"/>
                <w:i/>
                <w:iCs/>
                <w:sz w:val="24"/>
                <w:szCs w:val="24"/>
                <w:lang w:val="en-GB"/>
              </w:rPr>
              <w:t>Provider access to system</w:t>
            </w:r>
          </w:p>
        </w:tc>
        <w:tc>
          <w:tcPr>
            <w:tcW w:w="7371" w:type="dxa"/>
            <w:tcBorders>
              <w:bottom w:val="single" w:sz="4" w:space="0" w:color="auto"/>
            </w:tcBorders>
            <w:vAlign w:val="center"/>
          </w:tcPr>
          <w:p w14:paraId="1E5D32B9" w14:textId="77777777" w:rsidR="00FF407A" w:rsidRPr="000425DF" w:rsidRDefault="00FF407A" w:rsidP="00FF407A">
            <w:pPr>
              <w:rPr>
                <w:rFonts w:asciiTheme="majorBidi" w:hAnsiTheme="majorBidi" w:cstheme="majorBidi"/>
                <w:sz w:val="24"/>
                <w:szCs w:val="24"/>
                <w:lang w:val="en-US"/>
              </w:rPr>
            </w:pPr>
            <w:r w:rsidRPr="000425DF">
              <w:rPr>
                <w:rFonts w:asciiTheme="majorBidi" w:hAnsiTheme="majorBidi" w:cstheme="majorBidi"/>
                <w:sz w:val="24"/>
                <w:szCs w:val="24"/>
                <w:lang w:val="en-US"/>
              </w:rPr>
              <w:t>Private actors</w:t>
            </w:r>
          </w:p>
          <w:p w14:paraId="579D078E" w14:textId="786FA0DF" w:rsidR="00FF407A" w:rsidRPr="000425DF" w:rsidRDefault="00FF407A" w:rsidP="00FF407A">
            <w:pPr>
              <w:rPr>
                <w:rFonts w:asciiTheme="majorBidi" w:hAnsiTheme="majorBidi" w:cstheme="majorBidi"/>
                <w:color w:val="1F3864" w:themeColor="accent1" w:themeShade="80"/>
                <w:sz w:val="24"/>
                <w:szCs w:val="24"/>
                <w:lang w:val="en-GB"/>
              </w:rPr>
            </w:pPr>
            <w:r w:rsidRPr="000425DF">
              <w:rPr>
                <w:rFonts w:asciiTheme="majorBidi" w:hAnsiTheme="majorBidi" w:cstheme="majorBidi"/>
                <w:sz w:val="24"/>
                <w:szCs w:val="24"/>
                <w:lang w:val="en-US"/>
              </w:rPr>
              <w:t>There is no specific entry control for service providers in the LTCI system, a “provider market” was established. (There are general minimum licensing requirements, regulated by the state.)</w:t>
            </w:r>
          </w:p>
        </w:tc>
        <w:tc>
          <w:tcPr>
            <w:tcW w:w="2835" w:type="dxa"/>
            <w:vAlign w:val="center"/>
          </w:tcPr>
          <w:p w14:paraId="3E37A7C8" w14:textId="793FD65A" w:rsidR="00FF407A" w:rsidRPr="00FF407A" w:rsidRDefault="00F63F5D" w:rsidP="00FF407A">
            <w:pPr>
              <w:rPr>
                <w:rFonts w:asciiTheme="majorBidi" w:hAnsiTheme="majorBidi" w:cstheme="majorBidi"/>
                <w:color w:val="1F3864" w:themeColor="accent1" w:themeShade="80"/>
                <w:sz w:val="24"/>
                <w:szCs w:val="24"/>
                <w:lang w:val="en-US"/>
              </w:rPr>
            </w:pPr>
            <w:r>
              <w:rPr>
                <w:rFonts w:asciiTheme="majorBidi" w:hAnsiTheme="majorBidi" w:cstheme="majorBidi"/>
                <w:sz w:val="24"/>
                <w:szCs w:val="24"/>
                <w:lang w:val="en-GB"/>
              </w:rPr>
              <w:t>Chon, 2012; Rhee et al., 2015</w:t>
            </w:r>
          </w:p>
        </w:tc>
        <w:tc>
          <w:tcPr>
            <w:tcW w:w="1418" w:type="dxa"/>
            <w:vAlign w:val="center"/>
          </w:tcPr>
          <w:p w14:paraId="782C6B49" w14:textId="00D8C57D" w:rsidR="00FF407A" w:rsidRPr="00FF407A" w:rsidRDefault="00FF407A" w:rsidP="00FF407A">
            <w:pPr>
              <w:rPr>
                <w:rFonts w:asciiTheme="majorBidi" w:hAnsiTheme="majorBidi" w:cstheme="majorBidi"/>
                <w:color w:val="1F3864" w:themeColor="accent1" w:themeShade="80"/>
                <w:sz w:val="24"/>
                <w:szCs w:val="24"/>
                <w:lang w:val="en-US"/>
              </w:rPr>
            </w:pPr>
            <w:r w:rsidRPr="000425DF">
              <w:rPr>
                <w:rFonts w:asciiTheme="majorBidi" w:hAnsiTheme="majorBidi" w:cstheme="majorBidi"/>
                <w:sz w:val="24"/>
                <w:szCs w:val="24"/>
                <w:lang w:val="en-GB" w:eastAsia="zh-TW"/>
              </w:rPr>
              <w:t>Medium</w:t>
            </w:r>
          </w:p>
        </w:tc>
      </w:tr>
      <w:tr w:rsidR="00FF407A" w:rsidRPr="000425DF" w14:paraId="0398BF45" w14:textId="77777777" w:rsidTr="00FF407A">
        <w:trPr>
          <w:trHeight w:val="57"/>
        </w:trPr>
        <w:tc>
          <w:tcPr>
            <w:tcW w:w="2830" w:type="dxa"/>
            <w:tcBorders>
              <w:bottom w:val="single" w:sz="4" w:space="0" w:color="auto"/>
            </w:tcBorders>
            <w:vAlign w:val="center"/>
          </w:tcPr>
          <w:p w14:paraId="7954553B" w14:textId="171D0835" w:rsidR="00FF407A" w:rsidRPr="000425DF" w:rsidRDefault="00FF407A" w:rsidP="00FF407A">
            <w:pPr>
              <w:rPr>
                <w:rFonts w:asciiTheme="majorBidi" w:hAnsiTheme="majorBidi" w:cstheme="majorBidi"/>
                <w:i/>
                <w:iCs/>
                <w:color w:val="1F3864" w:themeColor="accent1" w:themeShade="80"/>
                <w:sz w:val="24"/>
                <w:szCs w:val="24"/>
                <w:lang w:val="en-GB"/>
              </w:rPr>
            </w:pPr>
            <w:r w:rsidRPr="000425DF">
              <w:rPr>
                <w:rFonts w:asciiTheme="majorBidi" w:hAnsiTheme="majorBidi" w:cstheme="majorBidi"/>
                <w:i/>
                <w:iCs/>
                <w:sz w:val="24"/>
                <w:szCs w:val="24"/>
                <w:lang w:val="en-GB" w:eastAsia="zh-TW"/>
              </w:rPr>
              <w:t>Remuneration/fees</w:t>
            </w:r>
          </w:p>
        </w:tc>
        <w:tc>
          <w:tcPr>
            <w:tcW w:w="7371" w:type="dxa"/>
            <w:tcBorders>
              <w:bottom w:val="single" w:sz="4" w:space="0" w:color="auto"/>
            </w:tcBorders>
            <w:vAlign w:val="center"/>
          </w:tcPr>
          <w:p w14:paraId="4FD08AC8" w14:textId="77777777" w:rsidR="00FF407A" w:rsidRPr="000425DF" w:rsidRDefault="00FF407A" w:rsidP="00FF407A">
            <w:pPr>
              <w:rPr>
                <w:rFonts w:asciiTheme="majorBidi" w:hAnsiTheme="majorBidi" w:cstheme="majorBidi"/>
                <w:sz w:val="24"/>
                <w:szCs w:val="24"/>
                <w:lang w:val="en-US" w:eastAsia="zh-TW"/>
              </w:rPr>
            </w:pPr>
            <w:r w:rsidRPr="000425DF">
              <w:rPr>
                <w:rFonts w:asciiTheme="majorBidi" w:hAnsiTheme="majorBidi" w:cstheme="majorBidi"/>
                <w:sz w:val="24"/>
                <w:szCs w:val="24"/>
                <w:lang w:val="en-US" w:eastAsia="zh-TW"/>
              </w:rPr>
              <w:t>Societal actors</w:t>
            </w:r>
          </w:p>
          <w:p w14:paraId="3356A5AE" w14:textId="0E690279" w:rsidR="00FF407A" w:rsidRPr="000425DF" w:rsidRDefault="00FF407A" w:rsidP="00FF407A">
            <w:pPr>
              <w:rPr>
                <w:rFonts w:asciiTheme="majorBidi" w:hAnsiTheme="majorBidi" w:cstheme="majorBidi"/>
                <w:color w:val="1F3864" w:themeColor="accent1" w:themeShade="80"/>
                <w:sz w:val="24"/>
                <w:szCs w:val="24"/>
                <w:lang w:val="en-GB"/>
              </w:rPr>
            </w:pPr>
            <w:r w:rsidRPr="000425DF">
              <w:rPr>
                <w:rFonts w:asciiTheme="majorBidi" w:hAnsiTheme="majorBidi" w:cstheme="majorBidi"/>
                <w:sz w:val="24"/>
                <w:szCs w:val="24"/>
                <w:lang w:val="en-US" w:eastAsia="zh-TW"/>
              </w:rPr>
              <w:t>The provider fees are nationally uniform, set by the NHIC.</w:t>
            </w:r>
          </w:p>
        </w:tc>
        <w:tc>
          <w:tcPr>
            <w:tcW w:w="2835" w:type="dxa"/>
            <w:vAlign w:val="center"/>
          </w:tcPr>
          <w:p w14:paraId="1E1ED7C2" w14:textId="2A5EB8C8" w:rsidR="00FF407A" w:rsidRPr="00FF407A" w:rsidRDefault="00F63F5D" w:rsidP="00FF407A">
            <w:pPr>
              <w:rPr>
                <w:rFonts w:asciiTheme="majorBidi" w:hAnsiTheme="majorBidi" w:cstheme="majorBidi"/>
                <w:color w:val="1F3864" w:themeColor="accent1" w:themeShade="80"/>
                <w:sz w:val="24"/>
                <w:szCs w:val="24"/>
                <w:lang w:val="en-US"/>
              </w:rPr>
            </w:pPr>
            <w:r>
              <w:rPr>
                <w:rFonts w:asciiTheme="majorBidi" w:hAnsiTheme="majorBidi" w:cstheme="majorBidi"/>
                <w:sz w:val="24"/>
                <w:szCs w:val="24"/>
                <w:lang w:val="en-GB" w:eastAsia="zh-TW"/>
              </w:rPr>
              <w:t>Rhee et al., 2015</w:t>
            </w:r>
          </w:p>
        </w:tc>
        <w:tc>
          <w:tcPr>
            <w:tcW w:w="1418" w:type="dxa"/>
            <w:vAlign w:val="center"/>
          </w:tcPr>
          <w:p w14:paraId="2047F543" w14:textId="3A815E46" w:rsidR="00FF407A" w:rsidRPr="00FF407A" w:rsidRDefault="00FF407A" w:rsidP="00FF407A">
            <w:pPr>
              <w:rPr>
                <w:rFonts w:asciiTheme="majorBidi" w:hAnsiTheme="majorBidi" w:cstheme="majorBidi"/>
                <w:color w:val="1F3864" w:themeColor="accent1" w:themeShade="80"/>
                <w:sz w:val="24"/>
                <w:szCs w:val="24"/>
                <w:lang w:val="en-US"/>
              </w:rPr>
            </w:pPr>
            <w:r w:rsidRPr="000425DF">
              <w:rPr>
                <w:rFonts w:asciiTheme="majorBidi" w:hAnsiTheme="majorBidi" w:cstheme="majorBidi"/>
                <w:sz w:val="24"/>
                <w:szCs w:val="24"/>
                <w:lang w:val="en-GB" w:eastAsia="zh-TW"/>
              </w:rPr>
              <w:t>Medium</w:t>
            </w:r>
          </w:p>
        </w:tc>
      </w:tr>
      <w:tr w:rsidR="00FF407A" w:rsidRPr="000425DF" w14:paraId="535F69AC" w14:textId="77777777" w:rsidTr="00FF407A">
        <w:trPr>
          <w:trHeight w:val="57"/>
        </w:trPr>
        <w:tc>
          <w:tcPr>
            <w:tcW w:w="2830" w:type="dxa"/>
            <w:tcBorders>
              <w:bottom w:val="single" w:sz="4" w:space="0" w:color="auto"/>
            </w:tcBorders>
            <w:vAlign w:val="center"/>
          </w:tcPr>
          <w:p w14:paraId="15EE68D3" w14:textId="100A860A" w:rsidR="00FF407A" w:rsidRPr="000425DF" w:rsidRDefault="00FF407A" w:rsidP="00FF407A">
            <w:pPr>
              <w:rPr>
                <w:rFonts w:asciiTheme="majorBidi" w:hAnsiTheme="majorBidi" w:cstheme="majorBidi"/>
                <w:i/>
                <w:iCs/>
                <w:color w:val="1F3864" w:themeColor="accent1" w:themeShade="80"/>
                <w:sz w:val="24"/>
                <w:szCs w:val="24"/>
                <w:lang w:val="en-GB"/>
              </w:rPr>
            </w:pPr>
            <w:r w:rsidRPr="000425DF">
              <w:rPr>
                <w:rFonts w:asciiTheme="majorBidi" w:hAnsiTheme="majorBidi" w:cstheme="majorBidi"/>
                <w:i/>
                <w:iCs/>
                <w:sz w:val="24"/>
                <w:szCs w:val="24"/>
                <w:lang w:val="en-GB" w:eastAsia="zh-TW"/>
              </w:rPr>
              <w:t>Provider choice</w:t>
            </w:r>
          </w:p>
        </w:tc>
        <w:tc>
          <w:tcPr>
            <w:tcW w:w="7371" w:type="dxa"/>
            <w:tcBorders>
              <w:bottom w:val="single" w:sz="4" w:space="0" w:color="auto"/>
            </w:tcBorders>
            <w:vAlign w:val="center"/>
          </w:tcPr>
          <w:p w14:paraId="7EC4E29B" w14:textId="77777777" w:rsidR="00FF407A" w:rsidRPr="000425DF" w:rsidRDefault="00FF407A" w:rsidP="00FF407A">
            <w:pPr>
              <w:rPr>
                <w:rFonts w:asciiTheme="majorBidi" w:hAnsiTheme="majorBidi" w:cstheme="majorBidi"/>
                <w:sz w:val="24"/>
                <w:szCs w:val="24"/>
                <w:lang w:val="en-US" w:eastAsia="zh-TW"/>
              </w:rPr>
            </w:pPr>
            <w:r w:rsidRPr="000425DF">
              <w:rPr>
                <w:rFonts w:asciiTheme="majorBidi" w:hAnsiTheme="majorBidi" w:cstheme="majorBidi"/>
                <w:sz w:val="24"/>
                <w:szCs w:val="24"/>
                <w:lang w:val="en-US" w:eastAsia="zh-TW"/>
              </w:rPr>
              <w:t>Private actors</w:t>
            </w:r>
          </w:p>
          <w:p w14:paraId="76382750" w14:textId="62363E41" w:rsidR="00FF407A" w:rsidRPr="000425DF" w:rsidRDefault="00FF407A" w:rsidP="00FF407A">
            <w:pPr>
              <w:rPr>
                <w:rFonts w:asciiTheme="majorBidi" w:hAnsiTheme="majorBidi" w:cstheme="majorBidi"/>
                <w:color w:val="1F3864" w:themeColor="accent1" w:themeShade="80"/>
                <w:sz w:val="24"/>
                <w:szCs w:val="24"/>
                <w:lang w:val="en-GB"/>
              </w:rPr>
            </w:pPr>
            <w:r w:rsidRPr="000425DF">
              <w:rPr>
                <w:rFonts w:asciiTheme="majorBidi" w:hAnsiTheme="majorBidi" w:cstheme="majorBidi"/>
                <w:sz w:val="24"/>
                <w:szCs w:val="24"/>
                <w:lang w:val="en-US" w:eastAsia="zh-TW"/>
              </w:rPr>
              <w:t>Beneficiaries are free to choose providers, there is no external regulation.</w:t>
            </w:r>
          </w:p>
        </w:tc>
        <w:tc>
          <w:tcPr>
            <w:tcW w:w="2835" w:type="dxa"/>
            <w:vAlign w:val="center"/>
          </w:tcPr>
          <w:p w14:paraId="63491EE6" w14:textId="41F973F5" w:rsidR="00FF407A" w:rsidRPr="00FF407A" w:rsidRDefault="00F63F5D" w:rsidP="00FF407A">
            <w:pPr>
              <w:rPr>
                <w:rFonts w:asciiTheme="majorBidi" w:hAnsiTheme="majorBidi" w:cstheme="majorBidi"/>
                <w:color w:val="1F3864" w:themeColor="accent1" w:themeShade="80"/>
                <w:sz w:val="24"/>
                <w:szCs w:val="24"/>
                <w:lang w:val="en-US"/>
              </w:rPr>
            </w:pPr>
            <w:r>
              <w:rPr>
                <w:rFonts w:asciiTheme="majorBidi" w:hAnsiTheme="majorBidi" w:cstheme="majorBidi"/>
                <w:sz w:val="24"/>
                <w:szCs w:val="24"/>
                <w:lang w:val="en-GB" w:eastAsia="zh-TW"/>
              </w:rPr>
              <w:t>Choi, 2014; OECD, 2011b</w:t>
            </w:r>
          </w:p>
        </w:tc>
        <w:tc>
          <w:tcPr>
            <w:tcW w:w="1418" w:type="dxa"/>
            <w:vAlign w:val="center"/>
          </w:tcPr>
          <w:p w14:paraId="07333AB2" w14:textId="49F36B73" w:rsidR="00FF407A" w:rsidRPr="00FF407A" w:rsidRDefault="00FF407A" w:rsidP="00FF407A">
            <w:pPr>
              <w:rPr>
                <w:rFonts w:asciiTheme="majorBidi" w:hAnsiTheme="majorBidi" w:cstheme="majorBidi"/>
                <w:color w:val="1F3864" w:themeColor="accent1" w:themeShade="80"/>
                <w:sz w:val="24"/>
                <w:szCs w:val="24"/>
                <w:lang w:val="en-US"/>
              </w:rPr>
            </w:pPr>
            <w:r w:rsidRPr="000425DF">
              <w:rPr>
                <w:rFonts w:asciiTheme="majorBidi" w:hAnsiTheme="majorBidi" w:cstheme="majorBidi"/>
                <w:sz w:val="24"/>
                <w:szCs w:val="24"/>
                <w:lang w:val="en-GB"/>
              </w:rPr>
              <w:t>High</w:t>
            </w:r>
          </w:p>
        </w:tc>
      </w:tr>
      <w:tr w:rsidR="00FF407A" w:rsidRPr="000425DF" w14:paraId="67E267C6" w14:textId="77777777" w:rsidTr="00FF407A">
        <w:trPr>
          <w:trHeight w:val="57"/>
        </w:trPr>
        <w:tc>
          <w:tcPr>
            <w:tcW w:w="2830" w:type="dxa"/>
            <w:tcBorders>
              <w:bottom w:val="single" w:sz="4" w:space="0" w:color="auto"/>
            </w:tcBorders>
            <w:vAlign w:val="center"/>
          </w:tcPr>
          <w:p w14:paraId="0E65CF5E" w14:textId="1A6DF285" w:rsidR="00FF407A" w:rsidRPr="000425DF" w:rsidRDefault="00FF407A" w:rsidP="00FF407A">
            <w:pPr>
              <w:rPr>
                <w:rFonts w:asciiTheme="majorBidi" w:hAnsiTheme="majorBidi" w:cstheme="majorBidi"/>
                <w:i/>
                <w:iCs/>
                <w:color w:val="1F3864" w:themeColor="accent1" w:themeShade="80"/>
                <w:sz w:val="24"/>
                <w:szCs w:val="24"/>
                <w:lang w:val="en-GB"/>
              </w:rPr>
            </w:pPr>
            <w:r w:rsidRPr="000425DF">
              <w:rPr>
                <w:rFonts w:asciiTheme="majorBidi" w:hAnsiTheme="majorBidi" w:cstheme="majorBidi"/>
                <w:i/>
                <w:iCs/>
                <w:sz w:val="24"/>
                <w:szCs w:val="24"/>
                <w:lang w:val="en-GB"/>
              </w:rPr>
              <w:t>Benefit choice</w:t>
            </w:r>
          </w:p>
        </w:tc>
        <w:tc>
          <w:tcPr>
            <w:tcW w:w="7371" w:type="dxa"/>
            <w:tcBorders>
              <w:bottom w:val="single" w:sz="4" w:space="0" w:color="auto"/>
            </w:tcBorders>
            <w:vAlign w:val="center"/>
          </w:tcPr>
          <w:p w14:paraId="06FDA6B2" w14:textId="77777777" w:rsidR="00FF407A" w:rsidRPr="000425DF" w:rsidRDefault="00FF407A" w:rsidP="00FF407A">
            <w:pPr>
              <w:rPr>
                <w:rFonts w:asciiTheme="majorBidi" w:hAnsiTheme="majorBidi" w:cstheme="majorBidi"/>
                <w:sz w:val="24"/>
                <w:szCs w:val="24"/>
                <w:lang w:val="en-US"/>
              </w:rPr>
            </w:pPr>
            <w:r w:rsidRPr="000425DF">
              <w:rPr>
                <w:rFonts w:asciiTheme="majorBidi" w:hAnsiTheme="majorBidi" w:cstheme="majorBidi"/>
                <w:sz w:val="24"/>
                <w:szCs w:val="24"/>
                <w:lang w:val="en-US"/>
              </w:rPr>
              <w:t>State &amp; private actors</w:t>
            </w:r>
          </w:p>
          <w:p w14:paraId="72D1017E" w14:textId="4BF0ADFD" w:rsidR="00FF407A" w:rsidRPr="000425DF" w:rsidRDefault="00FF407A" w:rsidP="00FF407A">
            <w:pPr>
              <w:rPr>
                <w:rFonts w:asciiTheme="majorBidi" w:hAnsiTheme="majorBidi" w:cstheme="majorBidi"/>
                <w:color w:val="1F3864" w:themeColor="accent1" w:themeShade="80"/>
                <w:sz w:val="24"/>
                <w:szCs w:val="24"/>
                <w:lang w:val="en-GB"/>
              </w:rPr>
            </w:pPr>
            <w:r w:rsidRPr="000425DF">
              <w:rPr>
                <w:rFonts w:asciiTheme="majorBidi" w:hAnsiTheme="majorBidi" w:cstheme="majorBidi"/>
                <w:sz w:val="24"/>
                <w:szCs w:val="24"/>
                <w:lang w:val="en-US"/>
              </w:rPr>
              <w:t>There are no care managers, beneficiaries can generally decide between residential and home/community care services (but institutional care was restricted to severe dependency at the inception). The law, i.e. state, does not provide for a choice of cash benefits.</w:t>
            </w:r>
          </w:p>
        </w:tc>
        <w:tc>
          <w:tcPr>
            <w:tcW w:w="2835" w:type="dxa"/>
            <w:vAlign w:val="center"/>
          </w:tcPr>
          <w:p w14:paraId="6B4FAD02" w14:textId="77777777" w:rsidR="00FF407A" w:rsidRPr="000425DF" w:rsidRDefault="00FF407A" w:rsidP="00FF407A">
            <w:pPr>
              <w:rPr>
                <w:rFonts w:asciiTheme="majorBidi" w:hAnsiTheme="majorBidi" w:cstheme="majorBidi"/>
                <w:sz w:val="24"/>
                <w:szCs w:val="24"/>
                <w:lang w:val="en-GB"/>
              </w:rPr>
            </w:pPr>
          </w:p>
          <w:p w14:paraId="57332F64" w14:textId="47538E48" w:rsidR="00FF407A" w:rsidRPr="00FF407A" w:rsidRDefault="00F63F5D" w:rsidP="00FF407A">
            <w:pPr>
              <w:rPr>
                <w:rFonts w:asciiTheme="majorBidi" w:hAnsiTheme="majorBidi" w:cstheme="majorBidi"/>
                <w:color w:val="1F3864" w:themeColor="accent1" w:themeShade="80"/>
                <w:sz w:val="24"/>
                <w:szCs w:val="24"/>
                <w:lang w:val="en-US"/>
              </w:rPr>
            </w:pPr>
            <w:r>
              <w:rPr>
                <w:rFonts w:asciiTheme="majorBidi" w:hAnsiTheme="majorBidi" w:cstheme="majorBidi"/>
                <w:sz w:val="24"/>
                <w:szCs w:val="24"/>
                <w:lang w:val="en-GB"/>
              </w:rPr>
              <w:t>Choi, 2014; Kim, 2020; Seok, 2010</w:t>
            </w:r>
          </w:p>
        </w:tc>
        <w:tc>
          <w:tcPr>
            <w:tcW w:w="1418" w:type="dxa"/>
            <w:vAlign w:val="center"/>
          </w:tcPr>
          <w:p w14:paraId="61ADE977" w14:textId="41872060" w:rsidR="00FF407A" w:rsidRPr="00FF407A" w:rsidRDefault="00FF407A" w:rsidP="00FF407A">
            <w:pPr>
              <w:rPr>
                <w:rFonts w:asciiTheme="majorBidi" w:hAnsiTheme="majorBidi" w:cstheme="majorBidi"/>
                <w:color w:val="1F3864" w:themeColor="accent1" w:themeShade="80"/>
                <w:sz w:val="24"/>
                <w:szCs w:val="24"/>
                <w:lang w:val="en-US"/>
              </w:rPr>
            </w:pPr>
            <w:r w:rsidRPr="000425DF">
              <w:rPr>
                <w:rFonts w:asciiTheme="majorBidi" w:hAnsiTheme="majorBidi" w:cstheme="majorBidi"/>
                <w:sz w:val="24"/>
                <w:szCs w:val="24"/>
                <w:lang w:val="en-GB" w:eastAsia="zh-TW"/>
              </w:rPr>
              <w:t>High</w:t>
            </w:r>
          </w:p>
        </w:tc>
      </w:tr>
    </w:tbl>
    <w:p w14:paraId="5A6581E0" w14:textId="7F542DDE" w:rsidR="00FF407A" w:rsidRDefault="00FF407A">
      <w:pPr>
        <w:rPr>
          <w:rFonts w:asciiTheme="majorBidi" w:hAnsiTheme="majorBidi" w:cstheme="majorBidi"/>
          <w:noProof w:val="0"/>
          <w:sz w:val="24"/>
          <w:szCs w:val="24"/>
          <w:lang w:val="en-GB"/>
        </w:rPr>
      </w:pPr>
    </w:p>
    <w:p w14:paraId="5B70A5B8" w14:textId="77777777" w:rsidR="00FF407A" w:rsidRDefault="00FF407A">
      <w:pPr>
        <w:rPr>
          <w:rFonts w:asciiTheme="majorBidi" w:hAnsiTheme="majorBidi" w:cstheme="majorBidi"/>
          <w:noProof w:val="0"/>
          <w:sz w:val="24"/>
          <w:szCs w:val="24"/>
          <w:lang w:val="en-GB"/>
        </w:rPr>
      </w:pPr>
      <w:r>
        <w:rPr>
          <w:rFonts w:asciiTheme="majorBidi" w:hAnsiTheme="majorBidi" w:cstheme="majorBidi"/>
          <w:noProof w:val="0"/>
          <w:sz w:val="24"/>
          <w:szCs w:val="24"/>
          <w:lang w:val="en-GB"/>
        </w:rPr>
        <w:br w:type="page"/>
      </w:r>
    </w:p>
    <w:p w14:paraId="70F7947E" w14:textId="725F713D" w:rsidR="00935C60" w:rsidRPr="00935C60" w:rsidRDefault="00935C60" w:rsidP="00935C60">
      <w:pPr>
        <w:rPr>
          <w:rFonts w:asciiTheme="majorBidi" w:hAnsiTheme="majorBidi" w:cstheme="majorBidi"/>
          <w:i/>
          <w:iCs/>
          <w:noProof w:val="0"/>
          <w:sz w:val="24"/>
          <w:szCs w:val="24"/>
          <w:lang w:val="en-GB"/>
        </w:rPr>
      </w:pPr>
      <w:r w:rsidRPr="00935C60">
        <w:rPr>
          <w:rFonts w:asciiTheme="majorBidi" w:hAnsiTheme="majorBidi" w:cstheme="majorBidi"/>
          <w:i/>
          <w:iCs/>
          <w:noProof w:val="0"/>
          <w:sz w:val="24"/>
          <w:szCs w:val="24"/>
          <w:lang w:val="en-GB"/>
        </w:rPr>
        <w:lastRenderedPageBreak/>
        <w:t>Table A</w:t>
      </w:r>
      <w:r>
        <w:rPr>
          <w:rFonts w:asciiTheme="majorBidi" w:hAnsiTheme="majorBidi" w:cstheme="majorBidi"/>
          <w:i/>
          <w:iCs/>
          <w:noProof w:val="0"/>
          <w:sz w:val="24"/>
          <w:szCs w:val="24"/>
          <w:lang w:val="en-GB"/>
        </w:rPr>
        <w:t>5</w:t>
      </w:r>
      <w:r w:rsidRPr="00935C60">
        <w:rPr>
          <w:rFonts w:asciiTheme="majorBidi" w:hAnsiTheme="majorBidi" w:cstheme="majorBidi"/>
          <w:i/>
          <w:iCs/>
          <w:noProof w:val="0"/>
          <w:sz w:val="24"/>
          <w:szCs w:val="24"/>
          <w:lang w:val="en-GB"/>
        </w:rPr>
        <w:t>. Fuzzy-set coding for regulatory dimension</w:t>
      </w:r>
      <w:r>
        <w:rPr>
          <w:rFonts w:asciiTheme="majorBidi" w:hAnsiTheme="majorBidi" w:cstheme="majorBidi"/>
          <w:i/>
          <w:iCs/>
          <w:noProof w:val="0"/>
          <w:sz w:val="24"/>
          <w:szCs w:val="24"/>
          <w:lang w:val="en-GB"/>
        </w:rPr>
        <w:t xml:space="preserve"> based on data from Table A4.</w:t>
      </w:r>
    </w:p>
    <w:tbl>
      <w:tblPr>
        <w:tblStyle w:val="Tabellenraster"/>
        <w:tblW w:w="9933" w:type="dxa"/>
        <w:tblLook w:val="04A0" w:firstRow="1" w:lastRow="0" w:firstColumn="1" w:lastColumn="0" w:noHBand="0" w:noVBand="1"/>
      </w:tblPr>
      <w:tblGrid>
        <w:gridCol w:w="3256"/>
        <w:gridCol w:w="3543"/>
        <w:gridCol w:w="993"/>
        <w:gridCol w:w="1134"/>
        <w:gridCol w:w="1007"/>
      </w:tblGrid>
      <w:tr w:rsidR="00935C60" w:rsidRPr="000425DF" w14:paraId="2745BE6C" w14:textId="77777777" w:rsidTr="00935C60">
        <w:trPr>
          <w:trHeight w:val="258"/>
        </w:trPr>
        <w:tc>
          <w:tcPr>
            <w:tcW w:w="3256" w:type="dxa"/>
            <w:shd w:val="clear" w:color="auto" w:fill="auto"/>
          </w:tcPr>
          <w:p w14:paraId="65089E2E" w14:textId="609E1D40" w:rsidR="00935C60" w:rsidRPr="00935C60" w:rsidRDefault="00935C60" w:rsidP="003B63F6">
            <w:pPr>
              <w:spacing w:after="160" w:line="259" w:lineRule="auto"/>
              <w:rPr>
                <w:rFonts w:asciiTheme="majorBidi" w:hAnsiTheme="majorBidi" w:cstheme="majorBidi"/>
                <w:b/>
                <w:bCs/>
                <w:noProof w:val="0"/>
                <w:sz w:val="24"/>
                <w:szCs w:val="24"/>
                <w:lang w:val="en-GB"/>
              </w:rPr>
            </w:pPr>
            <w:r w:rsidRPr="00935C60">
              <w:rPr>
                <w:rFonts w:asciiTheme="majorBidi" w:hAnsiTheme="majorBidi" w:cstheme="majorBidi"/>
                <w:b/>
                <w:bCs/>
                <w:noProof w:val="0"/>
                <w:sz w:val="24"/>
                <w:szCs w:val="24"/>
                <w:lang w:val="en-GB"/>
              </w:rPr>
              <w:t>Country</w:t>
            </w:r>
            <w:r>
              <w:rPr>
                <w:rFonts w:asciiTheme="majorBidi" w:hAnsiTheme="majorBidi" w:cstheme="majorBidi"/>
                <w:b/>
                <w:bCs/>
                <w:noProof w:val="0"/>
                <w:sz w:val="24"/>
                <w:szCs w:val="24"/>
                <w:lang w:val="en-GB"/>
              </w:rPr>
              <w:t xml:space="preserve"> (time)</w:t>
            </w:r>
          </w:p>
        </w:tc>
        <w:tc>
          <w:tcPr>
            <w:tcW w:w="3543" w:type="dxa"/>
            <w:shd w:val="clear" w:color="auto" w:fill="auto"/>
          </w:tcPr>
          <w:p w14:paraId="16A94705" w14:textId="77777777" w:rsidR="00935C60" w:rsidRPr="00935C60" w:rsidRDefault="00935C60" w:rsidP="003B63F6">
            <w:pPr>
              <w:spacing w:after="160" w:line="259" w:lineRule="auto"/>
              <w:rPr>
                <w:rFonts w:asciiTheme="majorBidi" w:hAnsiTheme="majorBidi" w:cstheme="majorBidi"/>
                <w:b/>
                <w:bCs/>
                <w:noProof w:val="0"/>
                <w:sz w:val="24"/>
                <w:szCs w:val="24"/>
                <w:lang w:val="en-GB"/>
              </w:rPr>
            </w:pPr>
            <w:r w:rsidRPr="00935C60">
              <w:rPr>
                <w:rFonts w:asciiTheme="majorBidi" w:hAnsiTheme="majorBidi" w:cstheme="majorBidi"/>
                <w:b/>
                <w:bCs/>
                <w:noProof w:val="0"/>
                <w:sz w:val="24"/>
                <w:szCs w:val="24"/>
                <w:lang w:val="en-GB"/>
              </w:rPr>
              <w:t>Raw data</w:t>
            </w:r>
          </w:p>
        </w:tc>
        <w:tc>
          <w:tcPr>
            <w:tcW w:w="993" w:type="dxa"/>
            <w:shd w:val="clear" w:color="auto" w:fill="auto"/>
          </w:tcPr>
          <w:p w14:paraId="77164B67" w14:textId="77777777" w:rsidR="00935C60" w:rsidRPr="00935C60" w:rsidRDefault="00935C60" w:rsidP="003B63F6">
            <w:pPr>
              <w:jc w:val="center"/>
              <w:rPr>
                <w:rFonts w:asciiTheme="majorBidi" w:hAnsiTheme="majorBidi" w:cstheme="majorBidi"/>
                <w:b/>
                <w:bCs/>
                <w:noProof w:val="0"/>
                <w:sz w:val="24"/>
                <w:szCs w:val="24"/>
                <w:lang w:val="en-GB"/>
              </w:rPr>
            </w:pPr>
            <w:r w:rsidRPr="00935C60">
              <w:rPr>
                <w:rFonts w:asciiTheme="majorBidi" w:hAnsiTheme="majorBidi" w:cstheme="majorBidi"/>
                <w:b/>
                <w:bCs/>
                <w:noProof w:val="0"/>
                <w:sz w:val="24"/>
                <w:szCs w:val="24"/>
                <w:lang w:val="en-GB"/>
              </w:rPr>
              <w:t>ST</w:t>
            </w:r>
          </w:p>
        </w:tc>
        <w:tc>
          <w:tcPr>
            <w:tcW w:w="1134" w:type="dxa"/>
            <w:shd w:val="clear" w:color="auto" w:fill="auto"/>
          </w:tcPr>
          <w:p w14:paraId="2D579E4A" w14:textId="77777777" w:rsidR="00935C60" w:rsidRPr="00935C60" w:rsidRDefault="00935C60" w:rsidP="003B63F6">
            <w:pPr>
              <w:spacing w:after="160" w:line="259" w:lineRule="auto"/>
              <w:jc w:val="center"/>
              <w:rPr>
                <w:rFonts w:asciiTheme="majorBidi" w:hAnsiTheme="majorBidi" w:cstheme="majorBidi"/>
                <w:b/>
                <w:bCs/>
                <w:noProof w:val="0"/>
                <w:sz w:val="24"/>
                <w:szCs w:val="24"/>
                <w:lang w:val="en-GB"/>
              </w:rPr>
            </w:pPr>
            <w:r w:rsidRPr="00935C60">
              <w:rPr>
                <w:rFonts w:asciiTheme="majorBidi" w:hAnsiTheme="majorBidi" w:cstheme="majorBidi"/>
                <w:b/>
                <w:bCs/>
                <w:noProof w:val="0"/>
                <w:sz w:val="24"/>
                <w:szCs w:val="24"/>
                <w:lang w:val="en-GB"/>
              </w:rPr>
              <w:t>SA</w:t>
            </w:r>
          </w:p>
        </w:tc>
        <w:tc>
          <w:tcPr>
            <w:tcW w:w="1007" w:type="dxa"/>
            <w:shd w:val="clear" w:color="auto" w:fill="auto"/>
          </w:tcPr>
          <w:p w14:paraId="156037B4" w14:textId="77777777" w:rsidR="00935C60" w:rsidRPr="00935C60" w:rsidRDefault="00935C60" w:rsidP="003B63F6">
            <w:pPr>
              <w:jc w:val="center"/>
              <w:rPr>
                <w:rFonts w:asciiTheme="majorBidi" w:hAnsiTheme="majorBidi" w:cstheme="majorBidi"/>
                <w:b/>
                <w:bCs/>
                <w:noProof w:val="0"/>
                <w:sz w:val="24"/>
                <w:szCs w:val="24"/>
                <w:lang w:val="en-GB"/>
              </w:rPr>
            </w:pPr>
            <w:r w:rsidRPr="00935C60">
              <w:rPr>
                <w:rFonts w:asciiTheme="majorBidi" w:hAnsiTheme="majorBidi" w:cstheme="majorBidi"/>
                <w:b/>
                <w:bCs/>
                <w:noProof w:val="0"/>
                <w:sz w:val="24"/>
                <w:szCs w:val="24"/>
                <w:lang w:val="en-GB"/>
              </w:rPr>
              <w:t>PA</w:t>
            </w:r>
          </w:p>
        </w:tc>
      </w:tr>
      <w:tr w:rsidR="00935C60" w:rsidRPr="000425DF" w14:paraId="49EA9801" w14:textId="77777777" w:rsidTr="00935C60">
        <w:tc>
          <w:tcPr>
            <w:tcW w:w="3256" w:type="dxa"/>
            <w:shd w:val="clear" w:color="auto" w:fill="auto"/>
          </w:tcPr>
          <w:p w14:paraId="39A6FA65" w14:textId="6EB4DF56" w:rsidR="00935C60" w:rsidRPr="000425DF" w:rsidRDefault="00935C60" w:rsidP="003B63F6">
            <w:pPr>
              <w:spacing w:after="160" w:line="259" w:lineRule="auto"/>
              <w:rPr>
                <w:rFonts w:asciiTheme="majorBidi" w:hAnsiTheme="majorBidi" w:cstheme="majorBidi"/>
                <w:noProof w:val="0"/>
                <w:sz w:val="24"/>
                <w:szCs w:val="24"/>
                <w:lang w:val="en-GB"/>
              </w:rPr>
            </w:pPr>
            <w:r w:rsidRPr="000425DF">
              <w:rPr>
                <w:rFonts w:asciiTheme="majorBidi" w:hAnsiTheme="majorBidi" w:cstheme="majorBidi"/>
                <w:noProof w:val="0"/>
                <w:sz w:val="24"/>
                <w:szCs w:val="24"/>
                <w:lang w:val="en-GB"/>
              </w:rPr>
              <w:t xml:space="preserve">Germany </w:t>
            </w:r>
            <w:r>
              <w:rPr>
                <w:rFonts w:asciiTheme="majorBidi" w:hAnsiTheme="majorBidi" w:cstheme="majorBidi"/>
                <w:noProof w:val="0"/>
                <w:sz w:val="24"/>
                <w:szCs w:val="24"/>
                <w:lang w:val="en-GB"/>
              </w:rPr>
              <w:t>(introduction)</w:t>
            </w:r>
          </w:p>
        </w:tc>
        <w:tc>
          <w:tcPr>
            <w:tcW w:w="3543" w:type="dxa"/>
            <w:shd w:val="clear" w:color="auto" w:fill="auto"/>
          </w:tcPr>
          <w:p w14:paraId="55E0C144" w14:textId="77777777" w:rsidR="00935C60" w:rsidRPr="000425DF" w:rsidRDefault="00935C60" w:rsidP="003B63F6">
            <w:pPr>
              <w:rPr>
                <w:rFonts w:asciiTheme="majorBidi" w:hAnsiTheme="majorBidi" w:cstheme="majorBidi"/>
                <w:color w:val="000000"/>
                <w:sz w:val="24"/>
                <w:szCs w:val="24"/>
              </w:rPr>
            </w:pPr>
            <w:r w:rsidRPr="000425DF">
              <w:rPr>
                <w:rFonts w:asciiTheme="majorBidi" w:hAnsiTheme="majorBidi" w:cstheme="majorBidi"/>
                <w:color w:val="000000"/>
                <w:sz w:val="24"/>
                <w:szCs w:val="24"/>
              </w:rPr>
              <w:t>1.5 dimensions state</w:t>
            </w:r>
          </w:p>
          <w:p w14:paraId="2A633FF8" w14:textId="77777777" w:rsidR="00935C60" w:rsidRPr="000425DF" w:rsidRDefault="00935C60" w:rsidP="003B63F6">
            <w:pPr>
              <w:rPr>
                <w:rFonts w:asciiTheme="majorBidi" w:hAnsiTheme="majorBidi" w:cstheme="majorBidi"/>
                <w:color w:val="000000"/>
                <w:sz w:val="24"/>
                <w:szCs w:val="24"/>
              </w:rPr>
            </w:pPr>
            <w:r w:rsidRPr="000425DF">
              <w:rPr>
                <w:rFonts w:asciiTheme="majorBidi" w:hAnsiTheme="majorBidi" w:cstheme="majorBidi"/>
                <w:color w:val="000000"/>
                <w:sz w:val="24"/>
                <w:szCs w:val="24"/>
              </w:rPr>
              <w:t>1.5 dimensions societal actors</w:t>
            </w:r>
          </w:p>
          <w:p w14:paraId="3C99E702" w14:textId="77777777" w:rsidR="00935C60" w:rsidRPr="000425DF" w:rsidRDefault="00935C60" w:rsidP="003B63F6">
            <w:pPr>
              <w:rPr>
                <w:rFonts w:asciiTheme="majorBidi" w:hAnsiTheme="majorBidi" w:cstheme="majorBidi"/>
                <w:noProof w:val="0"/>
                <w:color w:val="000000"/>
                <w:sz w:val="24"/>
                <w:szCs w:val="24"/>
              </w:rPr>
            </w:pPr>
            <w:r w:rsidRPr="000425DF">
              <w:rPr>
                <w:rFonts w:asciiTheme="majorBidi" w:hAnsiTheme="majorBidi" w:cstheme="majorBidi"/>
                <w:color w:val="000000"/>
                <w:sz w:val="24"/>
                <w:szCs w:val="24"/>
              </w:rPr>
              <w:t>3 dimensions private actors</w:t>
            </w:r>
          </w:p>
        </w:tc>
        <w:tc>
          <w:tcPr>
            <w:tcW w:w="993" w:type="dxa"/>
            <w:shd w:val="clear" w:color="auto" w:fill="auto"/>
          </w:tcPr>
          <w:p w14:paraId="7740105D" w14:textId="77777777" w:rsidR="00935C60" w:rsidRPr="000425DF" w:rsidRDefault="00935C60" w:rsidP="003B63F6">
            <w:pPr>
              <w:jc w:val="center"/>
              <w:rPr>
                <w:rFonts w:asciiTheme="majorBidi" w:hAnsiTheme="majorBidi" w:cstheme="majorBidi"/>
                <w:noProof w:val="0"/>
                <w:color w:val="000000"/>
                <w:sz w:val="24"/>
                <w:szCs w:val="24"/>
              </w:rPr>
            </w:pPr>
            <w:r w:rsidRPr="000425DF">
              <w:rPr>
                <w:rFonts w:asciiTheme="majorBidi" w:hAnsiTheme="majorBidi" w:cstheme="majorBidi"/>
                <w:noProof w:val="0"/>
                <w:color w:val="000000"/>
                <w:sz w:val="24"/>
                <w:szCs w:val="24"/>
              </w:rPr>
              <w:t>0.17</w:t>
            </w:r>
          </w:p>
        </w:tc>
        <w:tc>
          <w:tcPr>
            <w:tcW w:w="1134" w:type="dxa"/>
            <w:shd w:val="clear" w:color="auto" w:fill="auto"/>
          </w:tcPr>
          <w:p w14:paraId="6FC0BB6A" w14:textId="77777777" w:rsidR="00935C60" w:rsidRPr="00935C60" w:rsidRDefault="00935C60" w:rsidP="003B63F6">
            <w:pPr>
              <w:jc w:val="center"/>
              <w:rPr>
                <w:rFonts w:asciiTheme="majorBidi" w:hAnsiTheme="majorBidi" w:cstheme="majorBidi"/>
                <w:noProof w:val="0"/>
                <w:color w:val="000000"/>
                <w:sz w:val="24"/>
                <w:szCs w:val="24"/>
              </w:rPr>
            </w:pPr>
            <w:r w:rsidRPr="00935C60">
              <w:rPr>
                <w:rFonts w:asciiTheme="majorBidi" w:hAnsiTheme="majorBidi" w:cstheme="majorBidi"/>
                <w:noProof w:val="0"/>
                <w:color w:val="000000"/>
                <w:sz w:val="24"/>
                <w:szCs w:val="24"/>
              </w:rPr>
              <w:t>0.17</w:t>
            </w:r>
          </w:p>
        </w:tc>
        <w:tc>
          <w:tcPr>
            <w:tcW w:w="1007" w:type="dxa"/>
            <w:shd w:val="clear" w:color="auto" w:fill="auto"/>
          </w:tcPr>
          <w:p w14:paraId="4FE2C69F" w14:textId="77777777" w:rsidR="00935C60" w:rsidRPr="000425DF" w:rsidRDefault="00935C60" w:rsidP="003B63F6">
            <w:pPr>
              <w:jc w:val="center"/>
              <w:rPr>
                <w:rFonts w:asciiTheme="majorBidi" w:hAnsiTheme="majorBidi" w:cstheme="majorBidi"/>
                <w:noProof w:val="0"/>
                <w:color w:val="000000"/>
                <w:sz w:val="24"/>
                <w:szCs w:val="24"/>
              </w:rPr>
            </w:pPr>
            <w:r w:rsidRPr="000425DF">
              <w:rPr>
                <w:rFonts w:asciiTheme="majorBidi" w:hAnsiTheme="majorBidi" w:cstheme="majorBidi"/>
                <w:noProof w:val="0"/>
                <w:color w:val="000000"/>
                <w:sz w:val="24"/>
                <w:szCs w:val="24"/>
              </w:rPr>
              <w:t>0.5</w:t>
            </w:r>
          </w:p>
        </w:tc>
      </w:tr>
      <w:tr w:rsidR="00935C60" w:rsidRPr="000425DF" w14:paraId="7F04DED2" w14:textId="77777777" w:rsidTr="00935C60">
        <w:tc>
          <w:tcPr>
            <w:tcW w:w="3256" w:type="dxa"/>
            <w:shd w:val="clear" w:color="auto" w:fill="auto"/>
          </w:tcPr>
          <w:p w14:paraId="47D63AD3" w14:textId="30B6E956" w:rsidR="00935C60" w:rsidRPr="000425DF" w:rsidRDefault="00935C60" w:rsidP="003B63F6">
            <w:pPr>
              <w:spacing w:after="160" w:line="259" w:lineRule="auto"/>
              <w:rPr>
                <w:rFonts w:asciiTheme="majorBidi" w:hAnsiTheme="majorBidi" w:cstheme="majorBidi"/>
                <w:noProof w:val="0"/>
                <w:sz w:val="24"/>
                <w:szCs w:val="24"/>
                <w:lang w:val="en-GB"/>
              </w:rPr>
            </w:pPr>
            <w:r w:rsidRPr="000425DF">
              <w:rPr>
                <w:rFonts w:asciiTheme="majorBidi" w:hAnsiTheme="majorBidi" w:cstheme="majorBidi"/>
                <w:noProof w:val="0"/>
                <w:sz w:val="24"/>
                <w:szCs w:val="24"/>
                <w:lang w:val="en-GB"/>
              </w:rPr>
              <w:t xml:space="preserve">Israel </w:t>
            </w:r>
            <w:r>
              <w:rPr>
                <w:rFonts w:asciiTheme="majorBidi" w:hAnsiTheme="majorBidi" w:cstheme="majorBidi"/>
                <w:noProof w:val="0"/>
                <w:sz w:val="24"/>
                <w:szCs w:val="24"/>
                <w:lang w:val="en-GB"/>
              </w:rPr>
              <w:t>(introduction)</w:t>
            </w:r>
          </w:p>
        </w:tc>
        <w:tc>
          <w:tcPr>
            <w:tcW w:w="3543" w:type="dxa"/>
            <w:shd w:val="clear" w:color="auto" w:fill="auto"/>
          </w:tcPr>
          <w:p w14:paraId="009B900A" w14:textId="77777777" w:rsidR="00935C60" w:rsidRPr="000425DF" w:rsidRDefault="00935C60" w:rsidP="003B63F6">
            <w:pPr>
              <w:rPr>
                <w:rFonts w:asciiTheme="majorBidi" w:hAnsiTheme="majorBidi" w:cstheme="majorBidi"/>
                <w:color w:val="000000"/>
                <w:sz w:val="24"/>
                <w:szCs w:val="24"/>
              </w:rPr>
            </w:pPr>
            <w:r w:rsidRPr="000425DF">
              <w:rPr>
                <w:rFonts w:asciiTheme="majorBidi" w:hAnsiTheme="majorBidi" w:cstheme="majorBidi"/>
                <w:color w:val="000000"/>
                <w:sz w:val="24"/>
                <w:szCs w:val="24"/>
              </w:rPr>
              <w:t>3.5 dimensions state</w:t>
            </w:r>
            <w:r w:rsidRPr="000425DF">
              <w:rPr>
                <w:rFonts w:asciiTheme="majorBidi" w:hAnsiTheme="majorBidi" w:cstheme="majorBidi"/>
                <w:color w:val="000000"/>
                <w:sz w:val="24"/>
                <w:szCs w:val="24"/>
              </w:rPr>
              <w:br/>
              <w:t>2.5 dimensions societal actors</w:t>
            </w:r>
          </w:p>
        </w:tc>
        <w:tc>
          <w:tcPr>
            <w:tcW w:w="993" w:type="dxa"/>
            <w:shd w:val="clear" w:color="auto" w:fill="auto"/>
          </w:tcPr>
          <w:p w14:paraId="6AF18BDF" w14:textId="77777777" w:rsidR="00935C60" w:rsidRPr="000425DF" w:rsidRDefault="00935C60" w:rsidP="003B63F6">
            <w:pPr>
              <w:jc w:val="center"/>
              <w:rPr>
                <w:rFonts w:asciiTheme="majorBidi" w:hAnsiTheme="majorBidi" w:cstheme="majorBidi"/>
                <w:color w:val="000000"/>
                <w:sz w:val="24"/>
                <w:szCs w:val="24"/>
              </w:rPr>
            </w:pPr>
            <w:r w:rsidRPr="000425DF">
              <w:rPr>
                <w:rFonts w:asciiTheme="majorBidi" w:hAnsiTheme="majorBidi" w:cstheme="majorBidi"/>
                <w:color w:val="000000"/>
                <w:sz w:val="24"/>
                <w:szCs w:val="24"/>
              </w:rPr>
              <w:t>0.67</w:t>
            </w:r>
          </w:p>
        </w:tc>
        <w:tc>
          <w:tcPr>
            <w:tcW w:w="1134" w:type="dxa"/>
            <w:shd w:val="clear" w:color="auto" w:fill="auto"/>
          </w:tcPr>
          <w:p w14:paraId="4F8FEBB7" w14:textId="77777777" w:rsidR="00935C60" w:rsidRPr="00935C60" w:rsidRDefault="00935C60" w:rsidP="003B63F6">
            <w:pPr>
              <w:jc w:val="center"/>
              <w:rPr>
                <w:rFonts w:asciiTheme="majorBidi" w:hAnsiTheme="majorBidi" w:cstheme="majorBidi"/>
                <w:color w:val="000000"/>
                <w:sz w:val="24"/>
                <w:szCs w:val="24"/>
              </w:rPr>
            </w:pPr>
            <w:r w:rsidRPr="00935C60">
              <w:rPr>
                <w:rFonts w:asciiTheme="majorBidi" w:hAnsiTheme="majorBidi" w:cstheme="majorBidi"/>
                <w:color w:val="000000"/>
                <w:sz w:val="24"/>
                <w:szCs w:val="24"/>
              </w:rPr>
              <w:t>0.33</w:t>
            </w:r>
          </w:p>
        </w:tc>
        <w:tc>
          <w:tcPr>
            <w:tcW w:w="1007" w:type="dxa"/>
            <w:shd w:val="clear" w:color="auto" w:fill="auto"/>
          </w:tcPr>
          <w:p w14:paraId="5F529AAE" w14:textId="77777777" w:rsidR="00935C60" w:rsidRPr="000425DF" w:rsidRDefault="00935C60" w:rsidP="003B63F6">
            <w:pPr>
              <w:jc w:val="center"/>
              <w:rPr>
                <w:rFonts w:asciiTheme="majorBidi" w:hAnsiTheme="majorBidi" w:cstheme="majorBidi"/>
                <w:color w:val="000000"/>
                <w:sz w:val="24"/>
                <w:szCs w:val="24"/>
              </w:rPr>
            </w:pPr>
            <w:r w:rsidRPr="000425DF">
              <w:rPr>
                <w:rFonts w:asciiTheme="majorBidi" w:hAnsiTheme="majorBidi" w:cstheme="majorBidi"/>
                <w:color w:val="000000"/>
                <w:sz w:val="24"/>
                <w:szCs w:val="24"/>
              </w:rPr>
              <w:t>0</w:t>
            </w:r>
          </w:p>
        </w:tc>
      </w:tr>
      <w:tr w:rsidR="00935C60" w:rsidRPr="000425DF" w14:paraId="05375545" w14:textId="77777777" w:rsidTr="00935C60">
        <w:tc>
          <w:tcPr>
            <w:tcW w:w="3256" w:type="dxa"/>
            <w:shd w:val="clear" w:color="auto" w:fill="auto"/>
          </w:tcPr>
          <w:p w14:paraId="78E527C8" w14:textId="5842C7D3" w:rsidR="00935C60" w:rsidRPr="000425DF" w:rsidRDefault="00935C60" w:rsidP="003B63F6">
            <w:pPr>
              <w:spacing w:after="160" w:line="259" w:lineRule="auto"/>
              <w:rPr>
                <w:rFonts w:asciiTheme="majorBidi" w:hAnsiTheme="majorBidi" w:cstheme="majorBidi"/>
                <w:noProof w:val="0"/>
                <w:sz w:val="24"/>
                <w:szCs w:val="24"/>
                <w:lang w:val="en-GB"/>
              </w:rPr>
            </w:pPr>
            <w:r w:rsidRPr="000425DF">
              <w:rPr>
                <w:rFonts w:asciiTheme="majorBidi" w:hAnsiTheme="majorBidi" w:cstheme="majorBidi"/>
                <w:noProof w:val="0"/>
                <w:sz w:val="24"/>
                <w:szCs w:val="24"/>
                <w:lang w:val="en-GB"/>
              </w:rPr>
              <w:t xml:space="preserve">Japan </w:t>
            </w:r>
            <w:r>
              <w:rPr>
                <w:rFonts w:asciiTheme="majorBidi" w:hAnsiTheme="majorBidi" w:cstheme="majorBidi"/>
                <w:noProof w:val="0"/>
                <w:sz w:val="24"/>
                <w:szCs w:val="24"/>
                <w:lang w:val="en-GB"/>
              </w:rPr>
              <w:t>(introduction)</w:t>
            </w:r>
          </w:p>
        </w:tc>
        <w:tc>
          <w:tcPr>
            <w:tcW w:w="3543" w:type="dxa"/>
            <w:shd w:val="clear" w:color="auto" w:fill="auto"/>
          </w:tcPr>
          <w:p w14:paraId="0A34097D" w14:textId="77777777" w:rsidR="00935C60" w:rsidRPr="000425DF" w:rsidRDefault="00935C60" w:rsidP="003B63F6">
            <w:pPr>
              <w:rPr>
                <w:rFonts w:asciiTheme="majorBidi" w:hAnsiTheme="majorBidi" w:cstheme="majorBidi"/>
                <w:color w:val="000000"/>
                <w:sz w:val="24"/>
                <w:szCs w:val="24"/>
              </w:rPr>
            </w:pPr>
            <w:r w:rsidRPr="000425DF">
              <w:rPr>
                <w:rFonts w:asciiTheme="majorBidi" w:hAnsiTheme="majorBidi" w:cstheme="majorBidi"/>
                <w:color w:val="000000"/>
                <w:sz w:val="24"/>
                <w:szCs w:val="24"/>
              </w:rPr>
              <w:t>3.5 dimensions state</w:t>
            </w:r>
          </w:p>
          <w:p w14:paraId="095CAE32" w14:textId="77777777" w:rsidR="00935C60" w:rsidRPr="000425DF" w:rsidRDefault="00935C60" w:rsidP="003B63F6">
            <w:pPr>
              <w:rPr>
                <w:rFonts w:asciiTheme="majorBidi" w:hAnsiTheme="majorBidi" w:cstheme="majorBidi"/>
                <w:color w:val="000000"/>
                <w:sz w:val="24"/>
                <w:szCs w:val="24"/>
              </w:rPr>
            </w:pPr>
            <w:r w:rsidRPr="000425DF">
              <w:rPr>
                <w:rFonts w:asciiTheme="majorBidi" w:hAnsiTheme="majorBidi" w:cstheme="majorBidi"/>
                <w:color w:val="000000"/>
                <w:sz w:val="24"/>
                <w:szCs w:val="24"/>
              </w:rPr>
              <w:t>1 dimension societal actors</w:t>
            </w:r>
          </w:p>
          <w:p w14:paraId="439366F7" w14:textId="77777777" w:rsidR="00935C60" w:rsidRPr="000425DF" w:rsidRDefault="00935C60" w:rsidP="003B63F6">
            <w:pPr>
              <w:rPr>
                <w:rFonts w:asciiTheme="majorBidi" w:hAnsiTheme="majorBidi" w:cstheme="majorBidi"/>
                <w:color w:val="000000"/>
                <w:sz w:val="24"/>
                <w:szCs w:val="24"/>
              </w:rPr>
            </w:pPr>
            <w:r w:rsidRPr="000425DF">
              <w:rPr>
                <w:rFonts w:asciiTheme="majorBidi" w:hAnsiTheme="majorBidi" w:cstheme="majorBidi"/>
                <w:color w:val="000000"/>
                <w:sz w:val="24"/>
                <w:szCs w:val="24"/>
              </w:rPr>
              <w:t>1.5 dimensions private actors</w:t>
            </w:r>
          </w:p>
        </w:tc>
        <w:tc>
          <w:tcPr>
            <w:tcW w:w="993" w:type="dxa"/>
            <w:shd w:val="clear" w:color="auto" w:fill="auto"/>
          </w:tcPr>
          <w:p w14:paraId="08E1F16B" w14:textId="77777777" w:rsidR="00935C60" w:rsidRPr="000425DF" w:rsidRDefault="00935C60" w:rsidP="003B63F6">
            <w:pPr>
              <w:jc w:val="center"/>
              <w:rPr>
                <w:rFonts w:asciiTheme="majorBidi" w:hAnsiTheme="majorBidi" w:cstheme="majorBidi"/>
                <w:color w:val="000000"/>
                <w:sz w:val="24"/>
                <w:szCs w:val="24"/>
              </w:rPr>
            </w:pPr>
            <w:r w:rsidRPr="000425DF">
              <w:rPr>
                <w:rFonts w:asciiTheme="majorBidi" w:hAnsiTheme="majorBidi" w:cstheme="majorBidi"/>
                <w:color w:val="000000"/>
                <w:sz w:val="24"/>
                <w:szCs w:val="24"/>
              </w:rPr>
              <w:t>0.67</w:t>
            </w:r>
          </w:p>
        </w:tc>
        <w:tc>
          <w:tcPr>
            <w:tcW w:w="1134" w:type="dxa"/>
            <w:shd w:val="clear" w:color="auto" w:fill="auto"/>
          </w:tcPr>
          <w:p w14:paraId="5EF7479F" w14:textId="77777777" w:rsidR="00935C60" w:rsidRPr="00935C60" w:rsidRDefault="00935C60" w:rsidP="003B63F6">
            <w:pPr>
              <w:jc w:val="center"/>
              <w:rPr>
                <w:rFonts w:asciiTheme="majorBidi" w:hAnsiTheme="majorBidi" w:cstheme="majorBidi"/>
                <w:color w:val="000000"/>
                <w:sz w:val="24"/>
                <w:szCs w:val="24"/>
              </w:rPr>
            </w:pPr>
            <w:r w:rsidRPr="00935C60">
              <w:rPr>
                <w:rFonts w:asciiTheme="majorBidi" w:hAnsiTheme="majorBidi" w:cstheme="majorBidi"/>
                <w:color w:val="000000"/>
                <w:sz w:val="24"/>
                <w:szCs w:val="24"/>
              </w:rPr>
              <w:t>0.17</w:t>
            </w:r>
          </w:p>
        </w:tc>
        <w:tc>
          <w:tcPr>
            <w:tcW w:w="1007" w:type="dxa"/>
            <w:shd w:val="clear" w:color="auto" w:fill="auto"/>
          </w:tcPr>
          <w:p w14:paraId="4F838FFA" w14:textId="77777777" w:rsidR="00935C60" w:rsidRPr="000425DF" w:rsidRDefault="00935C60" w:rsidP="003B63F6">
            <w:pPr>
              <w:jc w:val="center"/>
              <w:rPr>
                <w:rFonts w:asciiTheme="majorBidi" w:hAnsiTheme="majorBidi" w:cstheme="majorBidi"/>
                <w:color w:val="000000"/>
                <w:sz w:val="24"/>
                <w:szCs w:val="24"/>
              </w:rPr>
            </w:pPr>
            <w:r w:rsidRPr="000425DF">
              <w:rPr>
                <w:rFonts w:asciiTheme="majorBidi" w:hAnsiTheme="majorBidi" w:cstheme="majorBidi"/>
                <w:color w:val="000000"/>
                <w:sz w:val="24"/>
                <w:szCs w:val="24"/>
              </w:rPr>
              <w:t>0.17</w:t>
            </w:r>
          </w:p>
        </w:tc>
      </w:tr>
      <w:tr w:rsidR="00935C60" w:rsidRPr="000425DF" w14:paraId="30EADC33" w14:textId="77777777" w:rsidTr="00935C60">
        <w:tc>
          <w:tcPr>
            <w:tcW w:w="3256" w:type="dxa"/>
            <w:shd w:val="clear" w:color="auto" w:fill="auto"/>
          </w:tcPr>
          <w:p w14:paraId="36CEFDAD" w14:textId="2803F80F" w:rsidR="00935C60" w:rsidRPr="000425DF" w:rsidRDefault="00935C60" w:rsidP="003B63F6">
            <w:pPr>
              <w:spacing w:after="160" w:line="259" w:lineRule="auto"/>
              <w:rPr>
                <w:rFonts w:asciiTheme="majorBidi" w:hAnsiTheme="majorBidi" w:cstheme="majorBidi"/>
                <w:noProof w:val="0"/>
                <w:sz w:val="24"/>
                <w:szCs w:val="24"/>
                <w:lang w:val="en-GB"/>
              </w:rPr>
            </w:pPr>
            <w:r w:rsidRPr="000425DF">
              <w:rPr>
                <w:rFonts w:asciiTheme="majorBidi" w:hAnsiTheme="majorBidi" w:cstheme="majorBidi"/>
                <w:noProof w:val="0"/>
                <w:sz w:val="24"/>
                <w:szCs w:val="24"/>
                <w:lang w:val="en-GB"/>
              </w:rPr>
              <w:t xml:space="preserve">Luxembourg </w:t>
            </w:r>
            <w:r>
              <w:rPr>
                <w:rFonts w:asciiTheme="majorBidi" w:hAnsiTheme="majorBidi" w:cstheme="majorBidi"/>
                <w:noProof w:val="0"/>
                <w:sz w:val="24"/>
                <w:szCs w:val="24"/>
                <w:lang w:val="en-GB"/>
              </w:rPr>
              <w:t>(introduction)</w:t>
            </w:r>
          </w:p>
        </w:tc>
        <w:tc>
          <w:tcPr>
            <w:tcW w:w="3543" w:type="dxa"/>
            <w:shd w:val="clear" w:color="auto" w:fill="auto"/>
          </w:tcPr>
          <w:p w14:paraId="3DE6A5DF" w14:textId="77777777" w:rsidR="00935C60" w:rsidRPr="000425DF" w:rsidRDefault="00935C60" w:rsidP="003B63F6">
            <w:pPr>
              <w:rPr>
                <w:rFonts w:asciiTheme="majorBidi" w:hAnsiTheme="majorBidi" w:cstheme="majorBidi"/>
                <w:color w:val="000000"/>
                <w:sz w:val="24"/>
                <w:szCs w:val="24"/>
              </w:rPr>
            </w:pPr>
            <w:r w:rsidRPr="000425DF">
              <w:rPr>
                <w:rFonts w:asciiTheme="majorBidi" w:hAnsiTheme="majorBidi" w:cstheme="majorBidi"/>
                <w:color w:val="000000"/>
                <w:sz w:val="24"/>
                <w:szCs w:val="24"/>
              </w:rPr>
              <w:t>4 dimensions state</w:t>
            </w:r>
          </w:p>
          <w:p w14:paraId="5476358D" w14:textId="77777777" w:rsidR="00935C60" w:rsidRPr="000425DF" w:rsidRDefault="00935C60" w:rsidP="003B63F6">
            <w:pPr>
              <w:rPr>
                <w:rFonts w:asciiTheme="majorBidi" w:hAnsiTheme="majorBidi" w:cstheme="majorBidi"/>
                <w:color w:val="000000"/>
                <w:sz w:val="24"/>
                <w:szCs w:val="24"/>
              </w:rPr>
            </w:pPr>
            <w:r w:rsidRPr="000425DF">
              <w:rPr>
                <w:rFonts w:asciiTheme="majorBidi" w:hAnsiTheme="majorBidi" w:cstheme="majorBidi"/>
                <w:color w:val="000000"/>
                <w:sz w:val="24"/>
                <w:szCs w:val="24"/>
              </w:rPr>
              <w:t>0.5 dimension societal actors</w:t>
            </w:r>
          </w:p>
          <w:p w14:paraId="55F13E62" w14:textId="77777777" w:rsidR="00935C60" w:rsidRPr="000425DF" w:rsidRDefault="00935C60" w:rsidP="003B63F6">
            <w:pPr>
              <w:rPr>
                <w:rFonts w:asciiTheme="majorBidi" w:hAnsiTheme="majorBidi" w:cstheme="majorBidi"/>
                <w:color w:val="000000"/>
                <w:sz w:val="24"/>
                <w:szCs w:val="24"/>
              </w:rPr>
            </w:pPr>
            <w:r w:rsidRPr="000425DF">
              <w:rPr>
                <w:rFonts w:asciiTheme="majorBidi" w:hAnsiTheme="majorBidi" w:cstheme="majorBidi"/>
                <w:color w:val="000000"/>
                <w:sz w:val="24"/>
                <w:szCs w:val="24"/>
              </w:rPr>
              <w:t>1.5 dimensions private actors</w:t>
            </w:r>
          </w:p>
        </w:tc>
        <w:tc>
          <w:tcPr>
            <w:tcW w:w="993" w:type="dxa"/>
            <w:shd w:val="clear" w:color="auto" w:fill="auto"/>
          </w:tcPr>
          <w:p w14:paraId="22F31F7A" w14:textId="77777777" w:rsidR="00935C60" w:rsidRPr="000425DF" w:rsidRDefault="00935C60" w:rsidP="003B63F6">
            <w:pPr>
              <w:jc w:val="center"/>
              <w:rPr>
                <w:rFonts w:asciiTheme="majorBidi" w:hAnsiTheme="majorBidi" w:cstheme="majorBidi"/>
                <w:color w:val="000000"/>
                <w:sz w:val="24"/>
                <w:szCs w:val="24"/>
              </w:rPr>
            </w:pPr>
            <w:r w:rsidRPr="000425DF">
              <w:rPr>
                <w:rFonts w:asciiTheme="majorBidi" w:hAnsiTheme="majorBidi" w:cstheme="majorBidi"/>
                <w:color w:val="000000"/>
                <w:sz w:val="24"/>
                <w:szCs w:val="24"/>
              </w:rPr>
              <w:t>0.67</w:t>
            </w:r>
          </w:p>
        </w:tc>
        <w:tc>
          <w:tcPr>
            <w:tcW w:w="1134" w:type="dxa"/>
            <w:shd w:val="clear" w:color="auto" w:fill="auto"/>
          </w:tcPr>
          <w:p w14:paraId="640B580C" w14:textId="77777777" w:rsidR="00935C60" w:rsidRPr="00935C60" w:rsidRDefault="00935C60" w:rsidP="003B63F6">
            <w:pPr>
              <w:jc w:val="center"/>
              <w:rPr>
                <w:rFonts w:asciiTheme="majorBidi" w:hAnsiTheme="majorBidi" w:cstheme="majorBidi"/>
                <w:color w:val="000000"/>
                <w:sz w:val="24"/>
                <w:szCs w:val="24"/>
              </w:rPr>
            </w:pPr>
            <w:r w:rsidRPr="00935C60">
              <w:rPr>
                <w:rFonts w:asciiTheme="majorBidi" w:hAnsiTheme="majorBidi" w:cstheme="majorBidi"/>
                <w:color w:val="000000"/>
                <w:sz w:val="24"/>
                <w:szCs w:val="24"/>
              </w:rPr>
              <w:t>0</w:t>
            </w:r>
          </w:p>
        </w:tc>
        <w:tc>
          <w:tcPr>
            <w:tcW w:w="1007" w:type="dxa"/>
            <w:shd w:val="clear" w:color="auto" w:fill="auto"/>
          </w:tcPr>
          <w:p w14:paraId="223D9E33" w14:textId="77777777" w:rsidR="00935C60" w:rsidRPr="000425DF" w:rsidRDefault="00935C60" w:rsidP="003B63F6">
            <w:pPr>
              <w:jc w:val="center"/>
              <w:rPr>
                <w:rFonts w:asciiTheme="majorBidi" w:hAnsiTheme="majorBidi" w:cstheme="majorBidi"/>
                <w:color w:val="000000"/>
                <w:sz w:val="24"/>
                <w:szCs w:val="24"/>
              </w:rPr>
            </w:pPr>
            <w:r w:rsidRPr="000425DF">
              <w:rPr>
                <w:rFonts w:asciiTheme="majorBidi" w:hAnsiTheme="majorBidi" w:cstheme="majorBidi"/>
                <w:color w:val="000000"/>
                <w:sz w:val="24"/>
                <w:szCs w:val="24"/>
              </w:rPr>
              <w:t>0.17</w:t>
            </w:r>
          </w:p>
        </w:tc>
      </w:tr>
      <w:tr w:rsidR="00935C60" w:rsidRPr="000425DF" w14:paraId="5034B2F2" w14:textId="77777777" w:rsidTr="00935C60">
        <w:tc>
          <w:tcPr>
            <w:tcW w:w="3256" w:type="dxa"/>
            <w:shd w:val="clear" w:color="auto" w:fill="auto"/>
          </w:tcPr>
          <w:p w14:paraId="3D0E69EB" w14:textId="721F3B98" w:rsidR="00935C60" w:rsidRPr="000425DF" w:rsidRDefault="00935C60" w:rsidP="003B63F6">
            <w:pPr>
              <w:spacing w:after="160" w:line="259" w:lineRule="auto"/>
              <w:rPr>
                <w:rFonts w:asciiTheme="majorBidi" w:hAnsiTheme="majorBidi" w:cstheme="majorBidi"/>
                <w:noProof w:val="0"/>
                <w:sz w:val="24"/>
                <w:szCs w:val="24"/>
                <w:lang w:val="en-GB"/>
              </w:rPr>
            </w:pPr>
            <w:r w:rsidRPr="000425DF">
              <w:rPr>
                <w:rFonts w:asciiTheme="majorBidi" w:hAnsiTheme="majorBidi" w:cstheme="majorBidi"/>
                <w:noProof w:val="0"/>
                <w:sz w:val="24"/>
                <w:szCs w:val="24"/>
                <w:lang w:val="en-GB"/>
              </w:rPr>
              <w:t xml:space="preserve">Netherlands </w:t>
            </w:r>
            <w:r>
              <w:rPr>
                <w:rFonts w:asciiTheme="majorBidi" w:hAnsiTheme="majorBidi" w:cstheme="majorBidi"/>
                <w:noProof w:val="0"/>
                <w:sz w:val="24"/>
                <w:szCs w:val="24"/>
                <w:lang w:val="en-GB"/>
              </w:rPr>
              <w:t>(introduction)</w:t>
            </w:r>
          </w:p>
        </w:tc>
        <w:tc>
          <w:tcPr>
            <w:tcW w:w="3543" w:type="dxa"/>
            <w:shd w:val="clear" w:color="auto" w:fill="auto"/>
          </w:tcPr>
          <w:p w14:paraId="6D022A98" w14:textId="77777777" w:rsidR="00935C60" w:rsidRPr="000425DF" w:rsidRDefault="00935C60" w:rsidP="003B63F6">
            <w:pPr>
              <w:rPr>
                <w:rFonts w:asciiTheme="majorBidi" w:hAnsiTheme="majorBidi" w:cstheme="majorBidi"/>
                <w:color w:val="000000"/>
                <w:sz w:val="24"/>
                <w:szCs w:val="24"/>
              </w:rPr>
            </w:pPr>
            <w:r w:rsidRPr="000425DF">
              <w:rPr>
                <w:rFonts w:asciiTheme="majorBidi" w:hAnsiTheme="majorBidi" w:cstheme="majorBidi"/>
                <w:color w:val="000000"/>
                <w:sz w:val="24"/>
                <w:szCs w:val="24"/>
              </w:rPr>
              <w:t>3 dimensions state</w:t>
            </w:r>
          </w:p>
          <w:p w14:paraId="0728FB57" w14:textId="77777777" w:rsidR="00935C60" w:rsidRPr="000425DF" w:rsidRDefault="00935C60" w:rsidP="003B63F6">
            <w:pPr>
              <w:rPr>
                <w:rFonts w:asciiTheme="majorBidi" w:hAnsiTheme="majorBidi" w:cstheme="majorBidi"/>
                <w:color w:val="000000"/>
                <w:sz w:val="24"/>
                <w:szCs w:val="24"/>
              </w:rPr>
            </w:pPr>
            <w:r w:rsidRPr="000425DF">
              <w:rPr>
                <w:rFonts w:asciiTheme="majorBidi" w:hAnsiTheme="majorBidi" w:cstheme="majorBidi"/>
                <w:color w:val="000000"/>
                <w:sz w:val="24"/>
                <w:szCs w:val="24"/>
              </w:rPr>
              <w:t>1.5 dimensions societal actors</w:t>
            </w:r>
          </w:p>
          <w:p w14:paraId="4A3EDE4B" w14:textId="77777777" w:rsidR="00935C60" w:rsidRPr="000425DF" w:rsidRDefault="00935C60" w:rsidP="003B63F6">
            <w:pPr>
              <w:rPr>
                <w:rFonts w:asciiTheme="majorBidi" w:hAnsiTheme="majorBidi" w:cstheme="majorBidi"/>
                <w:color w:val="000000"/>
                <w:sz w:val="24"/>
                <w:szCs w:val="24"/>
              </w:rPr>
            </w:pPr>
            <w:r w:rsidRPr="000425DF">
              <w:rPr>
                <w:rFonts w:asciiTheme="majorBidi" w:hAnsiTheme="majorBidi" w:cstheme="majorBidi"/>
                <w:color w:val="000000"/>
                <w:sz w:val="24"/>
                <w:szCs w:val="24"/>
              </w:rPr>
              <w:t>1.5 dimensions private actors</w:t>
            </w:r>
          </w:p>
        </w:tc>
        <w:tc>
          <w:tcPr>
            <w:tcW w:w="993" w:type="dxa"/>
            <w:shd w:val="clear" w:color="auto" w:fill="auto"/>
          </w:tcPr>
          <w:p w14:paraId="68E2CB18" w14:textId="77777777" w:rsidR="00935C60" w:rsidRPr="000425DF" w:rsidRDefault="00935C60" w:rsidP="003B63F6">
            <w:pPr>
              <w:jc w:val="center"/>
              <w:rPr>
                <w:rFonts w:asciiTheme="majorBidi" w:hAnsiTheme="majorBidi" w:cstheme="majorBidi"/>
                <w:color w:val="000000"/>
                <w:sz w:val="24"/>
                <w:szCs w:val="24"/>
              </w:rPr>
            </w:pPr>
            <w:r w:rsidRPr="000425DF">
              <w:rPr>
                <w:rFonts w:asciiTheme="majorBidi" w:hAnsiTheme="majorBidi" w:cstheme="majorBidi"/>
                <w:color w:val="000000"/>
                <w:sz w:val="24"/>
                <w:szCs w:val="24"/>
              </w:rPr>
              <w:t>0.5</w:t>
            </w:r>
          </w:p>
        </w:tc>
        <w:tc>
          <w:tcPr>
            <w:tcW w:w="1134" w:type="dxa"/>
            <w:shd w:val="clear" w:color="auto" w:fill="auto"/>
          </w:tcPr>
          <w:p w14:paraId="5F964E7A" w14:textId="77777777" w:rsidR="00935C60" w:rsidRPr="00935C60" w:rsidRDefault="00935C60" w:rsidP="003B63F6">
            <w:pPr>
              <w:jc w:val="center"/>
              <w:rPr>
                <w:rFonts w:asciiTheme="majorBidi" w:hAnsiTheme="majorBidi" w:cstheme="majorBidi"/>
                <w:color w:val="000000"/>
                <w:sz w:val="24"/>
                <w:szCs w:val="24"/>
              </w:rPr>
            </w:pPr>
            <w:r w:rsidRPr="00935C60">
              <w:rPr>
                <w:rFonts w:asciiTheme="majorBidi" w:hAnsiTheme="majorBidi" w:cstheme="majorBidi"/>
                <w:color w:val="000000"/>
                <w:sz w:val="24"/>
                <w:szCs w:val="24"/>
              </w:rPr>
              <w:t>0.17</w:t>
            </w:r>
          </w:p>
        </w:tc>
        <w:tc>
          <w:tcPr>
            <w:tcW w:w="1007" w:type="dxa"/>
            <w:shd w:val="clear" w:color="auto" w:fill="auto"/>
          </w:tcPr>
          <w:p w14:paraId="244D9AB4" w14:textId="77777777" w:rsidR="00935C60" w:rsidRPr="000425DF" w:rsidRDefault="00935C60" w:rsidP="003B63F6">
            <w:pPr>
              <w:jc w:val="center"/>
              <w:rPr>
                <w:rFonts w:asciiTheme="majorBidi" w:hAnsiTheme="majorBidi" w:cstheme="majorBidi"/>
                <w:color w:val="000000"/>
                <w:sz w:val="24"/>
                <w:szCs w:val="24"/>
              </w:rPr>
            </w:pPr>
            <w:r w:rsidRPr="000425DF">
              <w:rPr>
                <w:rFonts w:asciiTheme="majorBidi" w:hAnsiTheme="majorBidi" w:cstheme="majorBidi"/>
                <w:color w:val="000000"/>
                <w:sz w:val="24"/>
                <w:szCs w:val="24"/>
              </w:rPr>
              <w:t>0.17</w:t>
            </w:r>
          </w:p>
        </w:tc>
      </w:tr>
      <w:tr w:rsidR="00935C60" w:rsidRPr="000425DF" w14:paraId="639C8FDC" w14:textId="77777777" w:rsidTr="00935C60">
        <w:tc>
          <w:tcPr>
            <w:tcW w:w="3256" w:type="dxa"/>
            <w:shd w:val="clear" w:color="auto" w:fill="auto"/>
          </w:tcPr>
          <w:p w14:paraId="10C1D9AA" w14:textId="140B9B21" w:rsidR="00935C60" w:rsidRPr="000425DF" w:rsidRDefault="00935C60" w:rsidP="003B63F6">
            <w:pPr>
              <w:rPr>
                <w:rFonts w:asciiTheme="majorBidi" w:hAnsiTheme="majorBidi" w:cstheme="majorBidi"/>
                <w:noProof w:val="0"/>
                <w:color w:val="1F3864" w:themeColor="accent1" w:themeShade="80"/>
                <w:sz w:val="24"/>
                <w:szCs w:val="24"/>
                <w:lang w:val="en-GB"/>
              </w:rPr>
            </w:pPr>
            <w:r w:rsidRPr="000425DF">
              <w:rPr>
                <w:rFonts w:asciiTheme="majorBidi" w:hAnsiTheme="majorBidi" w:cstheme="majorBidi"/>
                <w:noProof w:val="0"/>
                <w:color w:val="1F3864" w:themeColor="accent1" w:themeShade="80"/>
                <w:sz w:val="24"/>
                <w:szCs w:val="24"/>
                <w:lang w:val="en-GB"/>
              </w:rPr>
              <w:t xml:space="preserve">Netherlands </w:t>
            </w:r>
            <w:r>
              <w:rPr>
                <w:rFonts w:asciiTheme="majorBidi" w:hAnsiTheme="majorBidi" w:cstheme="majorBidi"/>
                <w:noProof w:val="0"/>
                <w:color w:val="1F3864" w:themeColor="accent1" w:themeShade="80"/>
                <w:sz w:val="24"/>
                <w:szCs w:val="24"/>
                <w:lang w:val="en-GB"/>
              </w:rPr>
              <w:t>(today)</w:t>
            </w:r>
          </w:p>
        </w:tc>
        <w:tc>
          <w:tcPr>
            <w:tcW w:w="3543" w:type="dxa"/>
            <w:shd w:val="clear" w:color="auto" w:fill="auto"/>
          </w:tcPr>
          <w:p w14:paraId="77C809E0" w14:textId="77777777" w:rsidR="00935C60" w:rsidRPr="000425DF" w:rsidRDefault="00935C60" w:rsidP="003B63F6">
            <w:pPr>
              <w:rPr>
                <w:rFonts w:asciiTheme="majorBidi" w:hAnsiTheme="majorBidi" w:cstheme="majorBidi"/>
                <w:color w:val="1F3864" w:themeColor="accent1" w:themeShade="80"/>
                <w:sz w:val="24"/>
                <w:szCs w:val="24"/>
              </w:rPr>
            </w:pPr>
            <w:r w:rsidRPr="000425DF">
              <w:rPr>
                <w:rFonts w:asciiTheme="majorBidi" w:hAnsiTheme="majorBidi" w:cstheme="majorBidi"/>
                <w:color w:val="1F3864" w:themeColor="accent1" w:themeShade="80"/>
                <w:sz w:val="24"/>
                <w:szCs w:val="24"/>
              </w:rPr>
              <w:t>3.5 dimensiosn state</w:t>
            </w:r>
          </w:p>
          <w:p w14:paraId="502FBC47" w14:textId="77777777" w:rsidR="00935C60" w:rsidRPr="000425DF" w:rsidRDefault="00935C60" w:rsidP="003B63F6">
            <w:pPr>
              <w:rPr>
                <w:rFonts w:asciiTheme="majorBidi" w:hAnsiTheme="majorBidi" w:cstheme="majorBidi"/>
                <w:color w:val="1F3864" w:themeColor="accent1" w:themeShade="80"/>
                <w:sz w:val="24"/>
                <w:szCs w:val="24"/>
              </w:rPr>
            </w:pPr>
            <w:r w:rsidRPr="000425DF">
              <w:rPr>
                <w:rFonts w:asciiTheme="majorBidi" w:hAnsiTheme="majorBidi" w:cstheme="majorBidi"/>
                <w:color w:val="1F3864" w:themeColor="accent1" w:themeShade="80"/>
                <w:sz w:val="24"/>
                <w:szCs w:val="24"/>
              </w:rPr>
              <w:t>1 dimension societal actors</w:t>
            </w:r>
          </w:p>
          <w:p w14:paraId="5256CAD4" w14:textId="77777777" w:rsidR="00935C60" w:rsidRPr="000425DF" w:rsidRDefault="00935C60" w:rsidP="003B63F6">
            <w:pPr>
              <w:rPr>
                <w:rFonts w:asciiTheme="majorBidi" w:hAnsiTheme="majorBidi" w:cstheme="majorBidi"/>
                <w:color w:val="1F3864" w:themeColor="accent1" w:themeShade="80"/>
                <w:sz w:val="24"/>
                <w:szCs w:val="24"/>
              </w:rPr>
            </w:pPr>
            <w:r w:rsidRPr="000425DF">
              <w:rPr>
                <w:rFonts w:asciiTheme="majorBidi" w:hAnsiTheme="majorBidi" w:cstheme="majorBidi"/>
                <w:color w:val="1F3864" w:themeColor="accent1" w:themeShade="80"/>
                <w:sz w:val="24"/>
                <w:szCs w:val="24"/>
              </w:rPr>
              <w:t>1.5 dimensions private actors</w:t>
            </w:r>
          </w:p>
        </w:tc>
        <w:tc>
          <w:tcPr>
            <w:tcW w:w="993" w:type="dxa"/>
            <w:shd w:val="clear" w:color="auto" w:fill="auto"/>
          </w:tcPr>
          <w:p w14:paraId="66B01B74" w14:textId="77777777" w:rsidR="00935C60" w:rsidRPr="000425DF" w:rsidRDefault="00935C60" w:rsidP="003B63F6">
            <w:pPr>
              <w:jc w:val="center"/>
              <w:rPr>
                <w:rFonts w:asciiTheme="majorBidi" w:hAnsiTheme="majorBidi" w:cstheme="majorBidi"/>
                <w:color w:val="1F3864" w:themeColor="accent1" w:themeShade="80"/>
                <w:sz w:val="24"/>
                <w:szCs w:val="24"/>
              </w:rPr>
            </w:pPr>
            <w:r w:rsidRPr="000425DF">
              <w:rPr>
                <w:rFonts w:asciiTheme="majorBidi" w:hAnsiTheme="majorBidi" w:cstheme="majorBidi"/>
                <w:color w:val="1F3864" w:themeColor="accent1" w:themeShade="80"/>
                <w:sz w:val="24"/>
                <w:szCs w:val="24"/>
              </w:rPr>
              <w:t>0.67</w:t>
            </w:r>
          </w:p>
        </w:tc>
        <w:tc>
          <w:tcPr>
            <w:tcW w:w="1134" w:type="dxa"/>
            <w:shd w:val="clear" w:color="auto" w:fill="auto"/>
          </w:tcPr>
          <w:p w14:paraId="0D1A1553" w14:textId="77777777" w:rsidR="00935C60" w:rsidRPr="00935C60" w:rsidRDefault="00935C60" w:rsidP="003B63F6">
            <w:pPr>
              <w:jc w:val="center"/>
              <w:rPr>
                <w:rFonts w:asciiTheme="majorBidi" w:hAnsiTheme="majorBidi" w:cstheme="majorBidi"/>
                <w:color w:val="1F3864" w:themeColor="accent1" w:themeShade="80"/>
                <w:sz w:val="24"/>
                <w:szCs w:val="24"/>
              </w:rPr>
            </w:pPr>
            <w:r w:rsidRPr="00935C60">
              <w:rPr>
                <w:rFonts w:asciiTheme="majorBidi" w:hAnsiTheme="majorBidi" w:cstheme="majorBidi"/>
                <w:color w:val="1F3864" w:themeColor="accent1" w:themeShade="80"/>
                <w:sz w:val="24"/>
                <w:szCs w:val="24"/>
              </w:rPr>
              <w:t>0.17</w:t>
            </w:r>
          </w:p>
        </w:tc>
        <w:tc>
          <w:tcPr>
            <w:tcW w:w="1007" w:type="dxa"/>
            <w:shd w:val="clear" w:color="auto" w:fill="auto"/>
          </w:tcPr>
          <w:p w14:paraId="3CB0BF02" w14:textId="77777777" w:rsidR="00935C60" w:rsidRPr="000425DF" w:rsidRDefault="00935C60" w:rsidP="003B63F6">
            <w:pPr>
              <w:jc w:val="center"/>
              <w:rPr>
                <w:rFonts w:asciiTheme="majorBidi" w:hAnsiTheme="majorBidi" w:cstheme="majorBidi"/>
                <w:color w:val="1F3864" w:themeColor="accent1" w:themeShade="80"/>
                <w:sz w:val="24"/>
                <w:szCs w:val="24"/>
              </w:rPr>
            </w:pPr>
            <w:r w:rsidRPr="000425DF">
              <w:rPr>
                <w:rFonts w:asciiTheme="majorBidi" w:hAnsiTheme="majorBidi" w:cstheme="majorBidi"/>
                <w:color w:val="1F3864" w:themeColor="accent1" w:themeShade="80"/>
                <w:sz w:val="24"/>
                <w:szCs w:val="24"/>
              </w:rPr>
              <w:t>0.17</w:t>
            </w:r>
          </w:p>
        </w:tc>
      </w:tr>
      <w:tr w:rsidR="00935C60" w:rsidRPr="000425DF" w14:paraId="087407A3" w14:textId="77777777" w:rsidTr="00935C60">
        <w:tc>
          <w:tcPr>
            <w:tcW w:w="3256" w:type="dxa"/>
            <w:shd w:val="clear" w:color="auto" w:fill="auto"/>
          </w:tcPr>
          <w:p w14:paraId="0847C67D" w14:textId="0D530647" w:rsidR="00935C60" w:rsidRPr="000425DF" w:rsidRDefault="00935C60" w:rsidP="003B63F6">
            <w:pPr>
              <w:spacing w:after="160" w:line="259" w:lineRule="auto"/>
              <w:rPr>
                <w:rFonts w:asciiTheme="majorBidi" w:hAnsiTheme="majorBidi" w:cstheme="majorBidi"/>
                <w:noProof w:val="0"/>
                <w:sz w:val="24"/>
                <w:szCs w:val="24"/>
                <w:lang w:val="en-GB"/>
              </w:rPr>
            </w:pPr>
            <w:r w:rsidRPr="000425DF">
              <w:rPr>
                <w:rFonts w:asciiTheme="majorBidi" w:hAnsiTheme="majorBidi" w:cstheme="majorBidi"/>
                <w:noProof w:val="0"/>
                <w:sz w:val="24"/>
                <w:szCs w:val="24"/>
                <w:lang w:val="en-GB"/>
              </w:rPr>
              <w:t xml:space="preserve">South Korea </w:t>
            </w:r>
            <w:r>
              <w:rPr>
                <w:rFonts w:asciiTheme="majorBidi" w:hAnsiTheme="majorBidi" w:cstheme="majorBidi"/>
                <w:noProof w:val="0"/>
                <w:sz w:val="24"/>
                <w:szCs w:val="24"/>
                <w:lang w:val="en-GB"/>
              </w:rPr>
              <w:t>(introduction)</w:t>
            </w:r>
          </w:p>
        </w:tc>
        <w:tc>
          <w:tcPr>
            <w:tcW w:w="3543" w:type="dxa"/>
            <w:shd w:val="clear" w:color="auto" w:fill="auto"/>
          </w:tcPr>
          <w:p w14:paraId="44965B8A" w14:textId="77777777" w:rsidR="00935C60" w:rsidRPr="000425DF" w:rsidRDefault="00935C60" w:rsidP="003B63F6">
            <w:pPr>
              <w:rPr>
                <w:rFonts w:asciiTheme="majorBidi" w:hAnsiTheme="majorBidi" w:cstheme="majorBidi"/>
                <w:color w:val="000000"/>
                <w:sz w:val="24"/>
                <w:szCs w:val="24"/>
              </w:rPr>
            </w:pPr>
            <w:r w:rsidRPr="000425DF">
              <w:rPr>
                <w:rFonts w:asciiTheme="majorBidi" w:hAnsiTheme="majorBidi" w:cstheme="majorBidi"/>
                <w:color w:val="000000"/>
                <w:sz w:val="24"/>
                <w:szCs w:val="24"/>
              </w:rPr>
              <w:t>1.5 dimensions state</w:t>
            </w:r>
          </w:p>
          <w:p w14:paraId="57428477" w14:textId="77777777" w:rsidR="00935C60" w:rsidRPr="000425DF" w:rsidRDefault="00935C60" w:rsidP="003B63F6">
            <w:pPr>
              <w:rPr>
                <w:rFonts w:asciiTheme="majorBidi" w:hAnsiTheme="majorBidi" w:cstheme="majorBidi"/>
                <w:color w:val="000000"/>
                <w:sz w:val="24"/>
                <w:szCs w:val="24"/>
              </w:rPr>
            </w:pPr>
            <w:r w:rsidRPr="000425DF">
              <w:rPr>
                <w:rFonts w:asciiTheme="majorBidi" w:hAnsiTheme="majorBidi" w:cstheme="majorBidi"/>
                <w:color w:val="000000"/>
                <w:sz w:val="24"/>
                <w:szCs w:val="24"/>
              </w:rPr>
              <w:t>2 dimensions societal actors</w:t>
            </w:r>
          </w:p>
          <w:p w14:paraId="2DE0A013" w14:textId="77777777" w:rsidR="00935C60" w:rsidRPr="000425DF" w:rsidRDefault="00935C60" w:rsidP="003B63F6">
            <w:pPr>
              <w:rPr>
                <w:rFonts w:asciiTheme="majorBidi" w:hAnsiTheme="majorBidi" w:cstheme="majorBidi"/>
                <w:color w:val="000000"/>
                <w:sz w:val="24"/>
                <w:szCs w:val="24"/>
              </w:rPr>
            </w:pPr>
            <w:r w:rsidRPr="000425DF">
              <w:rPr>
                <w:rFonts w:asciiTheme="majorBidi" w:hAnsiTheme="majorBidi" w:cstheme="majorBidi"/>
                <w:color w:val="000000"/>
                <w:sz w:val="24"/>
                <w:szCs w:val="24"/>
              </w:rPr>
              <w:t>2.5 dimensions private actors</w:t>
            </w:r>
          </w:p>
        </w:tc>
        <w:tc>
          <w:tcPr>
            <w:tcW w:w="993" w:type="dxa"/>
            <w:shd w:val="clear" w:color="auto" w:fill="auto"/>
          </w:tcPr>
          <w:p w14:paraId="1D69C063" w14:textId="77777777" w:rsidR="00935C60" w:rsidRPr="000425DF" w:rsidRDefault="00935C60" w:rsidP="003B63F6">
            <w:pPr>
              <w:jc w:val="center"/>
              <w:rPr>
                <w:rFonts w:asciiTheme="majorBidi" w:hAnsiTheme="majorBidi" w:cstheme="majorBidi"/>
                <w:sz w:val="24"/>
                <w:szCs w:val="24"/>
              </w:rPr>
            </w:pPr>
            <w:r w:rsidRPr="000425DF">
              <w:rPr>
                <w:rFonts w:asciiTheme="majorBidi" w:hAnsiTheme="majorBidi" w:cstheme="majorBidi"/>
                <w:sz w:val="24"/>
                <w:szCs w:val="24"/>
              </w:rPr>
              <w:t>0.17</w:t>
            </w:r>
          </w:p>
        </w:tc>
        <w:tc>
          <w:tcPr>
            <w:tcW w:w="1134" w:type="dxa"/>
            <w:shd w:val="clear" w:color="auto" w:fill="auto"/>
          </w:tcPr>
          <w:p w14:paraId="7D065460" w14:textId="77777777" w:rsidR="00935C60" w:rsidRPr="00935C60" w:rsidRDefault="00935C60" w:rsidP="003B63F6">
            <w:pPr>
              <w:jc w:val="center"/>
              <w:rPr>
                <w:rFonts w:asciiTheme="majorBidi" w:hAnsiTheme="majorBidi" w:cstheme="majorBidi"/>
                <w:sz w:val="24"/>
                <w:szCs w:val="24"/>
              </w:rPr>
            </w:pPr>
            <w:r w:rsidRPr="00935C60">
              <w:rPr>
                <w:rFonts w:asciiTheme="majorBidi" w:hAnsiTheme="majorBidi" w:cstheme="majorBidi"/>
                <w:sz w:val="24"/>
                <w:szCs w:val="24"/>
              </w:rPr>
              <w:t>0.33</w:t>
            </w:r>
          </w:p>
        </w:tc>
        <w:tc>
          <w:tcPr>
            <w:tcW w:w="1007" w:type="dxa"/>
            <w:shd w:val="clear" w:color="auto" w:fill="auto"/>
          </w:tcPr>
          <w:p w14:paraId="76DFF2D7" w14:textId="77777777" w:rsidR="00935C60" w:rsidRPr="000425DF" w:rsidRDefault="00935C60" w:rsidP="003B63F6">
            <w:pPr>
              <w:jc w:val="center"/>
              <w:rPr>
                <w:rFonts w:asciiTheme="majorBidi" w:hAnsiTheme="majorBidi" w:cstheme="majorBidi"/>
                <w:sz w:val="24"/>
                <w:szCs w:val="24"/>
              </w:rPr>
            </w:pPr>
            <w:r w:rsidRPr="000425DF">
              <w:rPr>
                <w:rFonts w:asciiTheme="majorBidi" w:hAnsiTheme="majorBidi" w:cstheme="majorBidi"/>
                <w:sz w:val="24"/>
                <w:szCs w:val="24"/>
              </w:rPr>
              <w:t>0.33</w:t>
            </w:r>
          </w:p>
        </w:tc>
      </w:tr>
    </w:tbl>
    <w:p w14:paraId="6655B07C" w14:textId="69A4BA60" w:rsidR="00FF407A" w:rsidRDefault="00FF407A" w:rsidP="00935C60">
      <w:pPr>
        <w:rPr>
          <w:rFonts w:asciiTheme="majorBidi" w:hAnsiTheme="majorBidi" w:cstheme="majorBidi"/>
          <w:noProof w:val="0"/>
          <w:sz w:val="24"/>
          <w:szCs w:val="24"/>
          <w:lang w:val="en-GB"/>
        </w:rPr>
      </w:pPr>
    </w:p>
    <w:p w14:paraId="52883422" w14:textId="59E4175E" w:rsidR="00935C60" w:rsidRPr="00FF407A" w:rsidRDefault="00FF407A" w:rsidP="00FF407A">
      <w:pPr>
        <w:rPr>
          <w:rFonts w:asciiTheme="majorBidi" w:hAnsiTheme="majorBidi" w:cstheme="majorBidi"/>
          <w:noProof w:val="0"/>
          <w:sz w:val="24"/>
          <w:szCs w:val="24"/>
          <w:lang w:val="en-GB"/>
        </w:rPr>
      </w:pPr>
      <w:r>
        <w:rPr>
          <w:rFonts w:asciiTheme="majorBidi" w:hAnsiTheme="majorBidi" w:cstheme="majorBidi"/>
          <w:noProof w:val="0"/>
          <w:sz w:val="24"/>
          <w:szCs w:val="24"/>
          <w:lang w:val="en-GB"/>
        </w:rPr>
        <w:br w:type="page"/>
      </w:r>
      <w:r w:rsidR="00935C60" w:rsidRPr="00935C60">
        <w:rPr>
          <w:rFonts w:asciiTheme="majorBidi" w:hAnsiTheme="majorBidi" w:cstheme="majorBidi"/>
          <w:i/>
          <w:iCs/>
          <w:noProof w:val="0"/>
          <w:sz w:val="24"/>
          <w:szCs w:val="24"/>
          <w:lang w:val="en-GB"/>
        </w:rPr>
        <w:lastRenderedPageBreak/>
        <w:t>Table A</w:t>
      </w:r>
      <w:r w:rsidR="00935C60">
        <w:rPr>
          <w:rFonts w:asciiTheme="majorBidi" w:hAnsiTheme="majorBidi" w:cstheme="majorBidi"/>
          <w:i/>
          <w:iCs/>
          <w:noProof w:val="0"/>
          <w:sz w:val="24"/>
          <w:szCs w:val="24"/>
          <w:lang w:val="en-GB"/>
        </w:rPr>
        <w:t>6</w:t>
      </w:r>
      <w:r w:rsidR="00935C60" w:rsidRPr="00935C60">
        <w:rPr>
          <w:rFonts w:asciiTheme="majorBidi" w:hAnsiTheme="majorBidi" w:cstheme="majorBidi"/>
          <w:i/>
          <w:iCs/>
          <w:noProof w:val="0"/>
          <w:sz w:val="24"/>
          <w:szCs w:val="24"/>
          <w:lang w:val="en-GB"/>
        </w:rPr>
        <w:t>. Main regulatory agency of SLTCI system.</w:t>
      </w:r>
    </w:p>
    <w:p w14:paraId="4E44E9AC" w14:textId="77777777" w:rsidR="00935C60" w:rsidRPr="00935C60" w:rsidRDefault="00935C60" w:rsidP="00935C60">
      <w:pPr>
        <w:rPr>
          <w:rFonts w:asciiTheme="majorBidi" w:hAnsiTheme="majorBidi" w:cstheme="majorBidi"/>
          <w:i/>
          <w:iCs/>
          <w:noProof w:val="0"/>
          <w:sz w:val="24"/>
          <w:szCs w:val="24"/>
          <w:lang w:val="en-GB"/>
        </w:rPr>
      </w:pPr>
      <w:r w:rsidRPr="00935C60">
        <w:rPr>
          <w:rFonts w:asciiTheme="majorBidi" w:hAnsiTheme="majorBidi" w:cstheme="majorBidi"/>
          <w:i/>
          <w:iCs/>
          <w:noProof w:val="0"/>
          <w:sz w:val="24"/>
          <w:szCs w:val="24"/>
          <w:lang w:val="en-GB"/>
        </w:rPr>
        <w:t>Note: Data is valid for introduction and today.</w:t>
      </w:r>
    </w:p>
    <w:tbl>
      <w:tblPr>
        <w:tblStyle w:val="Tabellenraster"/>
        <w:tblW w:w="13887" w:type="dxa"/>
        <w:tblLook w:val="04A0" w:firstRow="1" w:lastRow="0" w:firstColumn="1" w:lastColumn="0" w:noHBand="0" w:noVBand="1"/>
      </w:tblPr>
      <w:tblGrid>
        <w:gridCol w:w="1456"/>
        <w:gridCol w:w="7709"/>
        <w:gridCol w:w="3346"/>
        <w:gridCol w:w="1376"/>
      </w:tblGrid>
      <w:tr w:rsidR="00935C60" w:rsidRPr="000425DF" w14:paraId="6E8C300A" w14:textId="77777777" w:rsidTr="003B63F6">
        <w:tc>
          <w:tcPr>
            <w:tcW w:w="1333" w:type="dxa"/>
            <w:shd w:val="clear" w:color="auto" w:fill="auto"/>
          </w:tcPr>
          <w:p w14:paraId="44C545D9" w14:textId="77777777" w:rsidR="00935C60" w:rsidRPr="00935C60" w:rsidRDefault="00935C60" w:rsidP="003B63F6">
            <w:pPr>
              <w:spacing w:after="160" w:line="259" w:lineRule="auto"/>
              <w:rPr>
                <w:rFonts w:asciiTheme="majorBidi" w:hAnsiTheme="majorBidi" w:cstheme="majorBidi"/>
                <w:b/>
                <w:bCs/>
                <w:noProof w:val="0"/>
                <w:sz w:val="24"/>
                <w:szCs w:val="24"/>
                <w:lang w:val="en-GB"/>
              </w:rPr>
            </w:pPr>
            <w:r w:rsidRPr="00935C60">
              <w:rPr>
                <w:rFonts w:asciiTheme="majorBidi" w:hAnsiTheme="majorBidi" w:cstheme="majorBidi"/>
                <w:b/>
                <w:bCs/>
                <w:noProof w:val="0"/>
                <w:sz w:val="24"/>
                <w:szCs w:val="24"/>
                <w:lang w:val="en-GB"/>
              </w:rPr>
              <w:t>Country</w:t>
            </w:r>
          </w:p>
        </w:tc>
        <w:tc>
          <w:tcPr>
            <w:tcW w:w="7876" w:type="dxa"/>
            <w:shd w:val="clear" w:color="auto" w:fill="auto"/>
          </w:tcPr>
          <w:p w14:paraId="5F1571EB" w14:textId="77777777" w:rsidR="00935C60" w:rsidRPr="00935C60" w:rsidRDefault="00935C60" w:rsidP="003B63F6">
            <w:pPr>
              <w:spacing w:after="160" w:line="259" w:lineRule="auto"/>
              <w:rPr>
                <w:rFonts w:asciiTheme="majorBidi" w:hAnsiTheme="majorBidi" w:cstheme="majorBidi"/>
                <w:b/>
                <w:bCs/>
                <w:noProof w:val="0"/>
                <w:sz w:val="24"/>
                <w:szCs w:val="24"/>
                <w:lang w:val="en-GB"/>
              </w:rPr>
            </w:pPr>
            <w:r w:rsidRPr="00935C60">
              <w:rPr>
                <w:rFonts w:asciiTheme="majorBidi" w:hAnsiTheme="majorBidi" w:cstheme="majorBidi"/>
                <w:b/>
                <w:bCs/>
                <w:noProof w:val="0"/>
                <w:sz w:val="24"/>
                <w:szCs w:val="24"/>
                <w:lang w:val="en-GB"/>
              </w:rPr>
              <w:t>Raw data</w:t>
            </w:r>
          </w:p>
        </w:tc>
        <w:tc>
          <w:tcPr>
            <w:tcW w:w="3402" w:type="dxa"/>
            <w:shd w:val="clear" w:color="auto" w:fill="auto"/>
          </w:tcPr>
          <w:p w14:paraId="54C02747" w14:textId="77777777" w:rsidR="00935C60" w:rsidRPr="00935C60" w:rsidRDefault="00935C60" w:rsidP="003B63F6">
            <w:pPr>
              <w:spacing w:after="160" w:line="259" w:lineRule="auto"/>
              <w:rPr>
                <w:rFonts w:asciiTheme="majorBidi" w:hAnsiTheme="majorBidi" w:cstheme="majorBidi"/>
                <w:b/>
                <w:bCs/>
                <w:noProof w:val="0"/>
                <w:sz w:val="24"/>
                <w:szCs w:val="24"/>
                <w:lang w:val="en-GB"/>
              </w:rPr>
            </w:pPr>
            <w:r w:rsidRPr="00935C60">
              <w:rPr>
                <w:rFonts w:asciiTheme="majorBidi" w:hAnsiTheme="majorBidi" w:cstheme="majorBidi"/>
                <w:b/>
                <w:bCs/>
                <w:noProof w:val="0"/>
                <w:sz w:val="24"/>
                <w:szCs w:val="24"/>
                <w:lang w:val="en-GB"/>
              </w:rPr>
              <w:t>Sources</w:t>
            </w:r>
          </w:p>
        </w:tc>
        <w:tc>
          <w:tcPr>
            <w:tcW w:w="1276" w:type="dxa"/>
            <w:shd w:val="clear" w:color="auto" w:fill="auto"/>
          </w:tcPr>
          <w:p w14:paraId="6AAF9FA3" w14:textId="77777777" w:rsidR="00935C60" w:rsidRPr="00935C60" w:rsidRDefault="00935C60" w:rsidP="003B63F6">
            <w:pPr>
              <w:rPr>
                <w:rFonts w:asciiTheme="majorBidi" w:hAnsiTheme="majorBidi" w:cstheme="majorBidi"/>
                <w:b/>
                <w:bCs/>
                <w:noProof w:val="0"/>
                <w:sz w:val="24"/>
                <w:szCs w:val="24"/>
                <w:lang w:val="en-GB"/>
              </w:rPr>
            </w:pPr>
            <w:r w:rsidRPr="00935C60">
              <w:rPr>
                <w:rFonts w:asciiTheme="majorBidi" w:hAnsiTheme="majorBidi" w:cstheme="majorBidi"/>
                <w:b/>
                <w:bCs/>
                <w:noProof w:val="0"/>
                <w:sz w:val="24"/>
                <w:szCs w:val="24"/>
                <w:lang w:val="en-GB"/>
              </w:rPr>
              <w:t>Confidence</w:t>
            </w:r>
          </w:p>
        </w:tc>
      </w:tr>
      <w:tr w:rsidR="00935C60" w:rsidRPr="000425DF" w14:paraId="69AAC94A" w14:textId="77777777" w:rsidTr="003B63F6">
        <w:tc>
          <w:tcPr>
            <w:tcW w:w="1333" w:type="dxa"/>
            <w:shd w:val="clear" w:color="auto" w:fill="auto"/>
          </w:tcPr>
          <w:p w14:paraId="131BEB31" w14:textId="77777777" w:rsidR="00935C60" w:rsidRPr="000425DF" w:rsidRDefault="00935C60" w:rsidP="003B63F6">
            <w:pPr>
              <w:spacing w:after="160" w:line="259" w:lineRule="auto"/>
              <w:rPr>
                <w:rFonts w:asciiTheme="majorBidi" w:hAnsiTheme="majorBidi" w:cstheme="majorBidi"/>
                <w:noProof w:val="0"/>
                <w:sz w:val="24"/>
                <w:szCs w:val="24"/>
                <w:lang w:val="en-GB"/>
              </w:rPr>
            </w:pPr>
            <w:r w:rsidRPr="000425DF">
              <w:rPr>
                <w:rFonts w:asciiTheme="majorBidi" w:hAnsiTheme="majorBidi" w:cstheme="majorBidi"/>
                <w:noProof w:val="0"/>
                <w:sz w:val="24"/>
                <w:szCs w:val="24"/>
                <w:lang w:val="en-GB"/>
              </w:rPr>
              <w:t>Germany</w:t>
            </w:r>
          </w:p>
        </w:tc>
        <w:tc>
          <w:tcPr>
            <w:tcW w:w="7876" w:type="dxa"/>
            <w:shd w:val="clear" w:color="auto" w:fill="auto"/>
          </w:tcPr>
          <w:p w14:paraId="311A7E82" w14:textId="77777777" w:rsidR="00935C60" w:rsidRPr="000425DF" w:rsidRDefault="00935C60" w:rsidP="003B63F6">
            <w:pPr>
              <w:rPr>
                <w:rFonts w:asciiTheme="majorBidi" w:hAnsiTheme="majorBidi" w:cstheme="majorBidi"/>
                <w:noProof w:val="0"/>
                <w:sz w:val="24"/>
                <w:szCs w:val="24"/>
                <w:lang w:val="en-GB"/>
              </w:rPr>
            </w:pPr>
            <w:r w:rsidRPr="000425DF">
              <w:rPr>
                <w:rFonts w:asciiTheme="majorBidi" w:hAnsiTheme="majorBidi" w:cstheme="majorBidi"/>
                <w:noProof w:val="0"/>
                <w:sz w:val="24"/>
                <w:szCs w:val="24"/>
                <w:lang w:val="en-GB"/>
              </w:rPr>
              <w:t>Societal actors</w:t>
            </w:r>
          </w:p>
          <w:p w14:paraId="6074148C" w14:textId="77777777" w:rsidR="00935C60" w:rsidRPr="000425DF" w:rsidRDefault="00935C60" w:rsidP="003B63F6">
            <w:pPr>
              <w:rPr>
                <w:rFonts w:asciiTheme="majorBidi" w:hAnsiTheme="majorBidi" w:cstheme="majorBidi"/>
                <w:noProof w:val="0"/>
                <w:color w:val="FF0000"/>
                <w:sz w:val="24"/>
                <w:szCs w:val="24"/>
                <w:lang w:val="en-GB"/>
              </w:rPr>
            </w:pPr>
            <w:r w:rsidRPr="000425DF">
              <w:rPr>
                <w:rFonts w:asciiTheme="majorBidi" w:hAnsiTheme="majorBidi" w:cstheme="majorBidi"/>
                <w:noProof w:val="0"/>
                <w:sz w:val="24"/>
                <w:szCs w:val="24"/>
                <w:lang w:val="en-GB"/>
              </w:rPr>
              <w:t>The LTC funds (‘</w:t>
            </w:r>
            <w:proofErr w:type="spellStart"/>
            <w:r w:rsidRPr="000425DF">
              <w:rPr>
                <w:rFonts w:asciiTheme="majorBidi" w:hAnsiTheme="majorBidi" w:cstheme="majorBidi"/>
                <w:noProof w:val="0"/>
                <w:sz w:val="24"/>
                <w:szCs w:val="24"/>
                <w:lang w:val="en-GB"/>
              </w:rPr>
              <w:t>Pflegekassen</w:t>
            </w:r>
            <w:proofErr w:type="spellEnd"/>
            <w:r w:rsidRPr="000425DF">
              <w:rPr>
                <w:rFonts w:asciiTheme="majorBidi" w:hAnsiTheme="majorBidi" w:cstheme="majorBidi"/>
                <w:noProof w:val="0"/>
                <w:sz w:val="24"/>
                <w:szCs w:val="24"/>
                <w:lang w:val="en-GB"/>
              </w:rPr>
              <w:t>’), which are independent but coupled with sickness funds are the main administrative/management bodies of the SLTCI scheme.</w:t>
            </w:r>
          </w:p>
        </w:tc>
        <w:tc>
          <w:tcPr>
            <w:tcW w:w="3402" w:type="dxa"/>
            <w:shd w:val="clear" w:color="auto" w:fill="auto"/>
          </w:tcPr>
          <w:p w14:paraId="60451819" w14:textId="6F975A13" w:rsidR="00935C60" w:rsidRPr="00507DB2" w:rsidRDefault="00F63F5D" w:rsidP="003B63F6">
            <w:pPr>
              <w:rPr>
                <w:rFonts w:asciiTheme="majorBidi" w:hAnsiTheme="majorBidi" w:cstheme="majorBidi"/>
                <w:noProof w:val="0"/>
                <w:color w:val="000000"/>
                <w:sz w:val="24"/>
                <w:szCs w:val="24"/>
                <w:lang w:val="de-DE"/>
              </w:rPr>
            </w:pPr>
            <w:r w:rsidRPr="00507DB2">
              <w:rPr>
                <w:rFonts w:asciiTheme="majorBidi" w:hAnsiTheme="majorBidi" w:cstheme="majorBidi"/>
                <w:color w:val="000000"/>
                <w:sz w:val="24"/>
                <w:szCs w:val="24"/>
                <w:lang w:val="de-DE"/>
              </w:rPr>
              <w:t>Evers, 1998; Rhee et al., 2015; Rothgang, 2010</w:t>
            </w:r>
            <w:r w:rsidR="00935C60" w:rsidRPr="00507DB2">
              <w:rPr>
                <w:rFonts w:asciiTheme="majorBidi" w:hAnsiTheme="majorBidi" w:cstheme="majorBidi"/>
                <w:noProof w:val="0"/>
                <w:color w:val="000000"/>
                <w:sz w:val="24"/>
                <w:szCs w:val="24"/>
                <w:lang w:val="de-DE"/>
              </w:rPr>
              <w:t>; PflegeVG</w:t>
            </w:r>
          </w:p>
        </w:tc>
        <w:tc>
          <w:tcPr>
            <w:tcW w:w="1276" w:type="dxa"/>
            <w:shd w:val="clear" w:color="auto" w:fill="auto"/>
          </w:tcPr>
          <w:p w14:paraId="55BA5DBC" w14:textId="77777777" w:rsidR="00935C60" w:rsidRPr="000425DF" w:rsidRDefault="00935C60" w:rsidP="003B63F6">
            <w:pPr>
              <w:rPr>
                <w:rFonts w:asciiTheme="majorBidi" w:hAnsiTheme="majorBidi" w:cstheme="majorBidi"/>
                <w:noProof w:val="0"/>
                <w:color w:val="000000"/>
                <w:sz w:val="24"/>
                <w:szCs w:val="24"/>
                <w:lang w:val="en-GB"/>
              </w:rPr>
            </w:pPr>
            <w:r w:rsidRPr="000425DF">
              <w:rPr>
                <w:rFonts w:asciiTheme="majorBidi" w:hAnsiTheme="majorBidi" w:cstheme="majorBidi"/>
                <w:noProof w:val="0"/>
                <w:color w:val="000000"/>
                <w:sz w:val="24"/>
                <w:szCs w:val="24"/>
                <w:lang w:val="en-GB"/>
              </w:rPr>
              <w:t>High</w:t>
            </w:r>
          </w:p>
        </w:tc>
      </w:tr>
      <w:tr w:rsidR="00935C60" w:rsidRPr="000425DF" w14:paraId="46AA269E" w14:textId="77777777" w:rsidTr="003B63F6">
        <w:tc>
          <w:tcPr>
            <w:tcW w:w="1333" w:type="dxa"/>
            <w:shd w:val="clear" w:color="auto" w:fill="auto"/>
          </w:tcPr>
          <w:p w14:paraId="57F90D79" w14:textId="77777777" w:rsidR="00935C60" w:rsidRPr="000425DF" w:rsidRDefault="00935C60" w:rsidP="003B63F6">
            <w:pPr>
              <w:spacing w:after="160" w:line="259" w:lineRule="auto"/>
              <w:rPr>
                <w:rFonts w:asciiTheme="majorBidi" w:hAnsiTheme="majorBidi" w:cstheme="majorBidi"/>
                <w:noProof w:val="0"/>
                <w:sz w:val="24"/>
                <w:szCs w:val="24"/>
                <w:lang w:val="en-GB"/>
              </w:rPr>
            </w:pPr>
            <w:r w:rsidRPr="000425DF">
              <w:rPr>
                <w:rFonts w:asciiTheme="majorBidi" w:hAnsiTheme="majorBidi" w:cstheme="majorBidi"/>
                <w:noProof w:val="0"/>
                <w:sz w:val="24"/>
                <w:szCs w:val="24"/>
                <w:lang w:val="en-GB"/>
              </w:rPr>
              <w:t>Israel</w:t>
            </w:r>
          </w:p>
        </w:tc>
        <w:tc>
          <w:tcPr>
            <w:tcW w:w="7876" w:type="dxa"/>
            <w:shd w:val="clear" w:color="auto" w:fill="auto"/>
          </w:tcPr>
          <w:p w14:paraId="0886C2E3" w14:textId="77777777" w:rsidR="00935C60" w:rsidRPr="000425DF" w:rsidRDefault="00935C60" w:rsidP="003B63F6">
            <w:pPr>
              <w:rPr>
                <w:rFonts w:asciiTheme="majorBidi" w:hAnsiTheme="majorBidi" w:cstheme="majorBidi"/>
                <w:noProof w:val="0"/>
                <w:color w:val="000000"/>
                <w:sz w:val="24"/>
                <w:szCs w:val="24"/>
                <w:lang w:val="en-GB"/>
              </w:rPr>
            </w:pPr>
            <w:r w:rsidRPr="000425DF">
              <w:rPr>
                <w:rFonts w:asciiTheme="majorBidi" w:hAnsiTheme="majorBidi" w:cstheme="majorBidi"/>
                <w:noProof w:val="0"/>
                <w:color w:val="000000"/>
                <w:sz w:val="24"/>
                <w:szCs w:val="24"/>
                <w:lang w:val="en-GB"/>
              </w:rPr>
              <w:t>Societal actors</w:t>
            </w:r>
          </w:p>
          <w:p w14:paraId="34EF2F78" w14:textId="77777777" w:rsidR="00935C60" w:rsidRPr="000425DF" w:rsidRDefault="00935C60" w:rsidP="003B63F6">
            <w:pPr>
              <w:rPr>
                <w:rFonts w:asciiTheme="majorBidi" w:hAnsiTheme="majorBidi" w:cstheme="majorBidi"/>
                <w:noProof w:val="0"/>
                <w:color w:val="000000"/>
                <w:sz w:val="24"/>
                <w:szCs w:val="24"/>
                <w:lang w:val="en-GB"/>
              </w:rPr>
            </w:pPr>
            <w:r w:rsidRPr="000425DF">
              <w:rPr>
                <w:rFonts w:asciiTheme="majorBidi" w:hAnsiTheme="majorBidi" w:cstheme="majorBidi"/>
                <w:noProof w:val="0"/>
                <w:color w:val="000000"/>
                <w:sz w:val="24"/>
                <w:szCs w:val="24"/>
                <w:lang w:val="en-GB"/>
              </w:rPr>
              <w:t>The National Insurance Institute (NII) is the main responsible institution for administering the SLTCI scheme.</w:t>
            </w:r>
          </w:p>
        </w:tc>
        <w:tc>
          <w:tcPr>
            <w:tcW w:w="3402" w:type="dxa"/>
            <w:shd w:val="clear" w:color="auto" w:fill="auto"/>
          </w:tcPr>
          <w:p w14:paraId="56FCE07D" w14:textId="22FE8B7B" w:rsidR="00935C60" w:rsidRPr="000425DF" w:rsidRDefault="00F63F5D" w:rsidP="003B63F6">
            <w:pPr>
              <w:rPr>
                <w:rFonts w:asciiTheme="majorBidi" w:hAnsiTheme="majorBidi" w:cstheme="majorBidi"/>
                <w:noProof w:val="0"/>
                <w:color w:val="000000"/>
                <w:sz w:val="24"/>
                <w:szCs w:val="24"/>
                <w:lang w:val="en-GB"/>
              </w:rPr>
            </w:pPr>
            <w:r>
              <w:rPr>
                <w:rFonts w:asciiTheme="majorBidi" w:hAnsiTheme="majorBidi" w:cstheme="majorBidi"/>
                <w:color w:val="000000"/>
                <w:sz w:val="24"/>
                <w:szCs w:val="24"/>
                <w:lang w:val="en-GB"/>
              </w:rPr>
              <w:t>Asiskovitch, 2013; Chernichovsky, Koreh, Soffer, &amp; Avrami, 2010</w:t>
            </w:r>
          </w:p>
        </w:tc>
        <w:tc>
          <w:tcPr>
            <w:tcW w:w="1276" w:type="dxa"/>
            <w:shd w:val="clear" w:color="auto" w:fill="auto"/>
          </w:tcPr>
          <w:p w14:paraId="3E3D09B4" w14:textId="77777777" w:rsidR="00935C60" w:rsidRPr="000425DF" w:rsidRDefault="00935C60" w:rsidP="003B63F6">
            <w:pPr>
              <w:rPr>
                <w:rFonts w:asciiTheme="majorBidi" w:hAnsiTheme="majorBidi" w:cstheme="majorBidi"/>
                <w:noProof w:val="0"/>
                <w:color w:val="000000"/>
                <w:sz w:val="24"/>
                <w:szCs w:val="24"/>
                <w:lang w:val="en-GB"/>
              </w:rPr>
            </w:pPr>
            <w:r w:rsidRPr="000425DF">
              <w:rPr>
                <w:rFonts w:asciiTheme="majorBidi" w:hAnsiTheme="majorBidi" w:cstheme="majorBidi"/>
                <w:noProof w:val="0"/>
                <w:color w:val="000000"/>
                <w:sz w:val="24"/>
                <w:szCs w:val="24"/>
                <w:lang w:val="en-GB"/>
              </w:rPr>
              <w:t>Medium</w:t>
            </w:r>
          </w:p>
        </w:tc>
      </w:tr>
      <w:tr w:rsidR="00935C60" w:rsidRPr="000425DF" w14:paraId="7FA0108E" w14:textId="77777777" w:rsidTr="003B63F6">
        <w:tc>
          <w:tcPr>
            <w:tcW w:w="1333" w:type="dxa"/>
            <w:shd w:val="clear" w:color="auto" w:fill="auto"/>
          </w:tcPr>
          <w:p w14:paraId="08984847" w14:textId="77777777" w:rsidR="00935C60" w:rsidRPr="000425DF" w:rsidRDefault="00935C60" w:rsidP="003B63F6">
            <w:pPr>
              <w:spacing w:after="160" w:line="259" w:lineRule="auto"/>
              <w:rPr>
                <w:rFonts w:asciiTheme="majorBidi" w:hAnsiTheme="majorBidi" w:cstheme="majorBidi"/>
                <w:noProof w:val="0"/>
                <w:sz w:val="24"/>
                <w:szCs w:val="24"/>
                <w:lang w:val="en-GB"/>
              </w:rPr>
            </w:pPr>
            <w:r w:rsidRPr="000425DF">
              <w:rPr>
                <w:rFonts w:asciiTheme="majorBidi" w:hAnsiTheme="majorBidi" w:cstheme="majorBidi"/>
                <w:noProof w:val="0"/>
                <w:sz w:val="24"/>
                <w:szCs w:val="24"/>
                <w:lang w:val="en-GB"/>
              </w:rPr>
              <w:t>Japan</w:t>
            </w:r>
          </w:p>
        </w:tc>
        <w:tc>
          <w:tcPr>
            <w:tcW w:w="7876" w:type="dxa"/>
            <w:shd w:val="clear" w:color="auto" w:fill="auto"/>
          </w:tcPr>
          <w:p w14:paraId="55198D34" w14:textId="77777777" w:rsidR="00935C60" w:rsidRPr="000425DF" w:rsidRDefault="00935C60" w:rsidP="003B63F6">
            <w:pPr>
              <w:rPr>
                <w:rFonts w:asciiTheme="majorBidi" w:hAnsiTheme="majorBidi" w:cstheme="majorBidi"/>
                <w:noProof w:val="0"/>
                <w:color w:val="000000"/>
                <w:sz w:val="24"/>
                <w:szCs w:val="24"/>
                <w:lang w:val="en-GB"/>
              </w:rPr>
            </w:pPr>
            <w:r w:rsidRPr="000425DF">
              <w:rPr>
                <w:rFonts w:asciiTheme="majorBidi" w:hAnsiTheme="majorBidi" w:cstheme="majorBidi"/>
                <w:noProof w:val="0"/>
                <w:color w:val="000000"/>
                <w:sz w:val="24"/>
                <w:szCs w:val="24"/>
                <w:lang w:val="en-GB"/>
              </w:rPr>
              <w:t>State</w:t>
            </w:r>
          </w:p>
          <w:p w14:paraId="504AF3AF" w14:textId="77777777" w:rsidR="00935C60" w:rsidRPr="000425DF" w:rsidRDefault="00935C60" w:rsidP="003B63F6">
            <w:pPr>
              <w:rPr>
                <w:rFonts w:asciiTheme="majorBidi" w:hAnsiTheme="majorBidi" w:cstheme="majorBidi"/>
                <w:noProof w:val="0"/>
                <w:color w:val="000000"/>
                <w:sz w:val="24"/>
                <w:szCs w:val="24"/>
                <w:lang w:val="en-GB"/>
              </w:rPr>
            </w:pPr>
            <w:r w:rsidRPr="000425DF">
              <w:rPr>
                <w:rFonts w:asciiTheme="majorBidi" w:hAnsiTheme="majorBidi" w:cstheme="majorBidi"/>
                <w:noProof w:val="0"/>
                <w:color w:val="000000"/>
                <w:sz w:val="24"/>
                <w:szCs w:val="24"/>
                <w:lang w:val="en-GB"/>
              </w:rPr>
              <w:t>The municipalities act as the insurer and are the main responsible agency.</w:t>
            </w:r>
          </w:p>
        </w:tc>
        <w:tc>
          <w:tcPr>
            <w:tcW w:w="3402" w:type="dxa"/>
            <w:shd w:val="clear" w:color="auto" w:fill="auto"/>
          </w:tcPr>
          <w:p w14:paraId="66735AB6" w14:textId="29ABB70E" w:rsidR="00935C60" w:rsidRPr="000425DF" w:rsidRDefault="00F63F5D" w:rsidP="003B63F6">
            <w:pPr>
              <w:rPr>
                <w:rFonts w:asciiTheme="majorBidi" w:hAnsiTheme="majorBidi" w:cstheme="majorBidi"/>
                <w:noProof w:val="0"/>
                <w:color w:val="000000"/>
                <w:sz w:val="24"/>
                <w:szCs w:val="24"/>
                <w:lang w:val="en-GB"/>
              </w:rPr>
            </w:pPr>
            <w:r>
              <w:rPr>
                <w:rFonts w:asciiTheme="majorBidi" w:hAnsiTheme="majorBidi" w:cstheme="majorBidi"/>
                <w:color w:val="000000"/>
                <w:sz w:val="24"/>
                <w:szCs w:val="24"/>
                <w:lang w:val="en-GB"/>
              </w:rPr>
              <w:t>Campbell &amp; Ikegami, 2003; Ozawa &amp; Nakayama, 2005</w:t>
            </w:r>
          </w:p>
          <w:p w14:paraId="726BE5A9" w14:textId="77777777" w:rsidR="00935C60" w:rsidRPr="000425DF" w:rsidRDefault="00935C60" w:rsidP="003B63F6">
            <w:pPr>
              <w:rPr>
                <w:rFonts w:asciiTheme="majorBidi" w:hAnsiTheme="majorBidi" w:cstheme="majorBidi"/>
                <w:noProof w:val="0"/>
                <w:color w:val="000000"/>
                <w:sz w:val="24"/>
                <w:szCs w:val="24"/>
                <w:lang w:val="en-GB"/>
              </w:rPr>
            </w:pPr>
          </w:p>
        </w:tc>
        <w:tc>
          <w:tcPr>
            <w:tcW w:w="1276" w:type="dxa"/>
            <w:shd w:val="clear" w:color="auto" w:fill="auto"/>
          </w:tcPr>
          <w:p w14:paraId="305673AA" w14:textId="77777777" w:rsidR="00935C60" w:rsidRPr="000425DF" w:rsidRDefault="00935C60" w:rsidP="003B63F6">
            <w:pPr>
              <w:rPr>
                <w:rFonts w:asciiTheme="majorBidi" w:hAnsiTheme="majorBidi" w:cstheme="majorBidi"/>
                <w:noProof w:val="0"/>
                <w:color w:val="000000"/>
                <w:sz w:val="24"/>
                <w:szCs w:val="24"/>
                <w:lang w:val="en-GB"/>
              </w:rPr>
            </w:pPr>
            <w:r w:rsidRPr="000425DF">
              <w:rPr>
                <w:rFonts w:asciiTheme="majorBidi" w:hAnsiTheme="majorBidi" w:cstheme="majorBidi"/>
                <w:noProof w:val="0"/>
                <w:color w:val="000000"/>
                <w:sz w:val="24"/>
                <w:szCs w:val="24"/>
                <w:lang w:val="en-GB"/>
              </w:rPr>
              <w:t>High</w:t>
            </w:r>
          </w:p>
        </w:tc>
      </w:tr>
      <w:tr w:rsidR="00935C60" w:rsidRPr="000425DF" w14:paraId="08B25C7E" w14:textId="77777777" w:rsidTr="003B63F6">
        <w:tc>
          <w:tcPr>
            <w:tcW w:w="1333" w:type="dxa"/>
            <w:shd w:val="clear" w:color="auto" w:fill="auto"/>
          </w:tcPr>
          <w:p w14:paraId="3AA80296" w14:textId="77777777" w:rsidR="00935C60" w:rsidRPr="000425DF" w:rsidRDefault="00935C60" w:rsidP="003B63F6">
            <w:pPr>
              <w:spacing w:after="160" w:line="259" w:lineRule="auto"/>
              <w:rPr>
                <w:rFonts w:asciiTheme="majorBidi" w:hAnsiTheme="majorBidi" w:cstheme="majorBidi"/>
                <w:noProof w:val="0"/>
                <w:sz w:val="24"/>
                <w:szCs w:val="24"/>
                <w:lang w:val="en-GB"/>
              </w:rPr>
            </w:pPr>
            <w:r w:rsidRPr="000425DF">
              <w:rPr>
                <w:rFonts w:asciiTheme="majorBidi" w:hAnsiTheme="majorBidi" w:cstheme="majorBidi"/>
                <w:noProof w:val="0"/>
                <w:sz w:val="24"/>
                <w:szCs w:val="24"/>
                <w:lang w:val="en-GB"/>
              </w:rPr>
              <w:t>Luxembourg</w:t>
            </w:r>
          </w:p>
        </w:tc>
        <w:tc>
          <w:tcPr>
            <w:tcW w:w="7876" w:type="dxa"/>
            <w:shd w:val="clear" w:color="auto" w:fill="auto"/>
          </w:tcPr>
          <w:p w14:paraId="5A77F6A7" w14:textId="77777777" w:rsidR="00935C60" w:rsidRPr="000425DF" w:rsidRDefault="00935C60" w:rsidP="003B63F6">
            <w:pPr>
              <w:rPr>
                <w:rFonts w:asciiTheme="majorBidi" w:hAnsiTheme="majorBidi" w:cstheme="majorBidi"/>
                <w:noProof w:val="0"/>
                <w:color w:val="000000"/>
                <w:sz w:val="24"/>
                <w:szCs w:val="24"/>
                <w:lang w:val="en-GB"/>
              </w:rPr>
            </w:pPr>
            <w:r w:rsidRPr="000425DF">
              <w:rPr>
                <w:rFonts w:asciiTheme="majorBidi" w:hAnsiTheme="majorBidi" w:cstheme="majorBidi"/>
                <w:noProof w:val="0"/>
                <w:color w:val="000000"/>
                <w:sz w:val="24"/>
                <w:szCs w:val="24"/>
                <w:lang w:val="en-GB"/>
              </w:rPr>
              <w:t>State &amp; societal actors</w:t>
            </w:r>
          </w:p>
          <w:p w14:paraId="473E4D6B" w14:textId="77777777" w:rsidR="00935C60" w:rsidRPr="000425DF" w:rsidRDefault="00935C60" w:rsidP="003B63F6">
            <w:pPr>
              <w:rPr>
                <w:rFonts w:asciiTheme="majorBidi" w:hAnsiTheme="majorBidi" w:cstheme="majorBidi"/>
                <w:noProof w:val="0"/>
                <w:color w:val="000000"/>
                <w:sz w:val="24"/>
                <w:szCs w:val="24"/>
                <w:lang w:val="en-GB"/>
              </w:rPr>
            </w:pPr>
            <w:r w:rsidRPr="000425DF">
              <w:rPr>
                <w:rFonts w:asciiTheme="majorBidi" w:hAnsiTheme="majorBidi" w:cstheme="majorBidi"/>
                <w:noProof w:val="0"/>
                <w:color w:val="000000"/>
                <w:sz w:val="24"/>
                <w:szCs w:val="24"/>
                <w:lang w:val="en-GB"/>
              </w:rPr>
              <w:t xml:space="preserve">The main administrator of the AD is the </w:t>
            </w:r>
            <w:proofErr w:type="spellStart"/>
            <w:r w:rsidRPr="000425DF">
              <w:rPr>
                <w:rFonts w:asciiTheme="majorBidi" w:hAnsiTheme="majorBidi" w:cstheme="majorBidi"/>
                <w:noProof w:val="0"/>
                <w:color w:val="000000"/>
                <w:sz w:val="24"/>
                <w:szCs w:val="24"/>
                <w:lang w:val="en-GB"/>
              </w:rPr>
              <w:t>Caisse</w:t>
            </w:r>
            <w:proofErr w:type="spellEnd"/>
            <w:r w:rsidRPr="000425DF">
              <w:rPr>
                <w:rFonts w:asciiTheme="majorBidi" w:hAnsiTheme="majorBidi" w:cstheme="majorBidi"/>
                <w:noProof w:val="0"/>
                <w:color w:val="000000"/>
                <w:sz w:val="24"/>
                <w:szCs w:val="24"/>
                <w:lang w:val="en-GB"/>
              </w:rPr>
              <w:t xml:space="preserve"> </w:t>
            </w:r>
            <w:proofErr w:type="spellStart"/>
            <w:r w:rsidRPr="000425DF">
              <w:rPr>
                <w:rFonts w:asciiTheme="majorBidi" w:hAnsiTheme="majorBidi" w:cstheme="majorBidi"/>
                <w:noProof w:val="0"/>
                <w:color w:val="000000"/>
                <w:sz w:val="24"/>
                <w:szCs w:val="24"/>
                <w:lang w:val="en-GB"/>
              </w:rPr>
              <w:t>Nationale</w:t>
            </w:r>
            <w:proofErr w:type="spellEnd"/>
            <w:r w:rsidRPr="000425DF">
              <w:rPr>
                <w:rFonts w:asciiTheme="majorBidi" w:hAnsiTheme="majorBidi" w:cstheme="majorBidi"/>
                <w:noProof w:val="0"/>
                <w:color w:val="000000"/>
                <w:sz w:val="24"/>
                <w:szCs w:val="24"/>
                <w:lang w:val="en-GB"/>
              </w:rPr>
              <w:t xml:space="preserve"> de la Santé (CNS, national health fund). However, different state agencies (Ministries, </w:t>
            </w:r>
            <w:r w:rsidRPr="000425DF">
              <w:rPr>
                <w:rFonts w:asciiTheme="majorBidi" w:hAnsiTheme="majorBidi" w:cstheme="majorBidi"/>
                <w:sz w:val="24"/>
                <w:szCs w:val="24"/>
                <w:lang w:val="en-GB"/>
              </w:rPr>
              <w:t>Cellule d’Evaluation et d’Orientation/CEO</w:t>
            </w:r>
            <w:r w:rsidRPr="000425DF">
              <w:rPr>
                <w:rFonts w:asciiTheme="majorBidi" w:hAnsiTheme="majorBidi" w:cstheme="majorBidi"/>
                <w:noProof w:val="0"/>
                <w:color w:val="000000"/>
                <w:sz w:val="24"/>
                <w:szCs w:val="24"/>
                <w:lang w:val="en-GB"/>
              </w:rPr>
              <w:t>) are also heavily involved in regulating LTC.</w:t>
            </w:r>
          </w:p>
        </w:tc>
        <w:tc>
          <w:tcPr>
            <w:tcW w:w="3402" w:type="dxa"/>
            <w:shd w:val="clear" w:color="auto" w:fill="auto"/>
          </w:tcPr>
          <w:p w14:paraId="3C2CD92A" w14:textId="7AA51190" w:rsidR="00935C60" w:rsidRPr="000425DF" w:rsidRDefault="00F63F5D" w:rsidP="003B63F6">
            <w:pPr>
              <w:rPr>
                <w:rFonts w:asciiTheme="majorBidi" w:hAnsiTheme="majorBidi" w:cstheme="majorBidi"/>
                <w:noProof w:val="0"/>
                <w:color w:val="000000"/>
                <w:sz w:val="24"/>
                <w:szCs w:val="24"/>
                <w:lang w:val="en-GB"/>
              </w:rPr>
            </w:pPr>
            <w:r>
              <w:rPr>
                <w:rFonts w:asciiTheme="majorBidi" w:hAnsiTheme="majorBidi" w:cstheme="majorBidi"/>
                <w:color w:val="000000"/>
                <w:sz w:val="24"/>
                <w:szCs w:val="24"/>
                <w:lang w:val="en-GB"/>
              </w:rPr>
              <w:t>Koster &amp; Ribeiro, 2010; OECD, 2011c; Pacolet &amp; Wispelaere, 2018</w:t>
            </w:r>
            <w:r w:rsidR="00935C60" w:rsidRPr="000425DF">
              <w:rPr>
                <w:rFonts w:asciiTheme="majorBidi" w:hAnsiTheme="majorBidi" w:cstheme="majorBidi"/>
                <w:noProof w:val="0"/>
                <w:color w:val="000000"/>
                <w:sz w:val="24"/>
                <w:szCs w:val="24"/>
                <w:lang w:val="en-GB"/>
              </w:rPr>
              <w:t xml:space="preserve">; </w:t>
            </w:r>
            <w:proofErr w:type="spellStart"/>
            <w:r w:rsidR="00935C60" w:rsidRPr="000425DF">
              <w:rPr>
                <w:rFonts w:asciiTheme="majorBidi" w:hAnsiTheme="majorBidi" w:cstheme="majorBidi"/>
                <w:noProof w:val="0"/>
                <w:color w:val="000000"/>
                <w:sz w:val="24"/>
                <w:szCs w:val="24"/>
                <w:lang w:val="en-GB"/>
              </w:rPr>
              <w:t>Loi</w:t>
            </w:r>
            <w:proofErr w:type="spellEnd"/>
            <w:r w:rsidR="00935C60" w:rsidRPr="000425DF">
              <w:rPr>
                <w:rFonts w:asciiTheme="majorBidi" w:hAnsiTheme="majorBidi" w:cstheme="majorBidi"/>
                <w:noProof w:val="0"/>
                <w:color w:val="000000"/>
                <w:sz w:val="24"/>
                <w:szCs w:val="24"/>
                <w:lang w:val="en-GB"/>
              </w:rPr>
              <w:t xml:space="preserve"> AD</w:t>
            </w:r>
          </w:p>
        </w:tc>
        <w:tc>
          <w:tcPr>
            <w:tcW w:w="1276" w:type="dxa"/>
            <w:shd w:val="clear" w:color="auto" w:fill="auto"/>
          </w:tcPr>
          <w:p w14:paraId="1F93EB30" w14:textId="77777777" w:rsidR="00935C60" w:rsidRPr="000425DF" w:rsidRDefault="00935C60" w:rsidP="003B63F6">
            <w:pPr>
              <w:rPr>
                <w:rFonts w:asciiTheme="majorBidi" w:hAnsiTheme="majorBidi" w:cstheme="majorBidi"/>
                <w:noProof w:val="0"/>
                <w:color w:val="000000"/>
                <w:sz w:val="24"/>
                <w:szCs w:val="24"/>
                <w:lang w:val="en-GB"/>
              </w:rPr>
            </w:pPr>
            <w:r w:rsidRPr="000425DF">
              <w:rPr>
                <w:rFonts w:asciiTheme="majorBidi" w:hAnsiTheme="majorBidi" w:cstheme="majorBidi"/>
                <w:noProof w:val="0"/>
                <w:color w:val="000000"/>
                <w:sz w:val="24"/>
                <w:szCs w:val="24"/>
                <w:lang w:val="en-GB"/>
              </w:rPr>
              <w:t>High</w:t>
            </w:r>
          </w:p>
        </w:tc>
      </w:tr>
      <w:tr w:rsidR="00935C60" w:rsidRPr="000425DF" w14:paraId="4F94DCA1" w14:textId="77777777" w:rsidTr="003B63F6">
        <w:tc>
          <w:tcPr>
            <w:tcW w:w="1333" w:type="dxa"/>
            <w:shd w:val="clear" w:color="auto" w:fill="auto"/>
          </w:tcPr>
          <w:p w14:paraId="3D930F43" w14:textId="77777777" w:rsidR="00935C60" w:rsidRPr="000425DF" w:rsidRDefault="00935C60" w:rsidP="003B63F6">
            <w:pPr>
              <w:spacing w:after="160" w:line="259" w:lineRule="auto"/>
              <w:rPr>
                <w:rFonts w:asciiTheme="majorBidi" w:hAnsiTheme="majorBidi" w:cstheme="majorBidi"/>
                <w:noProof w:val="0"/>
                <w:sz w:val="24"/>
                <w:szCs w:val="24"/>
                <w:lang w:val="en-GB"/>
              </w:rPr>
            </w:pPr>
            <w:r w:rsidRPr="000425DF">
              <w:rPr>
                <w:rFonts w:asciiTheme="majorBidi" w:hAnsiTheme="majorBidi" w:cstheme="majorBidi"/>
                <w:noProof w:val="0"/>
                <w:sz w:val="24"/>
                <w:szCs w:val="24"/>
                <w:lang w:val="en-GB"/>
              </w:rPr>
              <w:t>Netherlands</w:t>
            </w:r>
          </w:p>
        </w:tc>
        <w:tc>
          <w:tcPr>
            <w:tcW w:w="7876" w:type="dxa"/>
            <w:shd w:val="clear" w:color="auto" w:fill="auto"/>
          </w:tcPr>
          <w:p w14:paraId="4DBD4DBD" w14:textId="77777777" w:rsidR="00935C60" w:rsidRPr="000425DF" w:rsidRDefault="00935C60" w:rsidP="003B63F6">
            <w:pPr>
              <w:rPr>
                <w:rFonts w:asciiTheme="majorBidi" w:hAnsiTheme="majorBidi" w:cstheme="majorBidi"/>
                <w:noProof w:val="0"/>
                <w:color w:val="000000"/>
                <w:sz w:val="24"/>
                <w:szCs w:val="24"/>
                <w:lang w:val="en-GB"/>
              </w:rPr>
            </w:pPr>
            <w:r w:rsidRPr="000425DF">
              <w:rPr>
                <w:rFonts w:asciiTheme="majorBidi" w:hAnsiTheme="majorBidi" w:cstheme="majorBidi"/>
                <w:noProof w:val="0"/>
                <w:color w:val="000000"/>
                <w:sz w:val="24"/>
                <w:szCs w:val="24"/>
                <w:lang w:val="en-GB"/>
              </w:rPr>
              <w:t>State &amp; societal actors</w:t>
            </w:r>
          </w:p>
          <w:p w14:paraId="725C21AD" w14:textId="77777777" w:rsidR="00935C60" w:rsidRPr="000425DF" w:rsidRDefault="00935C60" w:rsidP="003B63F6">
            <w:pPr>
              <w:rPr>
                <w:rFonts w:asciiTheme="majorBidi" w:hAnsiTheme="majorBidi" w:cstheme="majorBidi"/>
                <w:noProof w:val="0"/>
                <w:color w:val="000000"/>
                <w:sz w:val="24"/>
                <w:szCs w:val="24"/>
                <w:lang w:val="en-GB"/>
              </w:rPr>
            </w:pPr>
            <w:r w:rsidRPr="000425DF">
              <w:rPr>
                <w:rFonts w:asciiTheme="majorBidi" w:hAnsiTheme="majorBidi" w:cstheme="majorBidi"/>
                <w:noProof w:val="0"/>
                <w:color w:val="000000"/>
                <w:sz w:val="24"/>
                <w:szCs w:val="24"/>
                <w:lang w:val="en-GB"/>
              </w:rPr>
              <w:t>Health insurance bodies administer/implement the AWBZ. One regional care/liaison office responsible for the insured in several health insurance funds within a region takes over the responsibility. The sickness funds/regional offices are only partially responsible for financing, there is a central budget managed by the state.</w:t>
            </w:r>
          </w:p>
        </w:tc>
        <w:tc>
          <w:tcPr>
            <w:tcW w:w="3402" w:type="dxa"/>
            <w:shd w:val="clear" w:color="auto" w:fill="auto"/>
          </w:tcPr>
          <w:p w14:paraId="5384D7C4" w14:textId="4C260934" w:rsidR="00935C60" w:rsidRPr="000425DF" w:rsidRDefault="00F63F5D" w:rsidP="003B63F6">
            <w:pPr>
              <w:rPr>
                <w:rFonts w:asciiTheme="majorBidi" w:hAnsiTheme="majorBidi" w:cstheme="majorBidi"/>
                <w:noProof w:val="0"/>
                <w:color w:val="000000"/>
                <w:sz w:val="24"/>
                <w:szCs w:val="24"/>
                <w:lang w:val="en-GB"/>
              </w:rPr>
            </w:pPr>
            <w:r>
              <w:rPr>
                <w:rFonts w:asciiTheme="majorBidi" w:hAnsiTheme="majorBidi" w:cstheme="majorBidi"/>
                <w:color w:val="000000"/>
                <w:sz w:val="24"/>
                <w:szCs w:val="24"/>
                <w:lang w:val="en-GB"/>
              </w:rPr>
              <w:t>Companje, 2014; Meijer et al., 2000; Mot, 2010; Spoor, 2014; Winters, 1999</w:t>
            </w:r>
          </w:p>
        </w:tc>
        <w:tc>
          <w:tcPr>
            <w:tcW w:w="1276" w:type="dxa"/>
            <w:shd w:val="clear" w:color="auto" w:fill="auto"/>
          </w:tcPr>
          <w:p w14:paraId="2A566607" w14:textId="77777777" w:rsidR="00935C60" w:rsidRPr="000425DF" w:rsidRDefault="00935C60" w:rsidP="003B63F6">
            <w:pPr>
              <w:rPr>
                <w:rFonts w:asciiTheme="majorBidi" w:hAnsiTheme="majorBidi" w:cstheme="majorBidi"/>
                <w:noProof w:val="0"/>
                <w:color w:val="000000"/>
                <w:sz w:val="24"/>
                <w:szCs w:val="24"/>
                <w:lang w:val="en-GB"/>
              </w:rPr>
            </w:pPr>
            <w:r w:rsidRPr="000425DF">
              <w:rPr>
                <w:rFonts w:asciiTheme="majorBidi" w:hAnsiTheme="majorBidi" w:cstheme="majorBidi"/>
                <w:noProof w:val="0"/>
                <w:color w:val="000000"/>
                <w:sz w:val="24"/>
                <w:szCs w:val="24"/>
                <w:lang w:val="en-GB"/>
              </w:rPr>
              <w:t>High</w:t>
            </w:r>
          </w:p>
        </w:tc>
      </w:tr>
      <w:tr w:rsidR="00935C60" w:rsidRPr="000425DF" w14:paraId="0C6CFEBF" w14:textId="77777777" w:rsidTr="003B63F6">
        <w:tc>
          <w:tcPr>
            <w:tcW w:w="1333" w:type="dxa"/>
            <w:shd w:val="clear" w:color="auto" w:fill="auto"/>
          </w:tcPr>
          <w:p w14:paraId="1CE0EE46" w14:textId="77777777" w:rsidR="00935C60" w:rsidRPr="000425DF" w:rsidRDefault="00935C60" w:rsidP="003B63F6">
            <w:pPr>
              <w:spacing w:after="160" w:line="259" w:lineRule="auto"/>
              <w:rPr>
                <w:rFonts w:asciiTheme="majorBidi" w:hAnsiTheme="majorBidi" w:cstheme="majorBidi"/>
                <w:noProof w:val="0"/>
                <w:sz w:val="24"/>
                <w:szCs w:val="24"/>
                <w:lang w:val="en-GB"/>
              </w:rPr>
            </w:pPr>
            <w:r w:rsidRPr="000425DF">
              <w:rPr>
                <w:rFonts w:asciiTheme="majorBidi" w:hAnsiTheme="majorBidi" w:cstheme="majorBidi"/>
                <w:noProof w:val="0"/>
                <w:sz w:val="24"/>
                <w:szCs w:val="24"/>
                <w:lang w:val="en-GB"/>
              </w:rPr>
              <w:t>South Korea</w:t>
            </w:r>
          </w:p>
        </w:tc>
        <w:tc>
          <w:tcPr>
            <w:tcW w:w="7876" w:type="dxa"/>
            <w:shd w:val="clear" w:color="auto" w:fill="auto"/>
          </w:tcPr>
          <w:p w14:paraId="7C21A87A" w14:textId="77777777" w:rsidR="00935C60" w:rsidRPr="000425DF" w:rsidRDefault="00935C60" w:rsidP="003B63F6">
            <w:pPr>
              <w:rPr>
                <w:rFonts w:asciiTheme="majorBidi" w:hAnsiTheme="majorBidi" w:cstheme="majorBidi"/>
                <w:noProof w:val="0"/>
                <w:color w:val="000000"/>
                <w:sz w:val="24"/>
                <w:szCs w:val="24"/>
                <w:lang w:val="en-GB"/>
              </w:rPr>
            </w:pPr>
            <w:r w:rsidRPr="000425DF">
              <w:rPr>
                <w:rFonts w:asciiTheme="majorBidi" w:hAnsiTheme="majorBidi" w:cstheme="majorBidi"/>
                <w:noProof w:val="0"/>
                <w:color w:val="000000"/>
                <w:sz w:val="24"/>
                <w:szCs w:val="24"/>
                <w:lang w:val="en-GB"/>
              </w:rPr>
              <w:t>Societal actors</w:t>
            </w:r>
          </w:p>
          <w:p w14:paraId="3249413D" w14:textId="77777777" w:rsidR="00935C60" w:rsidRPr="000425DF" w:rsidRDefault="00935C60" w:rsidP="003B63F6">
            <w:pPr>
              <w:rPr>
                <w:rFonts w:asciiTheme="majorBidi" w:hAnsiTheme="majorBidi" w:cstheme="majorBidi"/>
                <w:noProof w:val="0"/>
                <w:color w:val="000000"/>
                <w:sz w:val="24"/>
                <w:szCs w:val="24"/>
                <w:lang w:val="en-GB"/>
              </w:rPr>
            </w:pPr>
            <w:r w:rsidRPr="000425DF">
              <w:rPr>
                <w:rFonts w:asciiTheme="majorBidi" w:hAnsiTheme="majorBidi" w:cstheme="majorBidi"/>
                <w:noProof w:val="0"/>
                <w:color w:val="000000"/>
                <w:sz w:val="24"/>
                <w:szCs w:val="24"/>
                <w:lang w:val="en-GB"/>
              </w:rPr>
              <w:t>The National Health Insurance Corporation is the main regulatory/administrative body of the SLTCI.</w:t>
            </w:r>
          </w:p>
        </w:tc>
        <w:tc>
          <w:tcPr>
            <w:tcW w:w="3402" w:type="dxa"/>
            <w:shd w:val="clear" w:color="auto" w:fill="auto"/>
          </w:tcPr>
          <w:p w14:paraId="3F5890CF" w14:textId="307658F2" w:rsidR="00935C60" w:rsidRPr="000425DF" w:rsidRDefault="00F63F5D" w:rsidP="003B63F6">
            <w:pPr>
              <w:rPr>
                <w:rFonts w:asciiTheme="majorBidi" w:hAnsiTheme="majorBidi" w:cstheme="majorBidi"/>
                <w:noProof w:val="0"/>
                <w:color w:val="000000"/>
                <w:sz w:val="24"/>
                <w:szCs w:val="24"/>
                <w:lang w:val="en-GB"/>
              </w:rPr>
            </w:pPr>
            <w:r>
              <w:rPr>
                <w:rFonts w:asciiTheme="majorBidi" w:hAnsiTheme="majorBidi" w:cstheme="majorBidi"/>
                <w:color w:val="000000"/>
                <w:sz w:val="24"/>
                <w:szCs w:val="24"/>
                <w:lang w:val="en-GB"/>
              </w:rPr>
              <w:t>Chon, 2012; Maags, 2020</w:t>
            </w:r>
            <w:r w:rsidR="00935C60" w:rsidRPr="000425DF">
              <w:rPr>
                <w:rFonts w:asciiTheme="majorBidi" w:hAnsiTheme="majorBidi" w:cstheme="majorBidi"/>
                <w:noProof w:val="0"/>
                <w:color w:val="000000"/>
                <w:sz w:val="24"/>
                <w:szCs w:val="24"/>
                <w:lang w:val="en-GB"/>
              </w:rPr>
              <w:t>; LTCI Act</w:t>
            </w:r>
          </w:p>
        </w:tc>
        <w:tc>
          <w:tcPr>
            <w:tcW w:w="1276" w:type="dxa"/>
            <w:shd w:val="clear" w:color="auto" w:fill="auto"/>
          </w:tcPr>
          <w:p w14:paraId="43B83243" w14:textId="77777777" w:rsidR="00935C60" w:rsidRPr="000425DF" w:rsidRDefault="00935C60" w:rsidP="003B63F6">
            <w:pPr>
              <w:rPr>
                <w:rFonts w:asciiTheme="majorBidi" w:hAnsiTheme="majorBidi" w:cstheme="majorBidi"/>
                <w:noProof w:val="0"/>
                <w:color w:val="000000"/>
                <w:sz w:val="24"/>
                <w:szCs w:val="24"/>
                <w:lang w:val="en-GB"/>
              </w:rPr>
            </w:pPr>
            <w:r w:rsidRPr="000425DF">
              <w:rPr>
                <w:rFonts w:asciiTheme="majorBidi" w:hAnsiTheme="majorBidi" w:cstheme="majorBidi"/>
                <w:noProof w:val="0"/>
                <w:color w:val="000000"/>
                <w:sz w:val="24"/>
                <w:szCs w:val="24"/>
                <w:lang w:val="en-GB"/>
              </w:rPr>
              <w:t>High</w:t>
            </w:r>
          </w:p>
        </w:tc>
      </w:tr>
    </w:tbl>
    <w:p w14:paraId="4C75A706" w14:textId="77777777" w:rsidR="00935C60" w:rsidRPr="000425DF" w:rsidRDefault="00935C60" w:rsidP="00935C60">
      <w:pPr>
        <w:rPr>
          <w:rFonts w:asciiTheme="majorBidi" w:hAnsiTheme="majorBidi" w:cstheme="majorBidi"/>
          <w:noProof w:val="0"/>
          <w:sz w:val="24"/>
          <w:szCs w:val="24"/>
          <w:lang w:val="en-GB"/>
        </w:rPr>
      </w:pPr>
    </w:p>
    <w:p w14:paraId="6F176E83" w14:textId="77777777" w:rsidR="00935C60" w:rsidRPr="00935C60" w:rsidRDefault="00935C60">
      <w:pPr>
        <w:rPr>
          <w:rFonts w:asciiTheme="majorBidi" w:hAnsiTheme="majorBidi" w:cstheme="majorBidi"/>
          <w:noProof w:val="0"/>
          <w:sz w:val="24"/>
          <w:szCs w:val="24"/>
        </w:rPr>
      </w:pPr>
    </w:p>
    <w:p w14:paraId="61CDB4DB" w14:textId="1E615E2C" w:rsidR="00E4334B" w:rsidRPr="000425DF" w:rsidRDefault="00E4334B" w:rsidP="002D2341">
      <w:pPr>
        <w:rPr>
          <w:rFonts w:asciiTheme="majorBidi" w:hAnsiTheme="majorBidi" w:cstheme="majorBidi"/>
          <w:noProof w:val="0"/>
          <w:sz w:val="24"/>
          <w:szCs w:val="24"/>
          <w:lang w:val="en-GB"/>
        </w:rPr>
      </w:pPr>
    </w:p>
    <w:p w14:paraId="0F1887B0" w14:textId="7BD6ABE4" w:rsidR="00507DB2" w:rsidRDefault="00F63F5D" w:rsidP="00507DB2">
      <w:pPr>
        <w:pStyle w:val="CitaviBibliographyHeading"/>
        <w:rPr>
          <w:rFonts w:asciiTheme="majorBidi" w:hAnsiTheme="majorBidi"/>
          <w:b/>
          <w:bCs/>
          <w:color w:val="auto"/>
          <w:sz w:val="28"/>
          <w:szCs w:val="28"/>
          <w:lang w:val="en-GB"/>
        </w:rPr>
      </w:pPr>
      <w:r w:rsidRPr="00507DB2">
        <w:rPr>
          <w:rFonts w:asciiTheme="majorBidi" w:hAnsiTheme="majorBidi"/>
          <w:b/>
          <w:bCs/>
          <w:color w:val="auto"/>
          <w:sz w:val="28"/>
          <w:szCs w:val="28"/>
          <w:lang w:val="en-GB"/>
        </w:rPr>
        <w:t>References</w:t>
      </w:r>
    </w:p>
    <w:p w14:paraId="758D3C2A" w14:textId="77777777" w:rsidR="00507DB2" w:rsidRPr="00507DB2" w:rsidRDefault="00507DB2" w:rsidP="00507DB2">
      <w:pPr>
        <w:pStyle w:val="CitaviBibliographyHeading"/>
        <w:spacing w:before="0"/>
        <w:rPr>
          <w:rFonts w:asciiTheme="majorBidi" w:hAnsiTheme="majorBidi"/>
          <w:b/>
          <w:bCs/>
          <w:color w:val="auto"/>
          <w:sz w:val="28"/>
          <w:szCs w:val="28"/>
          <w:lang w:val="en-GB"/>
        </w:rPr>
      </w:pPr>
    </w:p>
    <w:p w14:paraId="70BF42FA" w14:textId="77777777" w:rsidR="00507DB2" w:rsidRPr="00507DB2" w:rsidRDefault="00507DB2" w:rsidP="00507DB2">
      <w:pPr>
        <w:spacing w:after="60" w:line="240" w:lineRule="auto"/>
        <w:rPr>
          <w:rFonts w:asciiTheme="majorBidi" w:hAnsiTheme="majorBidi" w:cstheme="majorBidi"/>
          <w:sz w:val="24"/>
          <w:szCs w:val="24"/>
          <w:lang w:val="de-DE"/>
        </w:rPr>
      </w:pPr>
      <w:r w:rsidRPr="00507DB2">
        <w:rPr>
          <w:rFonts w:asciiTheme="majorBidi" w:hAnsiTheme="majorBidi" w:cstheme="majorBidi"/>
          <w:sz w:val="24"/>
          <w:szCs w:val="24"/>
          <w:lang w:val="en-GB"/>
        </w:rPr>
        <w:t xml:space="preserve">Act on Long-Term Care Insurance for Senior Citizens (LTCI Act). </w:t>
      </w:r>
      <w:r w:rsidRPr="00507DB2">
        <w:rPr>
          <w:rFonts w:asciiTheme="majorBidi" w:hAnsiTheme="majorBidi" w:cstheme="majorBidi"/>
          <w:sz w:val="24"/>
          <w:szCs w:val="24"/>
        </w:rPr>
        <w:t xml:space="preserve">Enforcement Date 01. Jul, 2008. Act No.8403, 27. </w:t>
      </w:r>
      <w:r w:rsidRPr="00507DB2">
        <w:rPr>
          <w:rFonts w:asciiTheme="majorBidi" w:hAnsiTheme="majorBidi" w:cstheme="majorBidi"/>
          <w:sz w:val="24"/>
          <w:szCs w:val="24"/>
          <w:lang w:val="de-DE"/>
        </w:rPr>
        <w:t>Apr, 2007., New Enactment.</w:t>
      </w:r>
    </w:p>
    <w:p w14:paraId="5E25F1EF" w14:textId="43A103FB" w:rsidR="00507DB2" w:rsidRPr="00507DB2" w:rsidRDefault="00507DB2" w:rsidP="00507DB2">
      <w:pPr>
        <w:pStyle w:val="CitaviBibliographyEntry"/>
        <w:rPr>
          <w:rFonts w:asciiTheme="majorBidi" w:hAnsiTheme="majorBidi" w:cstheme="majorBidi"/>
          <w:sz w:val="24"/>
          <w:szCs w:val="24"/>
          <w:lang w:val="en-GB"/>
        </w:rPr>
      </w:pPr>
      <w:bookmarkStart w:id="0" w:name="_CTVL0011b66f7ba838b40b1b80bf5151fbd1a45"/>
      <w:r w:rsidRPr="00507DB2">
        <w:rPr>
          <w:rFonts w:asciiTheme="majorBidi" w:hAnsiTheme="majorBidi" w:cstheme="majorBidi"/>
          <w:sz w:val="24"/>
          <w:szCs w:val="24"/>
          <w:lang w:val="en-GB"/>
        </w:rPr>
        <w:t>Ajzenstadt, M., &amp; Rosenhek, Z. (2000). Privatisation and New Modes of State Intervention: The Long-term Care Programme in Israel.</w:t>
      </w:r>
      <w:bookmarkEnd w:id="0"/>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Journal of Social Policy</w:t>
      </w:r>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29</w:t>
      </w:r>
      <w:r w:rsidRPr="00507DB2">
        <w:rPr>
          <w:rFonts w:asciiTheme="majorBidi" w:hAnsiTheme="majorBidi" w:cstheme="majorBidi"/>
          <w:sz w:val="24"/>
          <w:szCs w:val="24"/>
          <w:lang w:val="en-GB"/>
        </w:rPr>
        <w:t>(2), 247–262.</w:t>
      </w:r>
    </w:p>
    <w:p w14:paraId="454B3CA5" w14:textId="77777777" w:rsidR="00507DB2" w:rsidRDefault="00F63F5D" w:rsidP="00507DB2">
      <w:pPr>
        <w:pStyle w:val="CitaviBibliographyEntry"/>
        <w:rPr>
          <w:rFonts w:asciiTheme="majorBidi" w:hAnsiTheme="majorBidi" w:cstheme="majorBidi"/>
          <w:sz w:val="24"/>
          <w:szCs w:val="24"/>
          <w:lang w:val="en-GB"/>
        </w:rPr>
      </w:pPr>
      <w:bookmarkStart w:id="1" w:name="_CTVL001f652d094a6b547b8835f96e732dc69f6"/>
      <w:r w:rsidRPr="00507DB2">
        <w:rPr>
          <w:rFonts w:asciiTheme="majorBidi" w:hAnsiTheme="majorBidi" w:cstheme="majorBidi"/>
          <w:sz w:val="24"/>
          <w:szCs w:val="24"/>
          <w:lang w:val="en-GB"/>
        </w:rPr>
        <w:t>Asiskovitch, S. (2013). The Long-term Care Insurance Program in Israel: Solidarity with the Elderly in a Changing Society.</w:t>
      </w:r>
      <w:bookmarkEnd w:id="1"/>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Israel Journal of Health Policy Research</w:t>
      </w:r>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2</w:t>
      </w:r>
      <w:r w:rsidRPr="00507DB2">
        <w:rPr>
          <w:rFonts w:asciiTheme="majorBidi" w:hAnsiTheme="majorBidi" w:cstheme="majorBidi"/>
          <w:sz w:val="24"/>
          <w:szCs w:val="24"/>
          <w:lang w:val="en-GB"/>
        </w:rPr>
        <w:t>(1), 3–22.</w:t>
      </w:r>
    </w:p>
    <w:p w14:paraId="2789B8D5" w14:textId="0A6AFBD1" w:rsidR="00507DB2" w:rsidRPr="00507DB2" w:rsidRDefault="00507DB2" w:rsidP="00507DB2">
      <w:pPr>
        <w:pStyle w:val="CitaviBibliographyEntry"/>
        <w:rPr>
          <w:rFonts w:asciiTheme="majorBidi" w:hAnsiTheme="majorBidi" w:cstheme="majorBidi"/>
          <w:sz w:val="24"/>
          <w:szCs w:val="24"/>
          <w:lang w:val="en-GB"/>
        </w:rPr>
      </w:pPr>
      <w:r w:rsidRPr="00507DB2">
        <w:rPr>
          <w:rFonts w:asciiTheme="majorBidi" w:hAnsiTheme="majorBidi" w:cstheme="majorBidi"/>
          <w:sz w:val="24"/>
          <w:szCs w:val="24"/>
        </w:rPr>
        <w:t>Algemene Wet Bijzondere Ziektekosten (AWBZ) [Exceptional Medical Expenses Act]. Wet van 14 december 1967 (Version 16.07.2014).</w:t>
      </w:r>
    </w:p>
    <w:p w14:paraId="0CC4AED1" w14:textId="08A25938" w:rsidR="00F63F5D" w:rsidRPr="00507DB2" w:rsidRDefault="00F63F5D" w:rsidP="00F63F5D">
      <w:pPr>
        <w:pStyle w:val="CitaviBibliographyEntry"/>
        <w:rPr>
          <w:rFonts w:asciiTheme="majorBidi" w:hAnsiTheme="majorBidi" w:cstheme="majorBidi"/>
          <w:sz w:val="24"/>
          <w:szCs w:val="24"/>
          <w:lang w:val="en-GB"/>
        </w:rPr>
      </w:pPr>
      <w:bookmarkStart w:id="2" w:name="_CTVL001bb6b011ffe104007af77527499d152b5"/>
      <w:r w:rsidRPr="00507DB2">
        <w:rPr>
          <w:rFonts w:asciiTheme="majorBidi" w:hAnsiTheme="majorBidi" w:cstheme="majorBidi"/>
          <w:sz w:val="24"/>
          <w:szCs w:val="24"/>
          <w:lang w:val="en-GB"/>
        </w:rPr>
        <w:t>Ayalon, L. (2018). Between older adults</w:t>
      </w:r>
      <w:r w:rsidR="00671558" w:rsidRPr="00507DB2">
        <w:rPr>
          <w:rFonts w:asciiTheme="majorBidi" w:hAnsiTheme="majorBidi" w:cstheme="majorBidi"/>
          <w:sz w:val="24"/>
          <w:szCs w:val="24"/>
          <w:lang w:val="en-GB"/>
        </w:rPr>
        <w:t>’</w:t>
      </w:r>
      <w:r w:rsidRPr="00507DB2">
        <w:rPr>
          <w:rFonts w:asciiTheme="majorBidi" w:hAnsiTheme="majorBidi" w:cstheme="majorBidi"/>
          <w:sz w:val="24"/>
          <w:szCs w:val="24"/>
          <w:lang w:val="en-GB"/>
        </w:rPr>
        <w:t xml:space="preserve"> needs and the law: The Israeli Long Term Care Insurance Law from the Perspectives of Service Users and Providers.</w:t>
      </w:r>
      <w:bookmarkEnd w:id="2"/>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Health &amp; Social Care in the Community</w:t>
      </w:r>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26</w:t>
      </w:r>
      <w:r w:rsidRPr="00507DB2">
        <w:rPr>
          <w:rFonts w:asciiTheme="majorBidi" w:hAnsiTheme="majorBidi" w:cstheme="majorBidi"/>
          <w:sz w:val="24"/>
          <w:szCs w:val="24"/>
          <w:lang w:val="en-GB"/>
        </w:rPr>
        <w:t xml:space="preserve">(4), e514-e522. </w:t>
      </w:r>
      <w:hyperlink r:id="rId7" w:history="1">
        <w:r w:rsidR="00671558" w:rsidRPr="00507DB2">
          <w:rPr>
            <w:rStyle w:val="Hyperlink"/>
            <w:rFonts w:asciiTheme="majorBidi" w:hAnsiTheme="majorBidi" w:cstheme="majorBidi"/>
            <w:sz w:val="24"/>
            <w:szCs w:val="24"/>
            <w:lang w:val="en-GB"/>
          </w:rPr>
          <w:t>https://doi.org/10.1111/hsc.12563</w:t>
        </w:r>
      </w:hyperlink>
    </w:p>
    <w:p w14:paraId="1D01BD91" w14:textId="77777777" w:rsidR="00F63F5D" w:rsidRPr="00507DB2" w:rsidRDefault="00F63F5D" w:rsidP="00F63F5D">
      <w:pPr>
        <w:pStyle w:val="CitaviBibliographyEntry"/>
        <w:rPr>
          <w:rFonts w:asciiTheme="majorBidi" w:hAnsiTheme="majorBidi" w:cstheme="majorBidi"/>
          <w:sz w:val="24"/>
          <w:szCs w:val="24"/>
          <w:lang w:val="de-DE"/>
        </w:rPr>
      </w:pPr>
      <w:bookmarkStart w:id="3" w:name="_CTVL001abb652bbb0fb44888fcaee40a429a03b"/>
      <w:r w:rsidRPr="00507DB2">
        <w:rPr>
          <w:rFonts w:asciiTheme="majorBidi" w:hAnsiTheme="majorBidi" w:cstheme="majorBidi"/>
          <w:sz w:val="24"/>
          <w:szCs w:val="24"/>
          <w:lang w:val="de-DE"/>
        </w:rPr>
        <w:t>Benazha, A. V., Leiblfinger, M., Prieler, V., &amp; Steiner, J. (2021). Live-in-Care im Ländervergleich. In B. Aulenbacher, H. Lutz, &amp; K. Schwiter (Eds.),</w:t>
      </w:r>
      <w:bookmarkEnd w:id="3"/>
      <w:r w:rsidRPr="00507DB2">
        <w:rPr>
          <w:rFonts w:asciiTheme="majorBidi" w:hAnsiTheme="majorBidi" w:cstheme="majorBidi"/>
          <w:sz w:val="24"/>
          <w:szCs w:val="24"/>
          <w:lang w:val="de-DE"/>
        </w:rPr>
        <w:t xml:space="preserve"> </w:t>
      </w:r>
      <w:r w:rsidRPr="00507DB2">
        <w:rPr>
          <w:rFonts w:asciiTheme="majorBidi" w:hAnsiTheme="majorBidi" w:cstheme="majorBidi"/>
          <w:i/>
          <w:sz w:val="24"/>
          <w:szCs w:val="24"/>
          <w:lang w:val="de-DE"/>
        </w:rPr>
        <w:t xml:space="preserve">Arbeitsgesellschaft im Wandel. Gute Sorge ohne gute Arbeit? Live-in-Care in Deutschland, Österreich und der Schweiz </w:t>
      </w:r>
      <w:r w:rsidRPr="00507DB2">
        <w:rPr>
          <w:rFonts w:asciiTheme="majorBidi" w:hAnsiTheme="majorBidi" w:cstheme="majorBidi"/>
          <w:sz w:val="24"/>
          <w:szCs w:val="24"/>
          <w:lang w:val="de-DE"/>
        </w:rPr>
        <w:t>(pp. 20–45). Weinheim: Juventa Verlag ein Imprint der Julius Beltz GmbH &amp; Co. KG.</w:t>
      </w:r>
    </w:p>
    <w:p w14:paraId="6C33C744" w14:textId="235C10AD" w:rsidR="00F63F5D" w:rsidRPr="00507DB2" w:rsidRDefault="00F63F5D" w:rsidP="00F63F5D">
      <w:pPr>
        <w:pStyle w:val="CitaviBibliographyEntry"/>
        <w:rPr>
          <w:rFonts w:asciiTheme="majorBidi" w:hAnsiTheme="majorBidi" w:cstheme="majorBidi"/>
          <w:sz w:val="24"/>
          <w:szCs w:val="24"/>
          <w:lang w:val="en-GB"/>
        </w:rPr>
      </w:pPr>
      <w:bookmarkStart w:id="4" w:name="_CTVL001a9e12770edba4046accc7c1fdce96a78"/>
      <w:r w:rsidRPr="00507DB2">
        <w:rPr>
          <w:rFonts w:asciiTheme="majorBidi" w:hAnsiTheme="majorBidi" w:cstheme="majorBidi"/>
          <w:sz w:val="24"/>
          <w:szCs w:val="24"/>
          <w:lang w:val="de-DE"/>
        </w:rPr>
        <w:t xml:space="preserve">Böhm, K., Schmid, A., Götze, R., Landwehr, C., &amp; Rothgang, H. (2012). </w:t>
      </w:r>
      <w:r w:rsidRPr="00507DB2">
        <w:rPr>
          <w:rFonts w:asciiTheme="majorBidi" w:hAnsiTheme="majorBidi" w:cstheme="majorBidi"/>
          <w:sz w:val="24"/>
          <w:szCs w:val="24"/>
          <w:lang w:val="en-GB"/>
        </w:rPr>
        <w:t>Classifying OECD healthcare systems: A deductive approach.</w:t>
      </w:r>
      <w:bookmarkEnd w:id="4"/>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TransState Working Papers</w:t>
      </w:r>
      <w:r w:rsidRPr="00507DB2">
        <w:rPr>
          <w:rFonts w:asciiTheme="majorBidi" w:hAnsiTheme="majorBidi" w:cstheme="majorBidi"/>
          <w:sz w:val="24"/>
          <w:szCs w:val="24"/>
          <w:lang w:val="en-GB"/>
        </w:rPr>
        <w:t xml:space="preserve">. (165). Retrieved from </w:t>
      </w:r>
      <w:hyperlink r:id="rId8" w:history="1">
        <w:r w:rsidR="00671558" w:rsidRPr="00507DB2">
          <w:rPr>
            <w:rStyle w:val="Hyperlink"/>
            <w:rFonts w:asciiTheme="majorBidi" w:hAnsiTheme="majorBidi" w:cstheme="majorBidi"/>
            <w:sz w:val="24"/>
            <w:szCs w:val="24"/>
            <w:lang w:val="en-GB"/>
          </w:rPr>
          <w:t>http://hdl.handle.net/10419/64809</w:t>
        </w:r>
      </w:hyperlink>
    </w:p>
    <w:p w14:paraId="2771CC19" w14:textId="0C0ED23A" w:rsidR="00F63F5D" w:rsidRPr="00507DB2" w:rsidRDefault="00F63F5D" w:rsidP="00F63F5D">
      <w:pPr>
        <w:pStyle w:val="CitaviBibliographyEntry"/>
        <w:rPr>
          <w:rFonts w:asciiTheme="majorBidi" w:hAnsiTheme="majorBidi" w:cstheme="majorBidi"/>
          <w:sz w:val="24"/>
          <w:szCs w:val="24"/>
          <w:lang w:val="en-GB"/>
        </w:rPr>
      </w:pPr>
      <w:bookmarkStart w:id="5" w:name="_CTVL001526555ad8d7a4f56bced0ea326a44f44"/>
      <w:r w:rsidRPr="00507DB2">
        <w:rPr>
          <w:rFonts w:asciiTheme="majorBidi" w:hAnsiTheme="majorBidi" w:cstheme="majorBidi"/>
          <w:sz w:val="24"/>
          <w:szCs w:val="24"/>
          <w:lang w:val="en-GB"/>
        </w:rPr>
        <w:t>Borowski, A. (2015). Israel</w:t>
      </w:r>
      <w:r w:rsidR="00671558" w:rsidRPr="00507DB2">
        <w:rPr>
          <w:rFonts w:asciiTheme="majorBidi" w:hAnsiTheme="majorBidi" w:cstheme="majorBidi"/>
          <w:sz w:val="24"/>
          <w:szCs w:val="24"/>
          <w:lang w:val="en-GB"/>
        </w:rPr>
        <w:t>’</w:t>
      </w:r>
      <w:r w:rsidRPr="00507DB2">
        <w:rPr>
          <w:rFonts w:asciiTheme="majorBidi" w:hAnsiTheme="majorBidi" w:cstheme="majorBidi"/>
          <w:sz w:val="24"/>
          <w:szCs w:val="24"/>
          <w:lang w:val="en-GB"/>
        </w:rPr>
        <w:t>s Long-Term Care Social Insurance Scheme After a Quarter of a Century.</w:t>
      </w:r>
      <w:bookmarkEnd w:id="5"/>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Journal of Aging &amp; Social Policy</w:t>
      </w:r>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27</w:t>
      </w:r>
      <w:r w:rsidRPr="00507DB2">
        <w:rPr>
          <w:rFonts w:asciiTheme="majorBidi" w:hAnsiTheme="majorBidi" w:cstheme="majorBidi"/>
          <w:sz w:val="24"/>
          <w:szCs w:val="24"/>
          <w:lang w:val="en-GB"/>
        </w:rPr>
        <w:t xml:space="preserve">(3), 195–214. </w:t>
      </w:r>
      <w:hyperlink r:id="rId9" w:history="1">
        <w:r w:rsidR="00671558" w:rsidRPr="00507DB2">
          <w:rPr>
            <w:rStyle w:val="Hyperlink"/>
            <w:rFonts w:asciiTheme="majorBidi" w:hAnsiTheme="majorBidi" w:cstheme="majorBidi"/>
            <w:sz w:val="24"/>
            <w:szCs w:val="24"/>
            <w:lang w:val="en-GB"/>
          </w:rPr>
          <w:t>https://doi.org/10.1080/08959420.2015.1022101</w:t>
        </w:r>
      </w:hyperlink>
    </w:p>
    <w:p w14:paraId="0AAE4004" w14:textId="336699D0" w:rsidR="00F63F5D" w:rsidRPr="00507DB2" w:rsidRDefault="00F63F5D" w:rsidP="00F63F5D">
      <w:pPr>
        <w:pStyle w:val="CitaviBibliographyEntry"/>
        <w:rPr>
          <w:rFonts w:asciiTheme="majorBidi" w:hAnsiTheme="majorBidi" w:cstheme="majorBidi"/>
          <w:sz w:val="24"/>
          <w:szCs w:val="24"/>
          <w:lang w:val="en-GB"/>
        </w:rPr>
      </w:pPr>
      <w:bookmarkStart w:id="6" w:name="_CTVL0017fe5b6eab5c5412cbacaff98dc43cc70"/>
      <w:r w:rsidRPr="00507DB2">
        <w:rPr>
          <w:rFonts w:asciiTheme="majorBidi" w:hAnsiTheme="majorBidi" w:cstheme="majorBidi"/>
          <w:sz w:val="24"/>
          <w:szCs w:val="24"/>
          <w:lang w:val="en-GB"/>
        </w:rPr>
        <w:t>Borowski, A., &amp; Schmid, H. (2001). Israel</w:t>
      </w:r>
      <w:r w:rsidR="00671558" w:rsidRPr="00507DB2">
        <w:rPr>
          <w:rFonts w:asciiTheme="majorBidi" w:hAnsiTheme="majorBidi" w:cstheme="majorBidi"/>
          <w:sz w:val="24"/>
          <w:szCs w:val="24"/>
          <w:lang w:val="en-GB"/>
        </w:rPr>
        <w:t>’</w:t>
      </w:r>
      <w:r w:rsidRPr="00507DB2">
        <w:rPr>
          <w:rFonts w:asciiTheme="majorBidi" w:hAnsiTheme="majorBidi" w:cstheme="majorBidi"/>
          <w:sz w:val="24"/>
          <w:szCs w:val="24"/>
          <w:lang w:val="en-GB"/>
        </w:rPr>
        <w:t>s Long-Term Care Insurance Law after a Decade of Implementation.</w:t>
      </w:r>
      <w:bookmarkEnd w:id="6"/>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Journal of Aging &amp; Social Policy</w:t>
      </w:r>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12</w:t>
      </w:r>
      <w:r w:rsidRPr="00507DB2">
        <w:rPr>
          <w:rFonts w:asciiTheme="majorBidi" w:hAnsiTheme="majorBidi" w:cstheme="majorBidi"/>
          <w:sz w:val="24"/>
          <w:szCs w:val="24"/>
          <w:lang w:val="en-GB"/>
        </w:rPr>
        <w:t>(1), 49–71.</w:t>
      </w:r>
    </w:p>
    <w:p w14:paraId="7D73FECB" w14:textId="77777777" w:rsidR="00F63F5D" w:rsidRPr="00507DB2" w:rsidRDefault="00F63F5D" w:rsidP="00F63F5D">
      <w:pPr>
        <w:pStyle w:val="CitaviBibliographyEntry"/>
        <w:rPr>
          <w:rFonts w:asciiTheme="majorBidi" w:hAnsiTheme="majorBidi" w:cstheme="majorBidi"/>
          <w:sz w:val="24"/>
          <w:szCs w:val="24"/>
          <w:lang w:val="de-DE"/>
        </w:rPr>
      </w:pPr>
      <w:bookmarkStart w:id="7" w:name="_CTVL001bff468c59ec2424bb12be2a0f256f96a"/>
      <w:r w:rsidRPr="00507DB2">
        <w:rPr>
          <w:rFonts w:asciiTheme="majorBidi" w:hAnsiTheme="majorBidi" w:cstheme="majorBidi"/>
          <w:sz w:val="24"/>
          <w:szCs w:val="24"/>
          <w:lang w:val="en-GB"/>
        </w:rPr>
        <w:t>Brodsky, J., &amp; Naon, D. (1993). Home Care Services in Israel - Implications of the Expansion of Home Care Following Implementation of the Community Long-term Care Insurance Law.</w:t>
      </w:r>
      <w:bookmarkEnd w:id="7"/>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de-DE"/>
        </w:rPr>
        <w:t>Journal of Cross-Cultural Gerontology</w:t>
      </w:r>
      <w:r w:rsidRPr="00507DB2">
        <w:rPr>
          <w:rFonts w:asciiTheme="majorBidi" w:hAnsiTheme="majorBidi" w:cstheme="majorBidi"/>
          <w:sz w:val="24"/>
          <w:szCs w:val="24"/>
          <w:lang w:val="de-DE"/>
        </w:rPr>
        <w:t xml:space="preserve">, </w:t>
      </w:r>
      <w:r w:rsidRPr="00507DB2">
        <w:rPr>
          <w:rFonts w:asciiTheme="majorBidi" w:hAnsiTheme="majorBidi" w:cstheme="majorBidi"/>
          <w:i/>
          <w:sz w:val="24"/>
          <w:szCs w:val="24"/>
          <w:lang w:val="de-DE"/>
        </w:rPr>
        <w:t>8</w:t>
      </w:r>
      <w:r w:rsidRPr="00507DB2">
        <w:rPr>
          <w:rFonts w:asciiTheme="majorBidi" w:hAnsiTheme="majorBidi" w:cstheme="majorBidi"/>
          <w:sz w:val="24"/>
          <w:szCs w:val="24"/>
          <w:lang w:val="de-DE"/>
        </w:rPr>
        <w:t>(4), 375–390.</w:t>
      </w:r>
    </w:p>
    <w:p w14:paraId="0CB5E21E" w14:textId="3E700B5B" w:rsidR="00F63F5D" w:rsidRPr="00507DB2" w:rsidRDefault="00F63F5D" w:rsidP="00F63F5D">
      <w:pPr>
        <w:pStyle w:val="CitaviBibliographyEntry"/>
        <w:rPr>
          <w:rFonts w:asciiTheme="majorBidi" w:hAnsiTheme="majorBidi" w:cstheme="majorBidi"/>
          <w:sz w:val="24"/>
          <w:szCs w:val="24"/>
          <w:lang w:val="en-GB"/>
        </w:rPr>
      </w:pPr>
      <w:bookmarkStart w:id="8" w:name="_CTVL001ceb9887f53eb4912892165cb04ebaf8b"/>
      <w:r w:rsidRPr="00507DB2">
        <w:rPr>
          <w:rFonts w:asciiTheme="majorBidi" w:hAnsiTheme="majorBidi" w:cstheme="majorBidi"/>
          <w:sz w:val="24"/>
          <w:szCs w:val="24"/>
          <w:lang w:val="de-DE"/>
        </w:rPr>
        <w:t xml:space="preserve">Bundesministerium für Gesundheit (2020). Leistungsempfänger der sozialen Pflegeversicherung im Jahresdurchschnitt nach Leistungsarten. </w:t>
      </w:r>
      <w:r w:rsidRPr="00507DB2">
        <w:rPr>
          <w:rFonts w:asciiTheme="majorBidi" w:hAnsiTheme="majorBidi" w:cstheme="majorBidi"/>
          <w:sz w:val="24"/>
          <w:szCs w:val="24"/>
          <w:lang w:val="en-GB"/>
        </w:rPr>
        <w:t xml:space="preserve">Retrieved from </w:t>
      </w:r>
      <w:hyperlink r:id="rId10" w:history="1">
        <w:r w:rsidR="00671558" w:rsidRPr="00507DB2">
          <w:rPr>
            <w:rStyle w:val="Hyperlink"/>
            <w:rFonts w:asciiTheme="majorBidi" w:hAnsiTheme="majorBidi" w:cstheme="majorBidi"/>
            <w:sz w:val="24"/>
            <w:szCs w:val="24"/>
            <w:lang w:val="en-GB"/>
          </w:rPr>
          <w:t>https://www.bundesgesundheitsministerium.de/fileadmin/Dateien/3_Downloads/Statistiken/Pflegeversicherung/Leistungsempfaenger/06-Leistungsempfaenger-der-sozialen-PV-nach-Leistungsarten_2019.xlsx</w:t>
        </w:r>
      </w:hyperlink>
    </w:p>
    <w:p w14:paraId="1A9C89A5" w14:textId="6BE3787C" w:rsidR="00F63F5D" w:rsidRPr="00507DB2" w:rsidRDefault="00F63F5D" w:rsidP="00F63F5D">
      <w:pPr>
        <w:pStyle w:val="CitaviBibliographyEntry"/>
        <w:rPr>
          <w:rFonts w:asciiTheme="majorBidi" w:hAnsiTheme="majorBidi" w:cstheme="majorBidi"/>
          <w:sz w:val="24"/>
          <w:szCs w:val="24"/>
          <w:lang w:val="en-GB"/>
        </w:rPr>
      </w:pPr>
      <w:bookmarkStart w:id="9" w:name="_CTVL0017b0c9c0e3d1a49daadeb24b32746ef3c"/>
      <w:bookmarkEnd w:id="8"/>
      <w:r w:rsidRPr="00507DB2">
        <w:rPr>
          <w:rFonts w:asciiTheme="majorBidi" w:hAnsiTheme="majorBidi" w:cstheme="majorBidi"/>
          <w:sz w:val="24"/>
          <w:szCs w:val="24"/>
          <w:lang w:val="de-DE"/>
        </w:rPr>
        <w:lastRenderedPageBreak/>
        <w:t xml:space="preserve">Bundesministerium für Gesundheit (2021). Die Finanzentwicklung der sozialen Pflegeversicherung: Ist-Ergebnisse ohne Rechnungsabgrenzung. </w:t>
      </w:r>
      <w:r w:rsidRPr="00507DB2">
        <w:rPr>
          <w:rFonts w:asciiTheme="majorBidi" w:hAnsiTheme="majorBidi" w:cstheme="majorBidi"/>
          <w:sz w:val="24"/>
          <w:szCs w:val="24"/>
          <w:lang w:val="en-GB"/>
        </w:rPr>
        <w:t xml:space="preserve">Retrieved from </w:t>
      </w:r>
      <w:hyperlink r:id="rId11" w:history="1">
        <w:r w:rsidR="00671558" w:rsidRPr="00507DB2">
          <w:rPr>
            <w:rStyle w:val="Hyperlink"/>
            <w:rFonts w:asciiTheme="majorBidi" w:hAnsiTheme="majorBidi" w:cstheme="majorBidi"/>
            <w:sz w:val="24"/>
            <w:szCs w:val="24"/>
            <w:lang w:val="en-GB"/>
          </w:rPr>
          <w:t>https://www.bundesgesundheitsministerium.de/fileadmin/Dateien/3_Downloads/Statistiken/Pflegeversicherung/Finanzentwicklung/2020_Finanzentwicklung-der-sozialen-Pflegeversicherung_bf.pdf</w:t>
        </w:r>
      </w:hyperlink>
    </w:p>
    <w:p w14:paraId="153556D7" w14:textId="77777777" w:rsidR="00F63F5D" w:rsidRPr="00507DB2" w:rsidRDefault="00F63F5D" w:rsidP="00F63F5D">
      <w:pPr>
        <w:pStyle w:val="CitaviBibliographyEntry"/>
        <w:rPr>
          <w:rFonts w:asciiTheme="majorBidi" w:hAnsiTheme="majorBidi" w:cstheme="majorBidi"/>
          <w:sz w:val="24"/>
          <w:szCs w:val="24"/>
          <w:lang w:val="en-GB"/>
        </w:rPr>
      </w:pPr>
      <w:bookmarkStart w:id="10" w:name="_CTVL00104950a183fae46639f415d943ad51c51"/>
      <w:bookmarkEnd w:id="9"/>
      <w:r w:rsidRPr="00507DB2">
        <w:rPr>
          <w:rFonts w:asciiTheme="majorBidi" w:hAnsiTheme="majorBidi" w:cstheme="majorBidi"/>
          <w:sz w:val="24"/>
          <w:szCs w:val="24"/>
          <w:lang w:val="en-GB"/>
        </w:rPr>
        <w:t>Campbell, J. C. (2014). Japan’s Long-Term Care Insurance System. In J. C. Campbell, U. Edvardsen, P. Midford, &amp; Y. Saito (Eds.),</w:t>
      </w:r>
      <w:bookmarkEnd w:id="10"/>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 xml:space="preserve">Eldercare Policies in Japan and Scandinavia: Aging Societies East and West </w:t>
      </w:r>
      <w:r w:rsidRPr="00507DB2">
        <w:rPr>
          <w:rFonts w:asciiTheme="majorBidi" w:hAnsiTheme="majorBidi" w:cstheme="majorBidi"/>
          <w:sz w:val="24"/>
          <w:szCs w:val="24"/>
          <w:lang w:val="en-GB"/>
        </w:rPr>
        <w:t>(pp. 9–30). New York: Palgrave Macmillan US.</w:t>
      </w:r>
    </w:p>
    <w:p w14:paraId="1CC0C034" w14:textId="77777777" w:rsidR="00F63F5D" w:rsidRPr="00507DB2" w:rsidRDefault="00F63F5D" w:rsidP="00F63F5D">
      <w:pPr>
        <w:pStyle w:val="CitaviBibliographyEntry"/>
        <w:rPr>
          <w:rFonts w:asciiTheme="majorBidi" w:hAnsiTheme="majorBidi" w:cstheme="majorBidi"/>
          <w:sz w:val="24"/>
          <w:szCs w:val="24"/>
          <w:lang w:val="en-GB"/>
        </w:rPr>
      </w:pPr>
      <w:bookmarkStart w:id="11" w:name="_CTVL001f0b7e42b6c154da2bffe3577e4e1e347"/>
      <w:r w:rsidRPr="00507DB2">
        <w:rPr>
          <w:rFonts w:asciiTheme="majorBidi" w:hAnsiTheme="majorBidi" w:cstheme="majorBidi"/>
          <w:sz w:val="24"/>
          <w:szCs w:val="24"/>
          <w:lang w:val="en-GB"/>
        </w:rPr>
        <w:t>Campbell, J. C., &amp; Ikegami, N. (2000). Long-Term Care Insurance Comes to Japan.</w:t>
      </w:r>
      <w:bookmarkEnd w:id="11"/>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Health Affairs</w:t>
      </w:r>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19</w:t>
      </w:r>
      <w:r w:rsidRPr="00507DB2">
        <w:rPr>
          <w:rFonts w:asciiTheme="majorBidi" w:hAnsiTheme="majorBidi" w:cstheme="majorBidi"/>
          <w:sz w:val="24"/>
          <w:szCs w:val="24"/>
          <w:lang w:val="en-GB"/>
        </w:rPr>
        <w:t>(3), 26–39.</w:t>
      </w:r>
    </w:p>
    <w:p w14:paraId="0094DA89" w14:textId="7D55E973" w:rsidR="00F63F5D" w:rsidRPr="00507DB2" w:rsidRDefault="00F63F5D" w:rsidP="00F63F5D">
      <w:pPr>
        <w:pStyle w:val="CitaviBibliographyEntry"/>
        <w:rPr>
          <w:rFonts w:asciiTheme="majorBidi" w:hAnsiTheme="majorBidi" w:cstheme="majorBidi"/>
          <w:sz w:val="24"/>
          <w:szCs w:val="24"/>
          <w:lang w:val="en-GB"/>
        </w:rPr>
      </w:pPr>
      <w:bookmarkStart w:id="12" w:name="_CTVL001b15ae43c0f34488bae6adb61346c4492"/>
      <w:r w:rsidRPr="00507DB2">
        <w:rPr>
          <w:rFonts w:asciiTheme="majorBidi" w:hAnsiTheme="majorBidi" w:cstheme="majorBidi"/>
          <w:sz w:val="24"/>
          <w:szCs w:val="24"/>
          <w:lang w:val="en-GB"/>
        </w:rPr>
        <w:t>Campbell, J. C., &amp; Ikegami, N. (2003). Japan</w:t>
      </w:r>
      <w:r w:rsidR="00671558" w:rsidRPr="00507DB2">
        <w:rPr>
          <w:rFonts w:asciiTheme="majorBidi" w:hAnsiTheme="majorBidi" w:cstheme="majorBidi"/>
          <w:sz w:val="24"/>
          <w:szCs w:val="24"/>
          <w:lang w:val="en-GB"/>
        </w:rPr>
        <w:t>’</w:t>
      </w:r>
      <w:r w:rsidRPr="00507DB2">
        <w:rPr>
          <w:rFonts w:asciiTheme="majorBidi" w:hAnsiTheme="majorBidi" w:cstheme="majorBidi"/>
          <w:sz w:val="24"/>
          <w:szCs w:val="24"/>
          <w:lang w:val="en-GB"/>
        </w:rPr>
        <w:t>s Radical Reform of Long-term Care.</w:t>
      </w:r>
      <w:bookmarkEnd w:id="12"/>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Social Policy &amp; Administration</w:t>
      </w:r>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37</w:t>
      </w:r>
      <w:r w:rsidRPr="00507DB2">
        <w:rPr>
          <w:rFonts w:asciiTheme="majorBidi" w:hAnsiTheme="majorBidi" w:cstheme="majorBidi"/>
          <w:sz w:val="24"/>
          <w:szCs w:val="24"/>
          <w:lang w:val="en-GB"/>
        </w:rPr>
        <w:t xml:space="preserve">(1), 21–34. </w:t>
      </w:r>
      <w:hyperlink r:id="rId12" w:history="1">
        <w:r w:rsidR="00671558" w:rsidRPr="00507DB2">
          <w:rPr>
            <w:rStyle w:val="Hyperlink"/>
            <w:rFonts w:asciiTheme="majorBidi" w:hAnsiTheme="majorBidi" w:cstheme="majorBidi"/>
            <w:sz w:val="24"/>
            <w:szCs w:val="24"/>
            <w:lang w:val="en-GB"/>
          </w:rPr>
          <w:t>https://doi.org/10.1111/1467-9515.00321</w:t>
        </w:r>
      </w:hyperlink>
    </w:p>
    <w:p w14:paraId="4ECED3C9" w14:textId="77777777" w:rsidR="00F63F5D" w:rsidRPr="00507DB2" w:rsidRDefault="00F63F5D" w:rsidP="00F63F5D">
      <w:pPr>
        <w:pStyle w:val="CitaviBibliographyEntry"/>
        <w:rPr>
          <w:rFonts w:asciiTheme="majorBidi" w:hAnsiTheme="majorBidi" w:cstheme="majorBidi"/>
          <w:sz w:val="24"/>
          <w:szCs w:val="24"/>
          <w:lang w:val="en-GB"/>
        </w:rPr>
      </w:pPr>
      <w:bookmarkStart w:id="13" w:name="_CTVL001a6300019aaa24fbfa9b28b3c5cc88a46"/>
      <w:r w:rsidRPr="00507DB2">
        <w:rPr>
          <w:rFonts w:asciiTheme="majorBidi" w:hAnsiTheme="majorBidi" w:cstheme="majorBidi"/>
          <w:sz w:val="24"/>
          <w:szCs w:val="24"/>
          <w:lang w:val="en-GB"/>
        </w:rPr>
        <w:t>Campbell, J. C., &amp; Ikegami, N. (2009). Comprehensive Long- Term Care in Japan and Germany Policy Learning and Cross- National Comparison. In T. R. Marmor, R. Freeman, &amp; K. G. H. Okma (Eds.),</w:t>
      </w:r>
      <w:bookmarkEnd w:id="13"/>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 xml:space="preserve">Comparative studies and the politics of modern medical care </w:t>
      </w:r>
      <w:r w:rsidRPr="00507DB2">
        <w:rPr>
          <w:rFonts w:asciiTheme="majorBidi" w:hAnsiTheme="majorBidi" w:cstheme="majorBidi"/>
          <w:sz w:val="24"/>
          <w:szCs w:val="24"/>
          <w:lang w:val="en-GB"/>
        </w:rPr>
        <w:t>(pp. 265–287). New Haven Conn.: Yale University Press.</w:t>
      </w:r>
    </w:p>
    <w:p w14:paraId="28F499BD" w14:textId="4A8331B4" w:rsidR="00F63F5D" w:rsidRPr="00507DB2" w:rsidRDefault="00F63F5D" w:rsidP="00F63F5D">
      <w:pPr>
        <w:pStyle w:val="CitaviBibliographyEntry"/>
        <w:rPr>
          <w:rFonts w:asciiTheme="majorBidi" w:hAnsiTheme="majorBidi" w:cstheme="majorBidi"/>
          <w:sz w:val="24"/>
          <w:szCs w:val="24"/>
          <w:lang w:val="en-GB"/>
        </w:rPr>
      </w:pPr>
      <w:bookmarkStart w:id="14" w:name="_CTVL00145d2cd3656ed488c9487e1e7bd7f87ce"/>
      <w:r w:rsidRPr="00507DB2">
        <w:rPr>
          <w:rFonts w:asciiTheme="majorBidi" w:hAnsiTheme="majorBidi" w:cstheme="majorBidi"/>
          <w:sz w:val="24"/>
          <w:szCs w:val="24"/>
          <w:lang w:val="en-GB"/>
        </w:rPr>
        <w:t xml:space="preserve">Centrum indicatiestelling zorg (2021). Organisatiestructuur. Retrieved from </w:t>
      </w:r>
      <w:hyperlink r:id="rId13" w:history="1">
        <w:r w:rsidR="00671558" w:rsidRPr="00507DB2">
          <w:rPr>
            <w:rStyle w:val="Hyperlink"/>
            <w:rFonts w:asciiTheme="majorBidi" w:hAnsiTheme="majorBidi" w:cstheme="majorBidi"/>
            <w:sz w:val="24"/>
            <w:szCs w:val="24"/>
            <w:lang w:val="en-GB"/>
          </w:rPr>
          <w:t>https://www.ciz.nl/over-ciz/governance</w:t>
        </w:r>
      </w:hyperlink>
    </w:p>
    <w:p w14:paraId="3D2B1E1E" w14:textId="77777777" w:rsidR="00F63F5D" w:rsidRPr="00507DB2" w:rsidRDefault="00F63F5D" w:rsidP="00F63F5D">
      <w:pPr>
        <w:pStyle w:val="CitaviBibliographyEntry"/>
        <w:rPr>
          <w:rFonts w:asciiTheme="majorBidi" w:hAnsiTheme="majorBidi" w:cstheme="majorBidi"/>
          <w:sz w:val="24"/>
          <w:szCs w:val="24"/>
          <w:lang w:val="en-GB"/>
        </w:rPr>
      </w:pPr>
      <w:bookmarkStart w:id="15" w:name="_CTVL0017f545ab7c10d42e3820c807d1c621575"/>
      <w:bookmarkEnd w:id="14"/>
      <w:r w:rsidRPr="00507DB2">
        <w:rPr>
          <w:rFonts w:asciiTheme="majorBidi" w:hAnsiTheme="majorBidi" w:cstheme="majorBidi"/>
          <w:sz w:val="24"/>
          <w:szCs w:val="24"/>
          <w:lang w:val="de-DE"/>
        </w:rPr>
        <w:t xml:space="preserve">Chernichovsky, D., Koreh, M., Soffer, S., &amp; Avrami, S. (2010). </w:t>
      </w:r>
      <w:r w:rsidRPr="00507DB2">
        <w:rPr>
          <w:rFonts w:asciiTheme="majorBidi" w:hAnsiTheme="majorBidi" w:cstheme="majorBidi"/>
          <w:sz w:val="24"/>
          <w:szCs w:val="24"/>
          <w:lang w:val="en-GB"/>
        </w:rPr>
        <w:t>Long-term Care in Israel: Challenges and Reform Options.</w:t>
      </w:r>
      <w:bookmarkEnd w:id="15"/>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Health Policy</w:t>
      </w:r>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96</w:t>
      </w:r>
      <w:r w:rsidRPr="00507DB2">
        <w:rPr>
          <w:rFonts w:asciiTheme="majorBidi" w:hAnsiTheme="majorBidi" w:cstheme="majorBidi"/>
          <w:sz w:val="24"/>
          <w:szCs w:val="24"/>
          <w:lang w:val="en-GB"/>
        </w:rPr>
        <w:t>(3), 217–225.</w:t>
      </w:r>
    </w:p>
    <w:p w14:paraId="674B8CC6" w14:textId="6631561F" w:rsidR="00F63F5D" w:rsidRPr="00507DB2" w:rsidRDefault="00F63F5D" w:rsidP="00F63F5D">
      <w:pPr>
        <w:pStyle w:val="CitaviBibliographyEntry"/>
        <w:rPr>
          <w:rFonts w:asciiTheme="majorBidi" w:hAnsiTheme="majorBidi" w:cstheme="majorBidi"/>
          <w:sz w:val="24"/>
          <w:szCs w:val="24"/>
          <w:lang w:val="en-GB"/>
        </w:rPr>
      </w:pPr>
      <w:bookmarkStart w:id="16" w:name="_CTVL00108c9d695329c41578e4961ccf5b3cd71"/>
      <w:r w:rsidRPr="00507DB2">
        <w:rPr>
          <w:rFonts w:asciiTheme="majorBidi" w:hAnsiTheme="majorBidi" w:cstheme="majorBidi"/>
          <w:sz w:val="24"/>
          <w:szCs w:val="24"/>
          <w:lang w:val="en-GB"/>
        </w:rPr>
        <w:t>Choi, Y. J. (2014).</w:t>
      </w:r>
      <w:bookmarkEnd w:id="16"/>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 xml:space="preserve">Long term care for older persons in the Republic of Korea: Development, challenges and recommendations </w:t>
      </w:r>
      <w:r w:rsidRPr="00507DB2">
        <w:rPr>
          <w:rFonts w:asciiTheme="majorBidi" w:hAnsiTheme="majorBidi" w:cstheme="majorBidi"/>
          <w:sz w:val="24"/>
          <w:szCs w:val="24"/>
          <w:lang w:val="en-GB"/>
        </w:rPr>
        <w:t xml:space="preserve">(SDD-SPPS Project Worksing Paper Series </w:t>
      </w:r>
      <w:r w:rsidR="00671558" w:rsidRPr="00507DB2">
        <w:rPr>
          <w:rFonts w:asciiTheme="majorBidi" w:hAnsiTheme="majorBidi" w:cstheme="majorBidi"/>
          <w:sz w:val="24"/>
          <w:szCs w:val="24"/>
          <w:lang w:val="en-GB"/>
        </w:rPr>
        <w:t>“</w:t>
      </w:r>
      <w:r w:rsidRPr="00507DB2">
        <w:rPr>
          <w:rFonts w:asciiTheme="majorBidi" w:hAnsiTheme="majorBidi" w:cstheme="majorBidi"/>
          <w:sz w:val="24"/>
          <w:szCs w:val="24"/>
          <w:lang w:val="en-GB"/>
        </w:rPr>
        <w:t>long-term care for older persons in Asia and the Pacific</w:t>
      </w:r>
      <w:r w:rsidR="00671558" w:rsidRPr="00507DB2">
        <w:rPr>
          <w:rFonts w:asciiTheme="majorBidi" w:hAnsiTheme="majorBidi" w:cstheme="majorBidi"/>
          <w:sz w:val="24"/>
          <w:szCs w:val="24"/>
          <w:lang w:val="en-GB"/>
        </w:rPr>
        <w:t>”</w:t>
      </w:r>
      <w:r w:rsidRPr="00507DB2">
        <w:rPr>
          <w:rFonts w:asciiTheme="majorBidi" w:hAnsiTheme="majorBidi" w:cstheme="majorBidi"/>
          <w:sz w:val="24"/>
          <w:szCs w:val="24"/>
          <w:lang w:val="en-GB"/>
        </w:rPr>
        <w:t xml:space="preserve">). Retrieved from </w:t>
      </w:r>
      <w:hyperlink r:id="rId14" w:history="1">
        <w:r w:rsidR="00671558" w:rsidRPr="00507DB2">
          <w:rPr>
            <w:rStyle w:val="Hyperlink"/>
            <w:rFonts w:asciiTheme="majorBidi" w:hAnsiTheme="majorBidi" w:cstheme="majorBidi"/>
            <w:sz w:val="24"/>
            <w:szCs w:val="24"/>
            <w:lang w:val="en-GB"/>
          </w:rPr>
          <w:t>https://www.unescap.org/sites/default/files/Long-term%20care%20for%20older%20persons%20in%20the%20Republic%20of%20Korea.pdf</w:t>
        </w:r>
      </w:hyperlink>
      <w:r w:rsidRPr="00507DB2">
        <w:rPr>
          <w:rFonts w:asciiTheme="majorBidi" w:hAnsiTheme="majorBidi" w:cstheme="majorBidi"/>
          <w:sz w:val="24"/>
          <w:szCs w:val="24"/>
          <w:lang w:val="en-GB"/>
        </w:rPr>
        <w:t xml:space="preserve"> </w:t>
      </w:r>
    </w:p>
    <w:p w14:paraId="034515C3" w14:textId="47DCCF9F" w:rsidR="00F63F5D" w:rsidRPr="00507DB2" w:rsidRDefault="00F63F5D" w:rsidP="00F63F5D">
      <w:pPr>
        <w:pStyle w:val="CitaviBibliographyEntry"/>
        <w:rPr>
          <w:rFonts w:asciiTheme="majorBidi" w:hAnsiTheme="majorBidi" w:cstheme="majorBidi"/>
          <w:sz w:val="24"/>
          <w:szCs w:val="24"/>
          <w:lang w:val="en-GB"/>
        </w:rPr>
      </w:pPr>
      <w:bookmarkStart w:id="17" w:name="_CTVL001ea0f91aa8cc94e2798eb34e799dfa01b"/>
      <w:r w:rsidRPr="00507DB2">
        <w:rPr>
          <w:rFonts w:asciiTheme="majorBidi" w:hAnsiTheme="majorBidi" w:cstheme="majorBidi"/>
          <w:sz w:val="24"/>
          <w:szCs w:val="24"/>
          <w:lang w:val="en-GB"/>
        </w:rPr>
        <w:t>Chon, Y. (2012). Long-term care reform in Korea: lessons from the introduction of Asia</w:t>
      </w:r>
      <w:r w:rsidR="00671558" w:rsidRPr="00507DB2">
        <w:rPr>
          <w:rFonts w:asciiTheme="majorBidi" w:hAnsiTheme="majorBidi" w:cstheme="majorBidi"/>
          <w:sz w:val="24"/>
          <w:szCs w:val="24"/>
          <w:lang w:val="en-GB"/>
        </w:rPr>
        <w:t>’</w:t>
      </w:r>
      <w:r w:rsidRPr="00507DB2">
        <w:rPr>
          <w:rFonts w:asciiTheme="majorBidi" w:hAnsiTheme="majorBidi" w:cstheme="majorBidi"/>
          <w:sz w:val="24"/>
          <w:szCs w:val="24"/>
          <w:lang w:val="en-GB"/>
        </w:rPr>
        <w:t>s second long-term care insurance system.</w:t>
      </w:r>
      <w:bookmarkEnd w:id="17"/>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Asia Pacific Journal of Social Work and Development</w:t>
      </w:r>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22</w:t>
      </w:r>
      <w:r w:rsidRPr="00507DB2">
        <w:rPr>
          <w:rFonts w:asciiTheme="majorBidi" w:hAnsiTheme="majorBidi" w:cstheme="majorBidi"/>
          <w:sz w:val="24"/>
          <w:szCs w:val="24"/>
          <w:lang w:val="en-GB"/>
        </w:rPr>
        <w:t xml:space="preserve">(4), 219–227. </w:t>
      </w:r>
      <w:hyperlink r:id="rId15" w:history="1">
        <w:r w:rsidR="00671558" w:rsidRPr="00507DB2">
          <w:rPr>
            <w:rStyle w:val="Hyperlink"/>
            <w:rFonts w:asciiTheme="majorBidi" w:hAnsiTheme="majorBidi" w:cstheme="majorBidi"/>
            <w:sz w:val="24"/>
            <w:szCs w:val="24"/>
            <w:lang w:val="en-GB"/>
          </w:rPr>
          <w:t>https://doi.org/10.1080/02185385.2012.726422</w:t>
        </w:r>
      </w:hyperlink>
    </w:p>
    <w:p w14:paraId="7E22C631" w14:textId="4F140035" w:rsidR="00F63F5D" w:rsidRPr="00507DB2" w:rsidRDefault="00F63F5D" w:rsidP="00F63F5D">
      <w:pPr>
        <w:pStyle w:val="CitaviBibliographyEntry"/>
        <w:rPr>
          <w:rFonts w:asciiTheme="majorBidi" w:hAnsiTheme="majorBidi" w:cstheme="majorBidi"/>
          <w:sz w:val="24"/>
          <w:szCs w:val="24"/>
          <w:lang w:val="en-GB"/>
        </w:rPr>
      </w:pPr>
      <w:bookmarkStart w:id="18" w:name="_CTVL0014afd52ab9cb2403a95e65f990a0282de"/>
      <w:r w:rsidRPr="00507DB2">
        <w:rPr>
          <w:rFonts w:asciiTheme="majorBidi" w:hAnsiTheme="majorBidi" w:cstheme="majorBidi"/>
          <w:sz w:val="24"/>
          <w:szCs w:val="24"/>
          <w:lang w:val="en-GB"/>
        </w:rPr>
        <w:t>Chon, Y. (2014). The Expansion of the Korean Welfare State and Its Results - Focusing on Long-term Care Insurance for the Elderly.</w:t>
      </w:r>
      <w:bookmarkEnd w:id="18"/>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Social Policy &amp; Administration</w:t>
      </w:r>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48</w:t>
      </w:r>
      <w:r w:rsidRPr="00507DB2">
        <w:rPr>
          <w:rFonts w:asciiTheme="majorBidi" w:hAnsiTheme="majorBidi" w:cstheme="majorBidi"/>
          <w:sz w:val="24"/>
          <w:szCs w:val="24"/>
          <w:lang w:val="en-GB"/>
        </w:rPr>
        <w:t xml:space="preserve">(6), 704–720. </w:t>
      </w:r>
      <w:hyperlink r:id="rId16" w:history="1">
        <w:r w:rsidR="00671558" w:rsidRPr="00507DB2">
          <w:rPr>
            <w:rStyle w:val="Hyperlink"/>
            <w:rFonts w:asciiTheme="majorBidi" w:hAnsiTheme="majorBidi" w:cstheme="majorBidi"/>
            <w:sz w:val="24"/>
            <w:szCs w:val="24"/>
            <w:lang w:val="en-GB"/>
          </w:rPr>
          <w:t>https://doi.org/10.1111/spol.12092</w:t>
        </w:r>
      </w:hyperlink>
    </w:p>
    <w:p w14:paraId="09F25DA7" w14:textId="77777777" w:rsidR="00F63F5D" w:rsidRPr="00507DB2" w:rsidRDefault="00F63F5D" w:rsidP="00F63F5D">
      <w:pPr>
        <w:pStyle w:val="CitaviBibliographyEntry"/>
        <w:rPr>
          <w:rFonts w:asciiTheme="majorBidi" w:hAnsiTheme="majorBidi" w:cstheme="majorBidi"/>
          <w:sz w:val="24"/>
          <w:szCs w:val="24"/>
          <w:lang w:val="en-GB"/>
        </w:rPr>
      </w:pPr>
      <w:bookmarkStart w:id="19" w:name="_CTVL0019f760e20c35c4b1ca2030f89a600401e"/>
      <w:r w:rsidRPr="00507DB2">
        <w:rPr>
          <w:rFonts w:asciiTheme="majorBidi" w:hAnsiTheme="majorBidi" w:cstheme="majorBidi"/>
          <w:sz w:val="24"/>
          <w:szCs w:val="24"/>
          <w:lang w:val="en-GB"/>
        </w:rPr>
        <w:t>Companje, K.‑P. (2014). Financing high medical risks in the Netherlands: Healthcare, social insurance and political compromises. In K.-P. Companje (Ed.),</w:t>
      </w:r>
      <w:bookmarkEnd w:id="19"/>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 xml:space="preserve">History of healthcare insurance: Vol. 5. Financing high medical risks: Discussions, developments, problems and solutions on the coverage of the risk of long-term care in Norway, Germany and the Netherlands since 1945 in European perspective </w:t>
      </w:r>
      <w:r w:rsidRPr="00507DB2">
        <w:rPr>
          <w:rFonts w:asciiTheme="majorBidi" w:hAnsiTheme="majorBidi" w:cstheme="majorBidi"/>
          <w:sz w:val="24"/>
          <w:szCs w:val="24"/>
          <w:lang w:val="en-GB"/>
        </w:rPr>
        <w:t>(pp. 101–175). Amsterdam: Amsterdam University Press.</w:t>
      </w:r>
    </w:p>
    <w:p w14:paraId="08AC6F48" w14:textId="77777777" w:rsidR="00F63F5D" w:rsidRPr="00507DB2" w:rsidRDefault="00F63F5D" w:rsidP="00F63F5D">
      <w:pPr>
        <w:pStyle w:val="CitaviBibliographyEntry"/>
        <w:rPr>
          <w:rFonts w:asciiTheme="majorBidi" w:hAnsiTheme="majorBidi" w:cstheme="majorBidi"/>
          <w:sz w:val="24"/>
          <w:szCs w:val="24"/>
          <w:lang w:val="en-GB"/>
        </w:rPr>
      </w:pPr>
      <w:bookmarkStart w:id="20" w:name="_CTVL001b928e03abb8041cca1ada17f12933f18"/>
      <w:r w:rsidRPr="00507DB2">
        <w:rPr>
          <w:rFonts w:asciiTheme="majorBidi" w:hAnsiTheme="majorBidi" w:cstheme="majorBidi"/>
          <w:sz w:val="24"/>
          <w:szCs w:val="24"/>
          <w:lang w:val="en-GB"/>
        </w:rPr>
        <w:t>Da Roit, B. (2013). Long-Term Care Reforms in the Netherlands. In C. Ranci &amp; E. Pavolini (Eds.),</w:t>
      </w:r>
      <w:bookmarkEnd w:id="20"/>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 xml:space="preserve">Reforms in Long-Term Care Policies in Europe: Investigating Institutional Change and Social Impacts </w:t>
      </w:r>
      <w:r w:rsidRPr="00507DB2">
        <w:rPr>
          <w:rFonts w:asciiTheme="majorBidi" w:hAnsiTheme="majorBidi" w:cstheme="majorBidi"/>
          <w:sz w:val="24"/>
          <w:szCs w:val="24"/>
          <w:lang w:val="en-GB"/>
        </w:rPr>
        <w:t>(pp. 97–115). New York, NY: Springer.</w:t>
      </w:r>
    </w:p>
    <w:p w14:paraId="68D30A48" w14:textId="7E6A65EB" w:rsidR="00F63F5D" w:rsidRPr="00507DB2" w:rsidRDefault="00F63F5D" w:rsidP="00F63F5D">
      <w:pPr>
        <w:pStyle w:val="CitaviBibliographyEntry"/>
        <w:rPr>
          <w:rFonts w:asciiTheme="majorBidi" w:hAnsiTheme="majorBidi" w:cstheme="majorBidi"/>
          <w:sz w:val="24"/>
          <w:szCs w:val="24"/>
          <w:lang w:val="en-GB"/>
        </w:rPr>
      </w:pPr>
      <w:bookmarkStart w:id="21" w:name="_CTVL001cbf1a26f411548f89f47809df34f6d25"/>
      <w:r w:rsidRPr="00507DB2">
        <w:rPr>
          <w:rFonts w:asciiTheme="majorBidi" w:hAnsiTheme="majorBidi" w:cstheme="majorBidi"/>
          <w:sz w:val="24"/>
          <w:szCs w:val="24"/>
          <w:lang w:val="en-GB"/>
        </w:rPr>
        <w:lastRenderedPageBreak/>
        <w:t>Deken, J. de, &amp; Maarse, H. (2014).</w:t>
      </w:r>
      <w:bookmarkEnd w:id="21"/>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 xml:space="preserve">Pensions, Health and Long-term Care: The Netherlands: Update 2014 </w:t>
      </w:r>
      <w:r w:rsidRPr="00507DB2">
        <w:rPr>
          <w:rFonts w:asciiTheme="majorBidi" w:hAnsiTheme="majorBidi" w:cstheme="majorBidi"/>
          <w:sz w:val="24"/>
          <w:szCs w:val="24"/>
          <w:lang w:val="en-GB"/>
        </w:rPr>
        <w:t xml:space="preserve">(Analytical support on social protection reforms and their socio-economic impact (asisp)). Retrieved from </w:t>
      </w:r>
      <w:hyperlink r:id="rId17" w:history="1">
        <w:r w:rsidR="00671558" w:rsidRPr="00507DB2">
          <w:rPr>
            <w:rStyle w:val="Hyperlink"/>
            <w:rFonts w:asciiTheme="majorBidi" w:hAnsiTheme="majorBidi" w:cstheme="majorBidi"/>
            <w:sz w:val="24"/>
            <w:szCs w:val="24"/>
            <w:lang w:val="en-GB"/>
          </w:rPr>
          <w:t>http://ec.europa.eu/social/BlobServlet?docId=12976&amp;langId=en</w:t>
        </w:r>
      </w:hyperlink>
      <w:r w:rsidRPr="00507DB2">
        <w:rPr>
          <w:rFonts w:asciiTheme="majorBidi" w:hAnsiTheme="majorBidi" w:cstheme="majorBidi"/>
          <w:sz w:val="24"/>
          <w:szCs w:val="24"/>
          <w:lang w:val="en-GB"/>
        </w:rPr>
        <w:t xml:space="preserve"> </w:t>
      </w:r>
    </w:p>
    <w:p w14:paraId="6456F575" w14:textId="77777777" w:rsidR="00F63F5D" w:rsidRPr="00507DB2" w:rsidRDefault="00F63F5D" w:rsidP="00F63F5D">
      <w:pPr>
        <w:pStyle w:val="CitaviBibliographyEntry"/>
        <w:rPr>
          <w:rFonts w:asciiTheme="majorBidi" w:hAnsiTheme="majorBidi" w:cstheme="majorBidi"/>
          <w:sz w:val="24"/>
          <w:szCs w:val="24"/>
          <w:lang w:val="en-GB"/>
        </w:rPr>
      </w:pPr>
      <w:bookmarkStart w:id="22" w:name="_CTVL00142c657079d404dc79de0ab6eab1429fd"/>
      <w:r w:rsidRPr="00507DB2">
        <w:rPr>
          <w:rFonts w:asciiTheme="majorBidi" w:hAnsiTheme="majorBidi" w:cstheme="majorBidi"/>
          <w:sz w:val="24"/>
          <w:szCs w:val="24"/>
          <w:lang w:val="en-GB"/>
        </w:rPr>
        <w:t>Dijkhoff, T. (2018). Long-Term Care in the Netherlands. In U. Becker &amp; H.-J. Reinhard (Eds.),</w:t>
      </w:r>
      <w:bookmarkEnd w:id="22"/>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Long-Term Care in Europe. A Juridical Approach</w:t>
      </w:r>
      <w:r w:rsidRPr="00507DB2">
        <w:rPr>
          <w:rFonts w:asciiTheme="majorBidi" w:hAnsiTheme="majorBidi" w:cstheme="majorBidi"/>
          <w:sz w:val="24"/>
          <w:szCs w:val="24"/>
          <w:lang w:val="en-GB"/>
        </w:rPr>
        <w:t>. Cham: Springer International Publishing.</w:t>
      </w:r>
    </w:p>
    <w:p w14:paraId="6CC9A1A0" w14:textId="5C9C5296" w:rsidR="00F63F5D" w:rsidRPr="00507DB2" w:rsidRDefault="00F63F5D" w:rsidP="00F63F5D">
      <w:pPr>
        <w:pStyle w:val="CitaviBibliographyEntry"/>
        <w:rPr>
          <w:rFonts w:asciiTheme="majorBidi" w:hAnsiTheme="majorBidi" w:cstheme="majorBidi"/>
          <w:sz w:val="24"/>
          <w:szCs w:val="24"/>
          <w:lang w:val="en-GB"/>
        </w:rPr>
      </w:pPr>
      <w:bookmarkStart w:id="23" w:name="_CTVL001aaaba73c171d4281a8f782238fe86c74"/>
      <w:r w:rsidRPr="00507DB2">
        <w:rPr>
          <w:rFonts w:asciiTheme="majorBidi" w:hAnsiTheme="majorBidi" w:cstheme="majorBidi"/>
          <w:sz w:val="24"/>
          <w:szCs w:val="24"/>
          <w:lang w:val="en-GB"/>
        </w:rPr>
        <w:t>European Commission (2016).</w:t>
      </w:r>
      <w:bookmarkEnd w:id="23"/>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 xml:space="preserve">The Netherlands: Health Care &amp; Long-Term Care Systems: An excerpt from The Joint Report on Health Care and Long-Term Care Systems &amp; Fiscal Sustainability </w:t>
      </w:r>
      <w:r w:rsidRPr="00507DB2">
        <w:rPr>
          <w:rFonts w:asciiTheme="majorBidi" w:hAnsiTheme="majorBidi" w:cstheme="majorBidi"/>
          <w:sz w:val="24"/>
          <w:szCs w:val="24"/>
          <w:lang w:val="en-GB"/>
        </w:rPr>
        <w:t xml:space="preserve">(Institutional Papers No. 37/2). Retrieved from </w:t>
      </w:r>
      <w:hyperlink r:id="rId18" w:history="1">
        <w:r w:rsidR="00671558" w:rsidRPr="00507DB2">
          <w:rPr>
            <w:rStyle w:val="Hyperlink"/>
            <w:rFonts w:asciiTheme="majorBidi" w:hAnsiTheme="majorBidi" w:cstheme="majorBidi"/>
            <w:sz w:val="24"/>
            <w:szCs w:val="24"/>
            <w:lang w:val="en-GB"/>
          </w:rPr>
          <w:t>https://ec.europa.eu/info/sites/default/files/file_import/joint-report_nl_en_2.pdf</w:t>
        </w:r>
      </w:hyperlink>
      <w:r w:rsidRPr="00507DB2">
        <w:rPr>
          <w:rFonts w:asciiTheme="majorBidi" w:hAnsiTheme="majorBidi" w:cstheme="majorBidi"/>
          <w:sz w:val="24"/>
          <w:szCs w:val="24"/>
          <w:lang w:val="en-GB"/>
        </w:rPr>
        <w:t xml:space="preserve"> </w:t>
      </w:r>
    </w:p>
    <w:p w14:paraId="4D5C9356" w14:textId="77777777" w:rsidR="00507DB2" w:rsidRPr="00507DB2" w:rsidRDefault="00F63F5D" w:rsidP="00507DB2">
      <w:pPr>
        <w:pStyle w:val="CitaviBibliographyEntry"/>
        <w:rPr>
          <w:rFonts w:asciiTheme="majorBidi" w:hAnsiTheme="majorBidi" w:cstheme="majorBidi"/>
          <w:sz w:val="24"/>
          <w:szCs w:val="24"/>
          <w:lang w:val="de-DE"/>
        </w:rPr>
      </w:pPr>
      <w:bookmarkStart w:id="24" w:name="_CTVL00121984af65495459faa94521bf6317720"/>
      <w:r w:rsidRPr="00507DB2">
        <w:rPr>
          <w:rFonts w:asciiTheme="majorBidi" w:hAnsiTheme="majorBidi" w:cstheme="majorBidi"/>
          <w:sz w:val="24"/>
          <w:szCs w:val="24"/>
          <w:lang w:val="en-GB"/>
        </w:rPr>
        <w:t>Evers, A. (1998). The New Long-Term Care Insurance Program in Germany.</w:t>
      </w:r>
      <w:bookmarkEnd w:id="24"/>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Journal of Aging &amp; Social Policy</w:t>
      </w:r>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10</w:t>
      </w:r>
      <w:r w:rsidRPr="00507DB2">
        <w:rPr>
          <w:rFonts w:asciiTheme="majorBidi" w:hAnsiTheme="majorBidi" w:cstheme="majorBidi"/>
          <w:sz w:val="24"/>
          <w:szCs w:val="24"/>
          <w:lang w:val="en-GB"/>
        </w:rPr>
        <w:t xml:space="preserve">(1), 1–22. </w:t>
      </w:r>
      <w:hyperlink r:id="rId19" w:history="1">
        <w:r w:rsidR="00671558" w:rsidRPr="00507DB2">
          <w:rPr>
            <w:rStyle w:val="Hyperlink"/>
            <w:rFonts w:asciiTheme="majorBidi" w:hAnsiTheme="majorBidi" w:cstheme="majorBidi"/>
            <w:sz w:val="24"/>
            <w:szCs w:val="24"/>
            <w:lang w:val="de-DE"/>
          </w:rPr>
          <w:t>https://doi.org/10.1300/J031v10n01_05</w:t>
        </w:r>
      </w:hyperlink>
    </w:p>
    <w:p w14:paraId="35884232" w14:textId="485DB103" w:rsidR="00507DB2" w:rsidRPr="00507DB2" w:rsidRDefault="00507DB2" w:rsidP="00507DB2">
      <w:pPr>
        <w:pStyle w:val="CitaviBibliographyEntry"/>
        <w:rPr>
          <w:rFonts w:asciiTheme="majorBidi" w:hAnsiTheme="majorBidi" w:cstheme="majorBidi"/>
          <w:sz w:val="24"/>
          <w:szCs w:val="24"/>
          <w:lang w:val="de-DE"/>
        </w:rPr>
      </w:pPr>
      <w:r w:rsidRPr="00507DB2">
        <w:rPr>
          <w:rFonts w:asciiTheme="majorBidi" w:hAnsiTheme="majorBidi" w:cstheme="majorBidi"/>
          <w:sz w:val="24"/>
          <w:szCs w:val="24"/>
          <w:lang w:val="de-DE"/>
        </w:rPr>
        <w:t>Gesetz zur sozialen Absicherung des Risikos der Pflegebedürftigkeit (Pflege-Versicherungsgesetz – PflegeVG) [Long-Term Care Insurance Act] 26.05.1994. Bundesgesetzblatt Jahrgang 1994, Teil I Nr. 30.</w:t>
      </w:r>
    </w:p>
    <w:p w14:paraId="6D5E0CA1" w14:textId="20F1414F" w:rsidR="00F63F5D" w:rsidRPr="00507DB2" w:rsidRDefault="00F63F5D" w:rsidP="00F63F5D">
      <w:pPr>
        <w:pStyle w:val="CitaviBibliographyEntry"/>
        <w:rPr>
          <w:rFonts w:asciiTheme="majorBidi" w:hAnsiTheme="majorBidi" w:cstheme="majorBidi"/>
          <w:sz w:val="24"/>
          <w:szCs w:val="24"/>
          <w:lang w:val="en-GB"/>
        </w:rPr>
      </w:pPr>
      <w:bookmarkStart w:id="25" w:name="_CTVL001addf01b2fb474e348fdccf52a41d1f9a"/>
      <w:r w:rsidRPr="00507DB2">
        <w:rPr>
          <w:rFonts w:asciiTheme="majorBidi" w:hAnsiTheme="majorBidi" w:cstheme="majorBidi"/>
          <w:sz w:val="24"/>
          <w:szCs w:val="24"/>
          <w:lang w:val="en-GB"/>
        </w:rPr>
        <w:t>Gingrich, J. R. (2011).</w:t>
      </w:r>
      <w:bookmarkEnd w:id="25"/>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Making Markets in the Welfare State: The Politics of Varying Market Reforms</w:t>
      </w:r>
      <w:r w:rsidRPr="00507DB2">
        <w:rPr>
          <w:rFonts w:asciiTheme="majorBidi" w:hAnsiTheme="majorBidi" w:cstheme="majorBidi"/>
          <w:sz w:val="24"/>
          <w:szCs w:val="24"/>
          <w:lang w:val="en-GB"/>
        </w:rPr>
        <w:t xml:space="preserve">: Cambridge University Press. Retrieved from </w:t>
      </w:r>
      <w:hyperlink r:id="rId20" w:history="1">
        <w:r w:rsidR="00671558" w:rsidRPr="00507DB2">
          <w:rPr>
            <w:rStyle w:val="Hyperlink"/>
            <w:rFonts w:asciiTheme="majorBidi" w:hAnsiTheme="majorBidi" w:cstheme="majorBidi"/>
            <w:sz w:val="24"/>
            <w:szCs w:val="24"/>
            <w:lang w:val="en-GB"/>
          </w:rPr>
          <w:t>https://www.cambridge.org/core/books/making-markets-in-the-welfare-state/D7DD02DB50BB0C8A346E21168BD27E3B#fndtn-contents</w:t>
        </w:r>
      </w:hyperlink>
      <w:r w:rsidRPr="00507DB2">
        <w:rPr>
          <w:rFonts w:asciiTheme="majorBidi" w:hAnsiTheme="majorBidi" w:cstheme="majorBidi"/>
          <w:sz w:val="24"/>
          <w:szCs w:val="24"/>
          <w:lang w:val="en-GB"/>
        </w:rPr>
        <w:t xml:space="preserve"> </w:t>
      </w:r>
    </w:p>
    <w:p w14:paraId="7876F51D" w14:textId="77777777" w:rsidR="00F63F5D" w:rsidRPr="00507DB2" w:rsidRDefault="00F63F5D" w:rsidP="00F63F5D">
      <w:pPr>
        <w:pStyle w:val="CitaviBibliographyEntry"/>
        <w:rPr>
          <w:rFonts w:asciiTheme="majorBidi" w:hAnsiTheme="majorBidi" w:cstheme="majorBidi"/>
          <w:sz w:val="24"/>
          <w:szCs w:val="24"/>
          <w:lang w:val="en-GB"/>
        </w:rPr>
      </w:pPr>
      <w:bookmarkStart w:id="26" w:name="_CTVL0010284fd4f8db2409782b19b9482583238"/>
      <w:r w:rsidRPr="00507DB2">
        <w:rPr>
          <w:rFonts w:asciiTheme="majorBidi" w:hAnsiTheme="majorBidi" w:cstheme="majorBidi"/>
          <w:sz w:val="24"/>
          <w:szCs w:val="24"/>
          <w:lang w:val="en-GB"/>
        </w:rPr>
        <w:t>Götze, R., &amp; Rothgang, H. (2014). Fiscal and social policy: Financing long-term care in Germany. In K.-P. Companje (Ed.),</w:t>
      </w:r>
      <w:bookmarkEnd w:id="26"/>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 xml:space="preserve">History of healthcare insurance: Vol. 5. Financing high medical risks: Discussions, developments, problems and solutions on the coverage of the risk of long-term care in Norway, Germany and the Netherlands since 1945 in European perspective </w:t>
      </w:r>
      <w:r w:rsidRPr="00507DB2">
        <w:rPr>
          <w:rFonts w:asciiTheme="majorBidi" w:hAnsiTheme="majorBidi" w:cstheme="majorBidi"/>
          <w:sz w:val="24"/>
          <w:szCs w:val="24"/>
          <w:lang w:val="en-GB"/>
        </w:rPr>
        <w:t>(pp. 63–100). Amsterdam: Amsterdam University Press.</w:t>
      </w:r>
    </w:p>
    <w:p w14:paraId="2924522A" w14:textId="3BC05914" w:rsidR="00F63F5D" w:rsidRPr="00507DB2" w:rsidRDefault="00F63F5D" w:rsidP="00F63F5D">
      <w:pPr>
        <w:pStyle w:val="CitaviBibliographyEntry"/>
        <w:rPr>
          <w:rFonts w:asciiTheme="majorBidi" w:hAnsiTheme="majorBidi" w:cstheme="majorBidi"/>
          <w:sz w:val="24"/>
          <w:szCs w:val="24"/>
          <w:lang w:val="en-GB"/>
        </w:rPr>
      </w:pPr>
      <w:bookmarkStart w:id="27" w:name="_CTVL0017346b18977774f1e8ecc66339de1b751"/>
      <w:r w:rsidRPr="00507DB2">
        <w:rPr>
          <w:rFonts w:asciiTheme="majorBidi" w:hAnsiTheme="majorBidi" w:cstheme="majorBidi"/>
          <w:sz w:val="24"/>
          <w:szCs w:val="24"/>
          <w:lang w:val="en-GB"/>
        </w:rPr>
        <w:t>Hasson, Y., &amp; Buzaglo, N. D. (2019).</w:t>
      </w:r>
      <w:bookmarkEnd w:id="27"/>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The Care Deficit in Israel: What is means and how it can be reduced</w:t>
      </w:r>
      <w:r w:rsidRPr="00507DB2">
        <w:rPr>
          <w:rFonts w:asciiTheme="majorBidi" w:hAnsiTheme="majorBidi" w:cstheme="majorBidi"/>
          <w:sz w:val="24"/>
          <w:szCs w:val="24"/>
          <w:lang w:val="en-GB"/>
        </w:rPr>
        <w:t xml:space="preserve">. Retrieved from </w:t>
      </w:r>
      <w:hyperlink r:id="rId21" w:history="1">
        <w:r w:rsidR="00671558" w:rsidRPr="00507DB2">
          <w:rPr>
            <w:rStyle w:val="Hyperlink"/>
            <w:rFonts w:asciiTheme="majorBidi" w:hAnsiTheme="majorBidi" w:cstheme="majorBidi"/>
            <w:sz w:val="24"/>
            <w:szCs w:val="24"/>
            <w:lang w:val="en-GB"/>
          </w:rPr>
          <w:t>https://adva.org/wp-content/uploads/2019/03/Care-Deficit-EN.pdf</w:t>
        </w:r>
      </w:hyperlink>
      <w:r w:rsidRPr="00507DB2">
        <w:rPr>
          <w:rFonts w:asciiTheme="majorBidi" w:hAnsiTheme="majorBidi" w:cstheme="majorBidi"/>
          <w:sz w:val="24"/>
          <w:szCs w:val="24"/>
          <w:lang w:val="en-GB"/>
        </w:rPr>
        <w:t xml:space="preserve"> </w:t>
      </w:r>
    </w:p>
    <w:p w14:paraId="22840B95" w14:textId="77777777" w:rsidR="00F63F5D" w:rsidRPr="00507DB2" w:rsidRDefault="00F63F5D" w:rsidP="00F63F5D">
      <w:pPr>
        <w:pStyle w:val="CitaviBibliographyEntry"/>
        <w:rPr>
          <w:rFonts w:asciiTheme="majorBidi" w:hAnsiTheme="majorBidi" w:cstheme="majorBidi"/>
          <w:sz w:val="24"/>
          <w:szCs w:val="24"/>
          <w:lang w:val="en-GB"/>
        </w:rPr>
      </w:pPr>
      <w:bookmarkStart w:id="28" w:name="_CTVL00125450566a8cd42c891dcbf65af7d0590"/>
      <w:r w:rsidRPr="00507DB2">
        <w:rPr>
          <w:rFonts w:asciiTheme="majorBidi" w:hAnsiTheme="majorBidi" w:cstheme="majorBidi"/>
          <w:sz w:val="24"/>
          <w:szCs w:val="24"/>
          <w:lang w:val="en-GB"/>
        </w:rPr>
        <w:t>Iecovich, E. (2012). The Long-term Care Insurance Law in Israel: Present and Future.</w:t>
      </w:r>
      <w:bookmarkEnd w:id="28"/>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Journal of Aging &amp; Social Policy</w:t>
      </w:r>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24</w:t>
      </w:r>
      <w:r w:rsidRPr="00507DB2">
        <w:rPr>
          <w:rFonts w:asciiTheme="majorBidi" w:hAnsiTheme="majorBidi" w:cstheme="majorBidi"/>
          <w:sz w:val="24"/>
          <w:szCs w:val="24"/>
          <w:lang w:val="en-GB"/>
        </w:rPr>
        <w:t>(1), 77–92.</w:t>
      </w:r>
    </w:p>
    <w:p w14:paraId="65A3624D" w14:textId="2977E4FF" w:rsidR="00F63F5D" w:rsidRPr="00507DB2" w:rsidRDefault="00F63F5D" w:rsidP="00F63F5D">
      <w:pPr>
        <w:pStyle w:val="CitaviBibliographyEntry"/>
        <w:rPr>
          <w:rFonts w:asciiTheme="majorBidi" w:hAnsiTheme="majorBidi" w:cstheme="majorBidi"/>
          <w:sz w:val="24"/>
          <w:szCs w:val="24"/>
          <w:lang w:val="en-GB"/>
        </w:rPr>
      </w:pPr>
      <w:bookmarkStart w:id="29" w:name="_CTVL001f79b00cae6d64f918643eda2323d6665"/>
      <w:r w:rsidRPr="00507DB2">
        <w:rPr>
          <w:rFonts w:asciiTheme="majorBidi" w:hAnsiTheme="majorBidi" w:cstheme="majorBidi"/>
          <w:sz w:val="24"/>
          <w:szCs w:val="24"/>
          <w:lang w:val="en-GB"/>
        </w:rPr>
        <w:t>Ikegami, N. (2019). Financing Long-term Care: Lessons From Japan.</w:t>
      </w:r>
      <w:bookmarkEnd w:id="29"/>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International Journal of Health Policy and Management</w:t>
      </w:r>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8</w:t>
      </w:r>
      <w:r w:rsidRPr="00507DB2">
        <w:rPr>
          <w:rFonts w:asciiTheme="majorBidi" w:hAnsiTheme="majorBidi" w:cstheme="majorBidi"/>
          <w:sz w:val="24"/>
          <w:szCs w:val="24"/>
          <w:lang w:val="en-GB"/>
        </w:rPr>
        <w:t xml:space="preserve">(8), 462–466. </w:t>
      </w:r>
      <w:hyperlink r:id="rId22" w:history="1">
        <w:r w:rsidR="00671558" w:rsidRPr="00507DB2">
          <w:rPr>
            <w:rStyle w:val="Hyperlink"/>
            <w:rFonts w:asciiTheme="majorBidi" w:hAnsiTheme="majorBidi" w:cstheme="majorBidi"/>
            <w:sz w:val="24"/>
            <w:szCs w:val="24"/>
            <w:lang w:val="en-GB"/>
          </w:rPr>
          <w:t>https://doi.org/10.15171/ijhpm.2019.35</w:t>
        </w:r>
      </w:hyperlink>
    </w:p>
    <w:p w14:paraId="682C9C32" w14:textId="14F46373" w:rsidR="00F63F5D" w:rsidRPr="00507DB2" w:rsidRDefault="00F63F5D" w:rsidP="00F63F5D">
      <w:pPr>
        <w:pStyle w:val="CitaviBibliographyEntry"/>
        <w:rPr>
          <w:rFonts w:asciiTheme="majorBidi" w:hAnsiTheme="majorBidi" w:cstheme="majorBidi"/>
          <w:sz w:val="24"/>
          <w:szCs w:val="24"/>
          <w:lang w:val="en-GB"/>
        </w:rPr>
      </w:pPr>
      <w:bookmarkStart w:id="30" w:name="_CTVL001349d0665ba3747f38b87d6002e29a9d3"/>
      <w:r w:rsidRPr="00507DB2">
        <w:rPr>
          <w:rFonts w:asciiTheme="majorBidi" w:hAnsiTheme="majorBidi" w:cstheme="majorBidi"/>
          <w:sz w:val="24"/>
          <w:szCs w:val="24"/>
          <w:lang w:val="en-GB"/>
        </w:rPr>
        <w:t>Ikegami, N. (2021).</w:t>
      </w:r>
      <w:bookmarkEnd w:id="30"/>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Case study: Japan</w:t>
      </w:r>
      <w:r w:rsidRPr="00507DB2">
        <w:rPr>
          <w:rFonts w:asciiTheme="majorBidi" w:hAnsiTheme="majorBidi" w:cstheme="majorBidi"/>
          <w:sz w:val="24"/>
          <w:szCs w:val="24"/>
          <w:lang w:val="en-GB"/>
        </w:rPr>
        <w:t xml:space="preserve">. (prepublication draft) (Price setting long-term care for older persons). Retrieved from </w:t>
      </w:r>
      <w:hyperlink r:id="rId23" w:history="1">
        <w:r w:rsidR="00671558" w:rsidRPr="00507DB2">
          <w:rPr>
            <w:rStyle w:val="Hyperlink"/>
            <w:rFonts w:asciiTheme="majorBidi" w:hAnsiTheme="majorBidi" w:cstheme="majorBidi"/>
            <w:sz w:val="24"/>
            <w:szCs w:val="24"/>
            <w:lang w:val="en-GB"/>
          </w:rPr>
          <w:t>https://extranet.who.int/kobe_centre/en/project-details/pricesetting2</w:t>
        </w:r>
      </w:hyperlink>
      <w:r w:rsidRPr="00507DB2">
        <w:rPr>
          <w:rFonts w:asciiTheme="majorBidi" w:hAnsiTheme="majorBidi" w:cstheme="majorBidi"/>
          <w:sz w:val="24"/>
          <w:szCs w:val="24"/>
          <w:lang w:val="en-GB"/>
        </w:rPr>
        <w:t xml:space="preserve"> </w:t>
      </w:r>
    </w:p>
    <w:p w14:paraId="2E237491" w14:textId="7CFE8828" w:rsidR="00F63F5D" w:rsidRPr="00507DB2" w:rsidRDefault="00F63F5D" w:rsidP="00F63F5D">
      <w:pPr>
        <w:pStyle w:val="CitaviBibliographyEntry"/>
        <w:rPr>
          <w:rFonts w:asciiTheme="majorBidi" w:hAnsiTheme="majorBidi" w:cstheme="majorBidi"/>
          <w:sz w:val="24"/>
          <w:szCs w:val="24"/>
          <w:lang w:val="en-GB"/>
        </w:rPr>
      </w:pPr>
      <w:bookmarkStart w:id="31" w:name="_CTVL0016e2e28f301c244abbc5f0e239c19d831"/>
      <w:r w:rsidRPr="00507DB2">
        <w:rPr>
          <w:rFonts w:asciiTheme="majorBidi" w:hAnsiTheme="majorBidi" w:cstheme="majorBidi"/>
          <w:sz w:val="24"/>
          <w:szCs w:val="24"/>
          <w:lang w:val="en-GB"/>
        </w:rPr>
        <w:t>Jeon, B., &amp; Kwon, S. (2017). Health and Long-Term Care Systems for Older People in the Republic of Korea: Policy Challenges and Lessons.</w:t>
      </w:r>
      <w:bookmarkEnd w:id="31"/>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Health Systems &amp; Reform</w:t>
      </w:r>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3</w:t>
      </w:r>
      <w:r w:rsidRPr="00507DB2">
        <w:rPr>
          <w:rFonts w:asciiTheme="majorBidi" w:hAnsiTheme="majorBidi" w:cstheme="majorBidi"/>
          <w:sz w:val="24"/>
          <w:szCs w:val="24"/>
          <w:lang w:val="en-GB"/>
        </w:rPr>
        <w:t xml:space="preserve">(3), 214–223. </w:t>
      </w:r>
      <w:hyperlink r:id="rId24" w:history="1">
        <w:r w:rsidR="00671558" w:rsidRPr="00507DB2">
          <w:rPr>
            <w:rStyle w:val="Hyperlink"/>
            <w:rFonts w:asciiTheme="majorBidi" w:hAnsiTheme="majorBidi" w:cstheme="majorBidi"/>
            <w:sz w:val="24"/>
            <w:szCs w:val="24"/>
            <w:lang w:val="en-GB"/>
          </w:rPr>
          <w:t>https://doi.org/10.1080/23288604.2017.1345052</w:t>
        </w:r>
      </w:hyperlink>
    </w:p>
    <w:p w14:paraId="369909FB" w14:textId="09A04F81" w:rsidR="00F63F5D" w:rsidRPr="00507DB2" w:rsidRDefault="00F63F5D" w:rsidP="00F63F5D">
      <w:pPr>
        <w:pStyle w:val="CitaviBibliographyEntry"/>
        <w:rPr>
          <w:rFonts w:asciiTheme="majorBidi" w:hAnsiTheme="majorBidi" w:cstheme="majorBidi"/>
          <w:sz w:val="24"/>
          <w:szCs w:val="24"/>
          <w:lang w:val="en-GB"/>
        </w:rPr>
      </w:pPr>
      <w:bookmarkStart w:id="32" w:name="_CTVL001dac1cb10ca7d47f1ab3b0db25ccc578a"/>
      <w:r w:rsidRPr="00507DB2">
        <w:rPr>
          <w:rFonts w:asciiTheme="majorBidi" w:hAnsiTheme="majorBidi" w:cstheme="majorBidi"/>
          <w:sz w:val="24"/>
          <w:szCs w:val="24"/>
          <w:lang w:val="en-GB"/>
        </w:rPr>
        <w:t>Kelders, Y., &amp; De Vaan, K. (2018).</w:t>
      </w:r>
      <w:bookmarkEnd w:id="32"/>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 xml:space="preserve">ESPN Thematic Report on Challenges in Long-term Care: Netherlands </w:t>
      </w:r>
      <w:r w:rsidRPr="00507DB2">
        <w:rPr>
          <w:rFonts w:asciiTheme="majorBidi" w:hAnsiTheme="majorBidi" w:cstheme="majorBidi"/>
          <w:sz w:val="24"/>
          <w:szCs w:val="24"/>
          <w:lang w:val="en-GB"/>
        </w:rPr>
        <w:t xml:space="preserve">(ESPN Thematic Report). Brussels. Retrieved from </w:t>
      </w:r>
      <w:hyperlink r:id="rId25" w:history="1">
        <w:r w:rsidR="00671558" w:rsidRPr="00507DB2">
          <w:rPr>
            <w:rStyle w:val="Hyperlink"/>
            <w:rFonts w:asciiTheme="majorBidi" w:hAnsiTheme="majorBidi" w:cstheme="majorBidi"/>
            <w:sz w:val="24"/>
            <w:szCs w:val="24"/>
            <w:lang w:val="en-GB"/>
          </w:rPr>
          <w:t>https://ec.europa.eu/social/BlobServlet?docId=19861&amp;langId=en</w:t>
        </w:r>
      </w:hyperlink>
      <w:r w:rsidRPr="00507DB2">
        <w:rPr>
          <w:rFonts w:asciiTheme="majorBidi" w:hAnsiTheme="majorBidi" w:cstheme="majorBidi"/>
          <w:sz w:val="24"/>
          <w:szCs w:val="24"/>
          <w:lang w:val="en-GB"/>
        </w:rPr>
        <w:t xml:space="preserve"> </w:t>
      </w:r>
    </w:p>
    <w:p w14:paraId="15A35643" w14:textId="77777777" w:rsidR="00F63F5D" w:rsidRPr="00507DB2" w:rsidRDefault="00F63F5D" w:rsidP="00F63F5D">
      <w:pPr>
        <w:pStyle w:val="CitaviBibliographyEntry"/>
        <w:rPr>
          <w:rFonts w:asciiTheme="majorBidi" w:hAnsiTheme="majorBidi" w:cstheme="majorBidi"/>
          <w:sz w:val="24"/>
          <w:szCs w:val="24"/>
          <w:lang w:val="en-GB"/>
        </w:rPr>
      </w:pPr>
      <w:bookmarkStart w:id="33" w:name="_CTVL0013215e8dcd9094942a498808ed2b54543"/>
      <w:r w:rsidRPr="00507DB2">
        <w:rPr>
          <w:rFonts w:asciiTheme="majorBidi" w:hAnsiTheme="majorBidi" w:cstheme="majorBidi"/>
          <w:sz w:val="24"/>
          <w:szCs w:val="24"/>
          <w:lang w:val="de-DE"/>
        </w:rPr>
        <w:lastRenderedPageBreak/>
        <w:t>Kerschen, N. (2008). Entwicklungspfade von den Ursprüngen hin zu Europa: Das luxemburgische Wohlfahrtssystem. In K. Schubert, S. Hegelich, &amp; U. Bazant (Eds.),</w:t>
      </w:r>
      <w:bookmarkEnd w:id="33"/>
      <w:r w:rsidRPr="00507DB2">
        <w:rPr>
          <w:rFonts w:asciiTheme="majorBidi" w:hAnsiTheme="majorBidi" w:cstheme="majorBidi"/>
          <w:sz w:val="24"/>
          <w:szCs w:val="24"/>
          <w:lang w:val="de-DE"/>
        </w:rPr>
        <w:t xml:space="preserve"> </w:t>
      </w:r>
      <w:r w:rsidRPr="00507DB2">
        <w:rPr>
          <w:rFonts w:asciiTheme="majorBidi" w:hAnsiTheme="majorBidi" w:cstheme="majorBidi"/>
          <w:i/>
          <w:sz w:val="24"/>
          <w:szCs w:val="24"/>
          <w:lang w:val="de-DE"/>
        </w:rPr>
        <w:t xml:space="preserve">Europäische Wohlfahrtssysteme: Ein Handbuch </w:t>
      </w:r>
      <w:r w:rsidRPr="00507DB2">
        <w:rPr>
          <w:rFonts w:asciiTheme="majorBidi" w:hAnsiTheme="majorBidi" w:cstheme="majorBidi"/>
          <w:sz w:val="24"/>
          <w:szCs w:val="24"/>
          <w:lang w:val="de-DE"/>
        </w:rPr>
        <w:t xml:space="preserve">(1st ed., pp. 379–402). </w:t>
      </w:r>
      <w:r w:rsidRPr="00507DB2">
        <w:rPr>
          <w:rFonts w:asciiTheme="majorBidi" w:hAnsiTheme="majorBidi" w:cstheme="majorBidi"/>
          <w:sz w:val="24"/>
          <w:szCs w:val="24"/>
          <w:lang w:val="en-GB"/>
        </w:rPr>
        <w:t>Wiesbaden: VS Verlag für Sozialwissenschaften.</w:t>
      </w:r>
    </w:p>
    <w:p w14:paraId="7C946E3A" w14:textId="50FD6722" w:rsidR="00F63F5D" w:rsidRPr="00507DB2" w:rsidRDefault="00F63F5D" w:rsidP="00F63F5D">
      <w:pPr>
        <w:pStyle w:val="CitaviBibliographyEntry"/>
        <w:rPr>
          <w:rFonts w:asciiTheme="majorBidi" w:hAnsiTheme="majorBidi" w:cstheme="majorBidi"/>
          <w:sz w:val="24"/>
          <w:szCs w:val="24"/>
          <w:lang w:val="en-GB"/>
        </w:rPr>
      </w:pPr>
      <w:bookmarkStart w:id="34" w:name="_CTVL001f079ffc1d0624b9f86a8dbf39b917286"/>
      <w:r w:rsidRPr="00507DB2">
        <w:rPr>
          <w:rFonts w:asciiTheme="majorBidi" w:hAnsiTheme="majorBidi" w:cstheme="majorBidi"/>
          <w:sz w:val="24"/>
          <w:szCs w:val="24"/>
          <w:lang w:val="en-GB"/>
        </w:rPr>
        <w:t>Kim, H. (2020). Ten Years of Public Long-Term Care Insurance in South Korea: An Overview and Future Policy Agenda. In T. Hu &amp; W. C. Yip (Eds.),</w:t>
      </w:r>
      <w:bookmarkEnd w:id="34"/>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 xml:space="preserve">World Scientific Series in Global Health Economics and Public Policy: vol. 6. Health care policy in East Asia: A World Scientific reference </w:t>
      </w:r>
      <w:r w:rsidRPr="00507DB2">
        <w:rPr>
          <w:rFonts w:asciiTheme="majorBidi" w:hAnsiTheme="majorBidi" w:cstheme="majorBidi"/>
          <w:sz w:val="24"/>
          <w:szCs w:val="24"/>
          <w:lang w:val="en-GB"/>
        </w:rPr>
        <w:t xml:space="preserve">(Vol. 3, pp. 49–63). Singapore, Hackensack, NJ: World Scientific Publishing Co. Pte. Ltd. </w:t>
      </w:r>
      <w:hyperlink r:id="rId26" w:history="1">
        <w:r w:rsidR="00671558" w:rsidRPr="00507DB2">
          <w:rPr>
            <w:rStyle w:val="Hyperlink"/>
            <w:rFonts w:asciiTheme="majorBidi" w:hAnsiTheme="majorBidi" w:cstheme="majorBidi"/>
            <w:sz w:val="24"/>
            <w:szCs w:val="24"/>
            <w:lang w:val="en-GB"/>
          </w:rPr>
          <w:t>https://doi.org/10.1142/9789813236158_0005</w:t>
        </w:r>
      </w:hyperlink>
    </w:p>
    <w:p w14:paraId="17EA2249" w14:textId="35F2FD2E" w:rsidR="00F63F5D" w:rsidRPr="00507DB2" w:rsidRDefault="00F63F5D" w:rsidP="00F63F5D">
      <w:pPr>
        <w:pStyle w:val="CitaviBibliographyEntry"/>
        <w:rPr>
          <w:rFonts w:asciiTheme="majorBidi" w:hAnsiTheme="majorBidi" w:cstheme="majorBidi"/>
          <w:sz w:val="24"/>
          <w:szCs w:val="24"/>
          <w:lang w:val="en-GB"/>
        </w:rPr>
      </w:pPr>
      <w:bookmarkStart w:id="35" w:name="_CTVL0013eb0d65fb7514991bd6cffed9c1ce161"/>
      <w:r w:rsidRPr="00507DB2">
        <w:rPr>
          <w:rFonts w:asciiTheme="majorBidi" w:hAnsiTheme="majorBidi" w:cstheme="majorBidi"/>
          <w:sz w:val="24"/>
          <w:szCs w:val="24"/>
          <w:lang w:val="en-GB"/>
        </w:rPr>
        <w:t>Kim, H., &amp; Kwon, S. (2021). A decade of public long-term care insurance in South Korea: Policy lessons for aging countries.</w:t>
      </w:r>
      <w:bookmarkEnd w:id="35"/>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Health Policy</w:t>
      </w:r>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125</w:t>
      </w:r>
      <w:r w:rsidRPr="00507DB2">
        <w:rPr>
          <w:rFonts w:asciiTheme="majorBidi" w:hAnsiTheme="majorBidi" w:cstheme="majorBidi"/>
          <w:sz w:val="24"/>
          <w:szCs w:val="24"/>
          <w:lang w:val="en-GB"/>
        </w:rPr>
        <w:t xml:space="preserve">(1), 22–26. </w:t>
      </w:r>
      <w:hyperlink r:id="rId27" w:history="1">
        <w:r w:rsidR="00671558" w:rsidRPr="00507DB2">
          <w:rPr>
            <w:rStyle w:val="Hyperlink"/>
            <w:rFonts w:asciiTheme="majorBidi" w:hAnsiTheme="majorBidi" w:cstheme="majorBidi"/>
            <w:sz w:val="24"/>
            <w:szCs w:val="24"/>
            <w:lang w:val="en-GB"/>
          </w:rPr>
          <w:t>https://doi.org/10.1016/j.healthpol.2020.11.003</w:t>
        </w:r>
      </w:hyperlink>
    </w:p>
    <w:p w14:paraId="48576E09" w14:textId="77777777" w:rsidR="00F63F5D" w:rsidRPr="00507DB2" w:rsidRDefault="00F63F5D" w:rsidP="00F63F5D">
      <w:pPr>
        <w:pStyle w:val="CitaviBibliographyEntry"/>
        <w:rPr>
          <w:rFonts w:asciiTheme="majorBidi" w:hAnsiTheme="majorBidi" w:cstheme="majorBidi"/>
          <w:sz w:val="24"/>
          <w:szCs w:val="24"/>
          <w:lang w:val="en-GB"/>
        </w:rPr>
      </w:pPr>
      <w:bookmarkStart w:id="36" w:name="_CTVL001de88450b3ccb4072955cc0a8de4e4662"/>
      <w:r w:rsidRPr="00507DB2">
        <w:rPr>
          <w:rFonts w:asciiTheme="majorBidi" w:hAnsiTheme="majorBidi" w:cstheme="majorBidi"/>
          <w:sz w:val="24"/>
          <w:szCs w:val="24"/>
          <w:lang w:val="en-GB"/>
        </w:rPr>
        <w:t>Koster, C., &amp; Ribeiro, F. (2010).</w:t>
      </w:r>
      <w:bookmarkEnd w:id="36"/>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 xml:space="preserve">Quality of long-term care in residential facilities: Luxembourg </w:t>
      </w:r>
      <w:r w:rsidRPr="00507DB2">
        <w:rPr>
          <w:rFonts w:asciiTheme="majorBidi" w:hAnsiTheme="majorBidi" w:cstheme="majorBidi"/>
          <w:sz w:val="24"/>
          <w:szCs w:val="24"/>
          <w:lang w:val="en-GB"/>
        </w:rPr>
        <w:t xml:space="preserve">(Achieving Quality Long-term Care in Residential Facilities). </w:t>
      </w:r>
    </w:p>
    <w:p w14:paraId="078C2355" w14:textId="77777777" w:rsidR="00F63F5D" w:rsidRPr="00507DB2" w:rsidRDefault="00F63F5D" w:rsidP="00F63F5D">
      <w:pPr>
        <w:pStyle w:val="CitaviBibliographyEntry"/>
        <w:rPr>
          <w:rFonts w:asciiTheme="majorBidi" w:hAnsiTheme="majorBidi" w:cstheme="majorBidi"/>
          <w:sz w:val="24"/>
          <w:szCs w:val="24"/>
          <w:lang w:val="de-DE"/>
        </w:rPr>
      </w:pPr>
      <w:bookmarkStart w:id="37" w:name="_CTVL0012d5e229879dc46d99f2595e62ea84f0c"/>
      <w:r w:rsidRPr="00507DB2">
        <w:rPr>
          <w:rFonts w:asciiTheme="majorBidi" w:hAnsiTheme="majorBidi" w:cstheme="majorBidi"/>
          <w:sz w:val="24"/>
          <w:szCs w:val="24"/>
          <w:lang w:val="de-DE"/>
        </w:rPr>
        <w:t>Köstler, U. (1999). Pflegesicherung in Luxemburg. In R. Eisen &amp; H.-C. Mager (Eds.),</w:t>
      </w:r>
      <w:bookmarkEnd w:id="37"/>
      <w:r w:rsidRPr="00507DB2">
        <w:rPr>
          <w:rFonts w:asciiTheme="majorBidi" w:hAnsiTheme="majorBidi" w:cstheme="majorBidi"/>
          <w:sz w:val="24"/>
          <w:szCs w:val="24"/>
          <w:lang w:val="de-DE"/>
        </w:rPr>
        <w:t xml:space="preserve"> </w:t>
      </w:r>
      <w:r w:rsidRPr="00507DB2">
        <w:rPr>
          <w:rFonts w:asciiTheme="majorBidi" w:hAnsiTheme="majorBidi" w:cstheme="majorBidi"/>
          <w:i/>
          <w:sz w:val="24"/>
          <w:szCs w:val="24"/>
          <w:lang w:val="de-DE"/>
        </w:rPr>
        <w:t xml:space="preserve">Pflegebedürftigkeit und Pflegesicherung in ausgewählten Ländern </w:t>
      </w:r>
      <w:r w:rsidRPr="00507DB2">
        <w:rPr>
          <w:rFonts w:asciiTheme="majorBidi" w:hAnsiTheme="majorBidi" w:cstheme="majorBidi"/>
          <w:sz w:val="24"/>
          <w:szCs w:val="24"/>
          <w:lang w:val="de-DE"/>
        </w:rPr>
        <w:t>(pp. 295–308). Oplanden: Leske + Budrich.</w:t>
      </w:r>
    </w:p>
    <w:p w14:paraId="0BD0A70C" w14:textId="48EEF795" w:rsidR="00F63F5D" w:rsidRPr="00507DB2" w:rsidRDefault="00F63F5D" w:rsidP="00F63F5D">
      <w:pPr>
        <w:pStyle w:val="CitaviBibliographyEntry"/>
        <w:rPr>
          <w:rFonts w:asciiTheme="majorBidi" w:hAnsiTheme="majorBidi" w:cstheme="majorBidi"/>
          <w:sz w:val="24"/>
          <w:szCs w:val="24"/>
          <w:lang w:val="en-GB"/>
        </w:rPr>
      </w:pPr>
      <w:bookmarkStart w:id="38" w:name="_CTVL00115958ed4e8924f5cb5609668ecabdf99"/>
      <w:r w:rsidRPr="00507DB2">
        <w:rPr>
          <w:rFonts w:asciiTheme="majorBidi" w:hAnsiTheme="majorBidi" w:cstheme="majorBidi"/>
          <w:sz w:val="24"/>
          <w:szCs w:val="24"/>
          <w:lang w:val="de-DE"/>
        </w:rPr>
        <w:t>Kroneman, M., Boerma, W., van den Berg, M., Groenewegen, P., Jong, J. de, &amp; van Ginneken, E. (2016).</w:t>
      </w:r>
      <w:bookmarkEnd w:id="38"/>
      <w:r w:rsidRPr="00507DB2">
        <w:rPr>
          <w:rFonts w:asciiTheme="majorBidi" w:hAnsiTheme="majorBidi" w:cstheme="majorBidi"/>
          <w:sz w:val="24"/>
          <w:szCs w:val="24"/>
          <w:lang w:val="de-DE"/>
        </w:rPr>
        <w:t xml:space="preserve"> </w:t>
      </w:r>
      <w:r w:rsidRPr="00507DB2">
        <w:rPr>
          <w:rFonts w:asciiTheme="majorBidi" w:hAnsiTheme="majorBidi" w:cstheme="majorBidi"/>
          <w:i/>
          <w:sz w:val="24"/>
          <w:szCs w:val="24"/>
          <w:lang w:val="en-GB"/>
        </w:rPr>
        <w:t xml:space="preserve">Netherlands: Health System Review </w:t>
      </w:r>
      <w:r w:rsidRPr="00507DB2">
        <w:rPr>
          <w:rFonts w:asciiTheme="majorBidi" w:hAnsiTheme="majorBidi" w:cstheme="majorBidi"/>
          <w:sz w:val="24"/>
          <w:szCs w:val="24"/>
          <w:lang w:val="en-GB"/>
        </w:rPr>
        <w:t xml:space="preserve">(Health Systems in Transition No. 18/2). Retrieved from </w:t>
      </w:r>
      <w:hyperlink r:id="rId28" w:history="1">
        <w:r w:rsidR="00671558" w:rsidRPr="00507DB2">
          <w:rPr>
            <w:rStyle w:val="Hyperlink"/>
            <w:rFonts w:asciiTheme="majorBidi" w:hAnsiTheme="majorBidi" w:cstheme="majorBidi"/>
            <w:sz w:val="24"/>
            <w:szCs w:val="24"/>
            <w:lang w:val="en-GB"/>
          </w:rPr>
          <w:t>https://eurohealthobservatory.who.int/publications/i/netherlands-health-system-review-2016</w:t>
        </w:r>
      </w:hyperlink>
      <w:r w:rsidRPr="00507DB2">
        <w:rPr>
          <w:rFonts w:asciiTheme="majorBidi" w:hAnsiTheme="majorBidi" w:cstheme="majorBidi"/>
          <w:sz w:val="24"/>
          <w:szCs w:val="24"/>
          <w:lang w:val="en-GB"/>
        </w:rPr>
        <w:t xml:space="preserve"> </w:t>
      </w:r>
    </w:p>
    <w:p w14:paraId="621F2F5F" w14:textId="211C1A48" w:rsidR="00F63F5D" w:rsidRPr="00507DB2" w:rsidRDefault="00F63F5D" w:rsidP="00F63F5D">
      <w:pPr>
        <w:pStyle w:val="CitaviBibliographyEntry"/>
        <w:rPr>
          <w:rFonts w:asciiTheme="majorBidi" w:hAnsiTheme="majorBidi" w:cstheme="majorBidi"/>
          <w:sz w:val="24"/>
          <w:szCs w:val="24"/>
          <w:lang w:val="en-GB"/>
        </w:rPr>
      </w:pPr>
      <w:bookmarkStart w:id="39" w:name="_CTVL0018743e28e557542da8f16a4913c126b99"/>
      <w:r w:rsidRPr="00507DB2">
        <w:rPr>
          <w:rFonts w:asciiTheme="majorBidi" w:hAnsiTheme="majorBidi" w:cstheme="majorBidi"/>
          <w:sz w:val="24"/>
          <w:szCs w:val="24"/>
          <w:lang w:val="en-GB"/>
        </w:rPr>
        <w:t>Kwon, S. (2021).</w:t>
      </w:r>
      <w:bookmarkEnd w:id="39"/>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Case Study: Republic of Korea</w:t>
      </w:r>
      <w:r w:rsidRPr="00507DB2">
        <w:rPr>
          <w:rFonts w:asciiTheme="majorBidi" w:hAnsiTheme="majorBidi" w:cstheme="majorBidi"/>
          <w:sz w:val="24"/>
          <w:szCs w:val="24"/>
          <w:lang w:val="en-GB"/>
        </w:rPr>
        <w:t xml:space="preserve">. (prepublication draft) (Price setting long-term care for older persons). Retrieved from </w:t>
      </w:r>
      <w:hyperlink r:id="rId29" w:history="1">
        <w:r w:rsidR="00671558" w:rsidRPr="00507DB2">
          <w:rPr>
            <w:rStyle w:val="Hyperlink"/>
            <w:rFonts w:asciiTheme="majorBidi" w:hAnsiTheme="majorBidi" w:cstheme="majorBidi"/>
            <w:sz w:val="24"/>
            <w:szCs w:val="24"/>
            <w:lang w:val="en-GB"/>
          </w:rPr>
          <w:t>https://extranet.who.int/kobe_centre/en/project-details/pricesetting2</w:t>
        </w:r>
      </w:hyperlink>
      <w:r w:rsidRPr="00507DB2">
        <w:rPr>
          <w:rFonts w:asciiTheme="majorBidi" w:hAnsiTheme="majorBidi" w:cstheme="majorBidi"/>
          <w:sz w:val="24"/>
          <w:szCs w:val="24"/>
          <w:lang w:val="en-GB"/>
        </w:rPr>
        <w:t xml:space="preserve"> </w:t>
      </w:r>
    </w:p>
    <w:p w14:paraId="755DA7CC" w14:textId="77777777" w:rsidR="00507DB2" w:rsidRDefault="00F63F5D" w:rsidP="00507DB2">
      <w:pPr>
        <w:pStyle w:val="CitaviBibliographyEntry"/>
        <w:rPr>
          <w:rFonts w:asciiTheme="majorBidi" w:hAnsiTheme="majorBidi" w:cstheme="majorBidi"/>
          <w:sz w:val="24"/>
          <w:szCs w:val="24"/>
          <w:lang w:val="en-GB"/>
        </w:rPr>
      </w:pPr>
      <w:bookmarkStart w:id="40" w:name="_CTVL001d939892e59aa4b4baf85805819866fde"/>
      <w:r w:rsidRPr="00507DB2">
        <w:rPr>
          <w:rFonts w:asciiTheme="majorBidi" w:hAnsiTheme="majorBidi" w:cstheme="majorBidi"/>
          <w:sz w:val="24"/>
          <w:szCs w:val="24"/>
          <w:lang w:val="en-GB"/>
        </w:rPr>
        <w:t>Lee, S., &amp; Kim, J. (2014). Comparing the Long-Term Care Insurance Programs of Korea and Japan: Focusing on Provisions of Care.</w:t>
      </w:r>
      <w:bookmarkEnd w:id="40"/>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Asian Journal of Human Services</w:t>
      </w:r>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6</w:t>
      </w:r>
      <w:r w:rsidRPr="00507DB2">
        <w:rPr>
          <w:rFonts w:asciiTheme="majorBidi" w:hAnsiTheme="majorBidi" w:cstheme="majorBidi"/>
          <w:sz w:val="24"/>
          <w:szCs w:val="24"/>
          <w:lang w:val="en-GB"/>
        </w:rPr>
        <w:t>, 1–12.</w:t>
      </w:r>
    </w:p>
    <w:p w14:paraId="162C9B7C" w14:textId="1446A611" w:rsidR="00507DB2" w:rsidRPr="00507DB2" w:rsidRDefault="00507DB2" w:rsidP="00507DB2">
      <w:pPr>
        <w:pStyle w:val="CitaviBibliographyEntry"/>
        <w:rPr>
          <w:rFonts w:asciiTheme="majorBidi" w:hAnsiTheme="majorBidi" w:cstheme="majorBidi"/>
          <w:sz w:val="24"/>
          <w:szCs w:val="24"/>
          <w:lang w:val="en-GB"/>
        </w:rPr>
      </w:pPr>
      <w:r w:rsidRPr="00507DB2">
        <w:rPr>
          <w:rFonts w:asciiTheme="majorBidi" w:hAnsiTheme="majorBidi" w:cstheme="majorBidi"/>
          <w:sz w:val="24"/>
          <w:szCs w:val="24"/>
        </w:rPr>
        <w:t>Loi du 19 juin 1998 portant introduction d’une assurance dépendance (Loi AD) [</w:t>
      </w:r>
      <w:r w:rsidRPr="00507DB2">
        <w:rPr>
          <w:rFonts w:asciiTheme="majorBidi" w:hAnsiTheme="majorBidi" w:cstheme="majorBidi"/>
          <w:sz w:val="24"/>
          <w:szCs w:val="24"/>
          <w:lang w:val="en-GB"/>
        </w:rPr>
        <w:t>Law of 19. June 1998 on the introduction of dependency insurance]</w:t>
      </w:r>
      <w:r w:rsidRPr="00507DB2">
        <w:rPr>
          <w:rFonts w:asciiTheme="majorBidi" w:hAnsiTheme="majorBidi" w:cstheme="majorBidi"/>
          <w:sz w:val="24"/>
          <w:szCs w:val="24"/>
        </w:rPr>
        <w:t>. Memorial – Journal Officiel du Grand-Duché de Luxembourg A – No 48. 29 juin 1998.</w:t>
      </w:r>
    </w:p>
    <w:p w14:paraId="40AF5B78" w14:textId="76E62A24" w:rsidR="00F63F5D" w:rsidRPr="00507DB2" w:rsidRDefault="00F63F5D" w:rsidP="00F63F5D">
      <w:pPr>
        <w:pStyle w:val="CitaviBibliographyEntry"/>
        <w:rPr>
          <w:rFonts w:asciiTheme="majorBidi" w:hAnsiTheme="majorBidi" w:cstheme="majorBidi"/>
          <w:sz w:val="24"/>
          <w:szCs w:val="24"/>
          <w:lang w:val="en-GB"/>
        </w:rPr>
      </w:pPr>
      <w:bookmarkStart w:id="41" w:name="_CTVL001caa59fca3f0345cf8bb0cc98d5267a0e"/>
      <w:r w:rsidRPr="00507DB2">
        <w:rPr>
          <w:rFonts w:asciiTheme="majorBidi" w:hAnsiTheme="majorBidi" w:cstheme="majorBidi"/>
          <w:sz w:val="24"/>
          <w:szCs w:val="24"/>
          <w:lang w:val="en-GB"/>
        </w:rPr>
        <w:t>Luxembourg Presidency (2005). Long-term care for older persons. Conference organised by the Luxembourg Presidency with the Social Protection Committee of the European Union.</w:t>
      </w:r>
      <w:bookmarkEnd w:id="41"/>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Bulletin Luxembourgeois Des Questions Sociales</w:t>
      </w:r>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19</w:t>
      </w:r>
      <w:r w:rsidRPr="00507DB2">
        <w:rPr>
          <w:rFonts w:asciiTheme="majorBidi" w:hAnsiTheme="majorBidi" w:cstheme="majorBidi"/>
          <w:sz w:val="24"/>
          <w:szCs w:val="24"/>
          <w:lang w:val="en-GB"/>
        </w:rPr>
        <w:t xml:space="preserve">. Retrieved from </w:t>
      </w:r>
      <w:hyperlink r:id="rId30" w:history="1">
        <w:r w:rsidR="00671558" w:rsidRPr="00507DB2">
          <w:rPr>
            <w:rStyle w:val="Hyperlink"/>
            <w:rFonts w:asciiTheme="majorBidi" w:hAnsiTheme="majorBidi" w:cstheme="majorBidi"/>
            <w:sz w:val="24"/>
            <w:szCs w:val="24"/>
            <w:lang w:val="en-GB"/>
          </w:rPr>
          <w:t>https://www.aloss.lu/fileadmin/file/aloss/Documents/BLQS/BLQS_19.pdf#pageMode=bookmarks</w:t>
        </w:r>
      </w:hyperlink>
    </w:p>
    <w:p w14:paraId="5B9044F9" w14:textId="06259A0A" w:rsidR="00F63F5D" w:rsidRPr="00507DB2" w:rsidRDefault="00F63F5D" w:rsidP="00F63F5D">
      <w:pPr>
        <w:pStyle w:val="CitaviBibliographyEntry"/>
        <w:rPr>
          <w:rFonts w:asciiTheme="majorBidi" w:hAnsiTheme="majorBidi" w:cstheme="majorBidi"/>
          <w:sz w:val="24"/>
          <w:szCs w:val="24"/>
          <w:lang w:val="de-DE"/>
        </w:rPr>
      </w:pPr>
      <w:bookmarkStart w:id="42" w:name="_CTVL001a464d186b1704e7da8fe305a21e3f3f7"/>
      <w:r w:rsidRPr="00507DB2">
        <w:rPr>
          <w:rFonts w:asciiTheme="majorBidi" w:hAnsiTheme="majorBidi" w:cstheme="majorBidi"/>
          <w:sz w:val="24"/>
          <w:szCs w:val="24"/>
          <w:lang w:val="en-GB"/>
        </w:rPr>
        <w:t>Maags, C. (2020). Long‐Term Care Insurance Adoption in East Asia: Politics, Ideas, and Institutions.</w:t>
      </w:r>
      <w:bookmarkEnd w:id="42"/>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de-DE"/>
        </w:rPr>
        <w:t>Politics &amp; Policy</w:t>
      </w:r>
      <w:r w:rsidRPr="00507DB2">
        <w:rPr>
          <w:rFonts w:asciiTheme="majorBidi" w:hAnsiTheme="majorBidi" w:cstheme="majorBidi"/>
          <w:sz w:val="24"/>
          <w:szCs w:val="24"/>
          <w:lang w:val="de-DE"/>
        </w:rPr>
        <w:t xml:space="preserve">, </w:t>
      </w:r>
      <w:r w:rsidRPr="00507DB2">
        <w:rPr>
          <w:rFonts w:asciiTheme="majorBidi" w:hAnsiTheme="majorBidi" w:cstheme="majorBidi"/>
          <w:i/>
          <w:sz w:val="24"/>
          <w:szCs w:val="24"/>
          <w:lang w:val="de-DE"/>
        </w:rPr>
        <w:t>28</w:t>
      </w:r>
      <w:r w:rsidRPr="00507DB2">
        <w:rPr>
          <w:rFonts w:asciiTheme="majorBidi" w:hAnsiTheme="majorBidi" w:cstheme="majorBidi"/>
          <w:sz w:val="24"/>
          <w:szCs w:val="24"/>
          <w:lang w:val="de-DE"/>
        </w:rPr>
        <w:t xml:space="preserve">(2), 1–38. </w:t>
      </w:r>
      <w:hyperlink r:id="rId31" w:history="1">
        <w:r w:rsidR="00671558" w:rsidRPr="00507DB2">
          <w:rPr>
            <w:rStyle w:val="Hyperlink"/>
            <w:rFonts w:asciiTheme="majorBidi" w:hAnsiTheme="majorBidi" w:cstheme="majorBidi"/>
            <w:sz w:val="24"/>
            <w:szCs w:val="24"/>
            <w:lang w:val="de-DE"/>
          </w:rPr>
          <w:t>https://doi.org/10.1111/polp.12339</w:t>
        </w:r>
      </w:hyperlink>
    </w:p>
    <w:p w14:paraId="304702C0" w14:textId="77777777" w:rsidR="00F63F5D" w:rsidRPr="00507DB2" w:rsidRDefault="00F63F5D" w:rsidP="00F63F5D">
      <w:pPr>
        <w:pStyle w:val="CitaviBibliographyEntry"/>
        <w:rPr>
          <w:rFonts w:asciiTheme="majorBidi" w:hAnsiTheme="majorBidi" w:cstheme="majorBidi"/>
          <w:sz w:val="24"/>
          <w:szCs w:val="24"/>
          <w:lang w:val="en-GB"/>
        </w:rPr>
      </w:pPr>
      <w:bookmarkStart w:id="43" w:name="_CTVL001565f608856184f7db3e54e66f43d5fd8"/>
      <w:r w:rsidRPr="00507DB2">
        <w:rPr>
          <w:rFonts w:asciiTheme="majorBidi" w:hAnsiTheme="majorBidi" w:cstheme="majorBidi"/>
          <w:sz w:val="24"/>
          <w:szCs w:val="24"/>
          <w:lang w:val="de-DE"/>
        </w:rPr>
        <w:t>Mager, H.‑C. (1999). Pflegesicherung in der Bundesrepublik Deutschland. In R. Eisen &amp; H.-C. Mager (Eds.),</w:t>
      </w:r>
      <w:bookmarkEnd w:id="43"/>
      <w:r w:rsidRPr="00507DB2">
        <w:rPr>
          <w:rFonts w:asciiTheme="majorBidi" w:hAnsiTheme="majorBidi" w:cstheme="majorBidi"/>
          <w:sz w:val="24"/>
          <w:szCs w:val="24"/>
          <w:lang w:val="de-DE"/>
        </w:rPr>
        <w:t xml:space="preserve"> </w:t>
      </w:r>
      <w:r w:rsidRPr="00507DB2">
        <w:rPr>
          <w:rFonts w:asciiTheme="majorBidi" w:hAnsiTheme="majorBidi" w:cstheme="majorBidi"/>
          <w:i/>
          <w:sz w:val="24"/>
          <w:szCs w:val="24"/>
          <w:lang w:val="de-DE"/>
        </w:rPr>
        <w:t xml:space="preserve">Pflegebedürftigkeit und Pflegesicherung in ausgewählten Ländern </w:t>
      </w:r>
      <w:r w:rsidRPr="00507DB2">
        <w:rPr>
          <w:rFonts w:asciiTheme="majorBidi" w:hAnsiTheme="majorBidi" w:cstheme="majorBidi"/>
          <w:sz w:val="24"/>
          <w:szCs w:val="24"/>
          <w:lang w:val="de-DE"/>
        </w:rPr>
        <w:t xml:space="preserve">(pp. 208–248). </w:t>
      </w:r>
      <w:r w:rsidRPr="00507DB2">
        <w:rPr>
          <w:rFonts w:asciiTheme="majorBidi" w:hAnsiTheme="majorBidi" w:cstheme="majorBidi"/>
          <w:sz w:val="24"/>
          <w:szCs w:val="24"/>
          <w:lang w:val="en-GB"/>
        </w:rPr>
        <w:t>Oplanden: Leske + Budrich.</w:t>
      </w:r>
    </w:p>
    <w:p w14:paraId="13592F71" w14:textId="77777777" w:rsidR="00F63F5D" w:rsidRPr="00507DB2" w:rsidRDefault="00F63F5D" w:rsidP="00F63F5D">
      <w:pPr>
        <w:pStyle w:val="CitaviBibliographyEntry"/>
        <w:rPr>
          <w:rFonts w:asciiTheme="majorBidi" w:hAnsiTheme="majorBidi" w:cstheme="majorBidi"/>
          <w:sz w:val="24"/>
          <w:szCs w:val="24"/>
          <w:lang w:val="en-GB"/>
        </w:rPr>
      </w:pPr>
      <w:bookmarkStart w:id="44" w:name="_CTVL0016b035493d06849fdaae17d0a434c5d36"/>
      <w:r w:rsidRPr="00507DB2">
        <w:rPr>
          <w:rFonts w:asciiTheme="majorBidi" w:hAnsiTheme="majorBidi" w:cstheme="majorBidi"/>
          <w:sz w:val="24"/>
          <w:szCs w:val="24"/>
          <w:lang w:val="en-GB"/>
        </w:rPr>
        <w:lastRenderedPageBreak/>
        <w:t>Meijer, A., van Campen, C., &amp; Kerkstra, A. (2000). A Comparative Study of the Financing, Provision and Quality of Care in Nursing Homes. The Approach of Four European Countries: Belgium, Denmark, Germany and the Netherlands.</w:t>
      </w:r>
      <w:bookmarkEnd w:id="44"/>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Journal of Advanced Nursing</w:t>
      </w:r>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32</w:t>
      </w:r>
      <w:r w:rsidRPr="00507DB2">
        <w:rPr>
          <w:rFonts w:asciiTheme="majorBidi" w:hAnsiTheme="majorBidi" w:cstheme="majorBidi"/>
          <w:sz w:val="24"/>
          <w:szCs w:val="24"/>
          <w:lang w:val="en-GB"/>
        </w:rPr>
        <w:t>(3), 554–561.</w:t>
      </w:r>
    </w:p>
    <w:p w14:paraId="7B18B77B" w14:textId="3D850A15" w:rsidR="00F63F5D" w:rsidRPr="00507DB2" w:rsidRDefault="00F63F5D" w:rsidP="00F63F5D">
      <w:pPr>
        <w:pStyle w:val="CitaviBibliographyEntry"/>
        <w:rPr>
          <w:rFonts w:asciiTheme="majorBidi" w:hAnsiTheme="majorBidi" w:cstheme="majorBidi"/>
          <w:sz w:val="24"/>
          <w:szCs w:val="24"/>
          <w:lang w:val="en-GB"/>
        </w:rPr>
      </w:pPr>
      <w:bookmarkStart w:id="45" w:name="_CTVL001afa0e8f0e3604d708c975e5d75d529fd"/>
      <w:r w:rsidRPr="00507DB2">
        <w:rPr>
          <w:rFonts w:asciiTheme="majorBidi" w:hAnsiTheme="majorBidi" w:cstheme="majorBidi"/>
          <w:sz w:val="24"/>
          <w:szCs w:val="24"/>
          <w:lang w:val="en-GB"/>
        </w:rPr>
        <w:t>Ministère de la Sécurité Sociale (2013).</w:t>
      </w:r>
      <w:bookmarkEnd w:id="45"/>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Bilan sure le fonctionnement et la viabilité financière de L</w:t>
      </w:r>
      <w:r w:rsidR="00671558" w:rsidRPr="00507DB2">
        <w:rPr>
          <w:rFonts w:asciiTheme="majorBidi" w:hAnsiTheme="majorBidi" w:cstheme="majorBidi"/>
          <w:i/>
          <w:sz w:val="24"/>
          <w:szCs w:val="24"/>
          <w:lang w:val="en-GB"/>
        </w:rPr>
        <w:t>’</w:t>
      </w:r>
      <w:r w:rsidRPr="00507DB2">
        <w:rPr>
          <w:rFonts w:asciiTheme="majorBidi" w:hAnsiTheme="majorBidi" w:cstheme="majorBidi"/>
          <w:i/>
          <w:sz w:val="24"/>
          <w:szCs w:val="24"/>
          <w:lang w:val="en-GB"/>
        </w:rPr>
        <w:t>Assurance dépendance</w:t>
      </w:r>
      <w:r w:rsidRPr="00507DB2">
        <w:rPr>
          <w:rFonts w:asciiTheme="majorBidi" w:hAnsiTheme="majorBidi" w:cstheme="majorBidi"/>
          <w:sz w:val="24"/>
          <w:szCs w:val="24"/>
          <w:lang w:val="en-GB"/>
        </w:rPr>
        <w:t xml:space="preserve">. Luxembourg. Retrieved from </w:t>
      </w:r>
      <w:hyperlink r:id="rId32" w:history="1">
        <w:r w:rsidR="00671558" w:rsidRPr="00507DB2">
          <w:rPr>
            <w:rStyle w:val="Hyperlink"/>
            <w:rFonts w:asciiTheme="majorBidi" w:hAnsiTheme="majorBidi" w:cstheme="majorBidi"/>
            <w:sz w:val="24"/>
            <w:szCs w:val="24"/>
            <w:lang w:val="en-GB"/>
          </w:rPr>
          <w:t>https://igss.gouvernement.lu/dam-assets/publications/bilans-d%C3%A9pendance/bilan-dependance-2013.pdf</w:t>
        </w:r>
      </w:hyperlink>
      <w:r w:rsidRPr="00507DB2">
        <w:rPr>
          <w:rFonts w:asciiTheme="majorBidi" w:hAnsiTheme="majorBidi" w:cstheme="majorBidi"/>
          <w:sz w:val="24"/>
          <w:szCs w:val="24"/>
          <w:lang w:val="en-GB"/>
        </w:rPr>
        <w:t xml:space="preserve"> </w:t>
      </w:r>
    </w:p>
    <w:p w14:paraId="4DA38D82" w14:textId="37559637" w:rsidR="00F63F5D" w:rsidRPr="00507DB2" w:rsidRDefault="00F63F5D" w:rsidP="00F63F5D">
      <w:pPr>
        <w:pStyle w:val="CitaviBibliographyEntry"/>
        <w:rPr>
          <w:rFonts w:asciiTheme="majorBidi" w:hAnsiTheme="majorBidi" w:cstheme="majorBidi"/>
          <w:sz w:val="24"/>
          <w:szCs w:val="24"/>
          <w:lang w:val="en-GB"/>
        </w:rPr>
      </w:pPr>
      <w:bookmarkStart w:id="46" w:name="_CTVL001ca2d0c2b62e5495e82f983f4ee5a2936"/>
      <w:r w:rsidRPr="00507DB2">
        <w:rPr>
          <w:rFonts w:asciiTheme="majorBidi" w:hAnsiTheme="majorBidi" w:cstheme="majorBidi"/>
          <w:sz w:val="24"/>
          <w:szCs w:val="24"/>
          <w:lang w:val="en-GB"/>
        </w:rPr>
        <w:t xml:space="preserve">Ministry of Health, Labour and Welfare (2016). Long-Term Care Insurance System of Japan. Retrieved from </w:t>
      </w:r>
      <w:hyperlink r:id="rId33" w:history="1">
        <w:r w:rsidR="00671558" w:rsidRPr="00507DB2">
          <w:rPr>
            <w:rStyle w:val="Hyperlink"/>
            <w:rFonts w:asciiTheme="majorBidi" w:hAnsiTheme="majorBidi" w:cstheme="majorBidi"/>
            <w:sz w:val="24"/>
            <w:szCs w:val="24"/>
            <w:lang w:val="en-GB"/>
          </w:rPr>
          <w:t>https://www.mhlw.go.jp/english/policy/care-welfare/care-welfare-elderly/dl/ltcisj_e.pdf</w:t>
        </w:r>
      </w:hyperlink>
    </w:p>
    <w:p w14:paraId="0AD5C450" w14:textId="7E989A65" w:rsidR="00F63F5D" w:rsidRPr="00507DB2" w:rsidRDefault="00F63F5D" w:rsidP="00F63F5D">
      <w:pPr>
        <w:pStyle w:val="CitaviBibliographyEntry"/>
        <w:rPr>
          <w:rFonts w:asciiTheme="majorBidi" w:hAnsiTheme="majorBidi" w:cstheme="majorBidi"/>
          <w:sz w:val="24"/>
          <w:szCs w:val="24"/>
          <w:lang w:val="en-GB"/>
        </w:rPr>
      </w:pPr>
      <w:bookmarkStart w:id="47" w:name="_CTVL0011419d76e8a394ffcbf1a89443698e7d5"/>
      <w:bookmarkEnd w:id="46"/>
      <w:r w:rsidRPr="00507DB2">
        <w:rPr>
          <w:rFonts w:asciiTheme="majorBidi" w:hAnsiTheme="majorBidi" w:cstheme="majorBidi"/>
          <w:sz w:val="24"/>
          <w:szCs w:val="24"/>
          <w:lang w:val="en-GB"/>
        </w:rPr>
        <w:t xml:space="preserve">Ministry of Health, Labour and Welfare (2017). Outline of the revision of the Long-Term Care Insurance System, etc. to strengthen the Community-based Integrated Care System in 2017-18. Retrieved from </w:t>
      </w:r>
      <w:hyperlink r:id="rId34" w:history="1">
        <w:r w:rsidR="00671558" w:rsidRPr="00507DB2">
          <w:rPr>
            <w:rStyle w:val="Hyperlink"/>
            <w:rFonts w:asciiTheme="majorBidi" w:hAnsiTheme="majorBidi" w:cstheme="majorBidi"/>
            <w:sz w:val="24"/>
            <w:szCs w:val="24"/>
            <w:lang w:val="en-GB"/>
          </w:rPr>
          <w:t>https://www.mhlw.go.jp/english/policy/care-welfare/care-welfare-elderly/dl/ltcis_2017_e.pdf</w:t>
        </w:r>
      </w:hyperlink>
    </w:p>
    <w:p w14:paraId="04F35D19" w14:textId="77777777" w:rsidR="00F63F5D" w:rsidRPr="00507DB2" w:rsidRDefault="00F63F5D" w:rsidP="00F63F5D">
      <w:pPr>
        <w:pStyle w:val="CitaviBibliographyEntry"/>
        <w:rPr>
          <w:rFonts w:asciiTheme="majorBidi" w:hAnsiTheme="majorBidi" w:cstheme="majorBidi"/>
          <w:sz w:val="24"/>
          <w:szCs w:val="24"/>
          <w:lang w:val="en-GB"/>
        </w:rPr>
      </w:pPr>
      <w:bookmarkStart w:id="48" w:name="_CTVL001b11f516df56841979e9a100bd365071c"/>
      <w:bookmarkEnd w:id="47"/>
      <w:r w:rsidRPr="00507DB2">
        <w:rPr>
          <w:rFonts w:asciiTheme="majorBidi" w:hAnsiTheme="majorBidi" w:cstheme="majorBidi"/>
          <w:sz w:val="24"/>
          <w:szCs w:val="24"/>
          <w:lang w:val="en-GB"/>
        </w:rPr>
        <w:t>Morginstin, B., Baich-Moray, S., &amp; Zipkin, A. (1993). Long-term Care Insurance in Israel: Three Years Later.</w:t>
      </w:r>
      <w:bookmarkEnd w:id="48"/>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Ageing International</w:t>
      </w:r>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20</w:t>
      </w:r>
      <w:r w:rsidRPr="00507DB2">
        <w:rPr>
          <w:rFonts w:asciiTheme="majorBidi" w:hAnsiTheme="majorBidi" w:cstheme="majorBidi"/>
          <w:sz w:val="24"/>
          <w:szCs w:val="24"/>
          <w:lang w:val="en-GB"/>
        </w:rPr>
        <w:t>(2), 27–31.</w:t>
      </w:r>
    </w:p>
    <w:p w14:paraId="25EA25B1" w14:textId="41288516" w:rsidR="00F63F5D" w:rsidRPr="00507DB2" w:rsidRDefault="00F63F5D" w:rsidP="00F63F5D">
      <w:pPr>
        <w:pStyle w:val="CitaviBibliographyEntry"/>
        <w:rPr>
          <w:rFonts w:asciiTheme="majorBidi" w:hAnsiTheme="majorBidi" w:cstheme="majorBidi"/>
          <w:sz w:val="24"/>
          <w:szCs w:val="24"/>
          <w:lang w:val="en-GB"/>
        </w:rPr>
      </w:pPr>
      <w:bookmarkStart w:id="49" w:name="_CTVL001dc797046ef194ec4b477d42ea6de961c"/>
      <w:r w:rsidRPr="00507DB2">
        <w:rPr>
          <w:rFonts w:asciiTheme="majorBidi" w:hAnsiTheme="majorBidi" w:cstheme="majorBidi"/>
          <w:sz w:val="24"/>
          <w:szCs w:val="24"/>
          <w:lang w:val="en-GB"/>
        </w:rPr>
        <w:t>Mot, E. (2010).</w:t>
      </w:r>
      <w:bookmarkEnd w:id="49"/>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 xml:space="preserve">The Dutch System of Long-term Care </w:t>
      </w:r>
      <w:r w:rsidRPr="00507DB2">
        <w:rPr>
          <w:rFonts w:asciiTheme="majorBidi" w:hAnsiTheme="majorBidi" w:cstheme="majorBidi"/>
          <w:sz w:val="24"/>
          <w:szCs w:val="24"/>
          <w:lang w:val="en-GB"/>
        </w:rPr>
        <w:t xml:space="preserve">(CPB Document No. No 204). Retrieved from CPB Netherlands Bureau for Economic Policy Analysis website: </w:t>
      </w:r>
      <w:hyperlink r:id="rId35" w:history="1">
        <w:r w:rsidR="00671558" w:rsidRPr="00507DB2">
          <w:rPr>
            <w:rStyle w:val="Hyperlink"/>
            <w:rFonts w:asciiTheme="majorBidi" w:hAnsiTheme="majorBidi" w:cstheme="majorBidi"/>
            <w:sz w:val="24"/>
            <w:szCs w:val="24"/>
            <w:lang w:val="en-GB"/>
          </w:rPr>
          <w:t>https://www.cpb.nl/sites/default/files/publicaties/download/dutch-system-long-term-care.pdf</w:t>
        </w:r>
      </w:hyperlink>
      <w:r w:rsidRPr="00507DB2">
        <w:rPr>
          <w:rFonts w:asciiTheme="majorBidi" w:hAnsiTheme="majorBidi" w:cstheme="majorBidi"/>
          <w:sz w:val="24"/>
          <w:szCs w:val="24"/>
          <w:lang w:val="en-GB"/>
        </w:rPr>
        <w:t xml:space="preserve"> </w:t>
      </w:r>
    </w:p>
    <w:p w14:paraId="41116EAC" w14:textId="67986AC2" w:rsidR="00F63F5D" w:rsidRPr="00507DB2" w:rsidRDefault="00F63F5D" w:rsidP="00F63F5D">
      <w:pPr>
        <w:pStyle w:val="CitaviBibliographyEntry"/>
        <w:rPr>
          <w:rFonts w:asciiTheme="majorBidi" w:hAnsiTheme="majorBidi" w:cstheme="majorBidi"/>
          <w:sz w:val="24"/>
          <w:szCs w:val="24"/>
          <w:lang w:val="en-GB"/>
        </w:rPr>
      </w:pPr>
      <w:bookmarkStart w:id="50" w:name="_CTVL001edb1a085a83c4bb7a69d88b52eeb02e6"/>
      <w:r w:rsidRPr="00507DB2">
        <w:rPr>
          <w:rFonts w:asciiTheme="majorBidi" w:hAnsiTheme="majorBidi" w:cstheme="majorBidi"/>
          <w:sz w:val="24"/>
          <w:szCs w:val="24"/>
          <w:lang w:val="en-GB"/>
        </w:rPr>
        <w:t xml:space="preserve">Mutual Information System on Social Protection in the EU member states, the EEA and Switzerland (2009). MISSOC Comparative Tables. XII Long-Term Care. Retrieved from </w:t>
      </w:r>
      <w:hyperlink r:id="rId36" w:history="1">
        <w:r w:rsidR="00671558" w:rsidRPr="00507DB2">
          <w:rPr>
            <w:rStyle w:val="Hyperlink"/>
            <w:rFonts w:asciiTheme="majorBidi" w:hAnsiTheme="majorBidi" w:cstheme="majorBidi"/>
            <w:sz w:val="24"/>
            <w:szCs w:val="24"/>
            <w:lang w:val="en-GB"/>
          </w:rPr>
          <w:t>https://www.missoc.org/missoc-database/comparative-tables/results/</w:t>
        </w:r>
      </w:hyperlink>
    </w:p>
    <w:p w14:paraId="467DAE46" w14:textId="7FE4725F" w:rsidR="00F63F5D" w:rsidRPr="00507DB2" w:rsidRDefault="00F63F5D" w:rsidP="00F63F5D">
      <w:pPr>
        <w:pStyle w:val="CitaviBibliographyEntry"/>
        <w:rPr>
          <w:rFonts w:asciiTheme="majorBidi" w:hAnsiTheme="majorBidi" w:cstheme="majorBidi"/>
          <w:sz w:val="24"/>
          <w:szCs w:val="24"/>
          <w:lang w:val="en-GB"/>
        </w:rPr>
      </w:pPr>
      <w:bookmarkStart w:id="51" w:name="_CTVL001059e00cf547846019c5b0d7d2ba007b7"/>
      <w:bookmarkEnd w:id="50"/>
      <w:r w:rsidRPr="00507DB2">
        <w:rPr>
          <w:rFonts w:asciiTheme="majorBidi" w:hAnsiTheme="majorBidi" w:cstheme="majorBidi"/>
          <w:sz w:val="24"/>
          <w:szCs w:val="24"/>
          <w:lang w:val="en-GB"/>
        </w:rPr>
        <w:t>Mutual Information System on Social Protection in the EU member states, the EEA and Switzerland (2013 [2002]).</w:t>
      </w:r>
      <w:bookmarkEnd w:id="51"/>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MISSOC Tables Archive. Social protection in the Member States of the European Union and of the European Economic Area. Situation on 1 January 2002</w:t>
      </w:r>
      <w:r w:rsidRPr="00507DB2">
        <w:rPr>
          <w:rFonts w:asciiTheme="majorBidi" w:hAnsiTheme="majorBidi" w:cstheme="majorBidi"/>
          <w:sz w:val="24"/>
          <w:szCs w:val="24"/>
          <w:lang w:val="en-GB"/>
        </w:rPr>
        <w:t xml:space="preserve">. Retrieved from </w:t>
      </w:r>
      <w:hyperlink r:id="rId37" w:history="1">
        <w:r w:rsidR="00671558" w:rsidRPr="00507DB2">
          <w:rPr>
            <w:rStyle w:val="Hyperlink"/>
            <w:rFonts w:asciiTheme="majorBidi" w:hAnsiTheme="majorBidi" w:cstheme="majorBidi"/>
            <w:sz w:val="24"/>
            <w:szCs w:val="24"/>
            <w:lang w:val="en-GB"/>
          </w:rPr>
          <w:t>https://www.missoc.org/documents/archive/MISSOC_2002_EN.pdf</w:t>
        </w:r>
      </w:hyperlink>
      <w:r w:rsidRPr="00507DB2">
        <w:rPr>
          <w:rFonts w:asciiTheme="majorBidi" w:hAnsiTheme="majorBidi" w:cstheme="majorBidi"/>
          <w:sz w:val="24"/>
          <w:szCs w:val="24"/>
          <w:lang w:val="en-GB"/>
        </w:rPr>
        <w:t xml:space="preserve"> </w:t>
      </w:r>
    </w:p>
    <w:p w14:paraId="13ABFF37" w14:textId="147AD9FC" w:rsidR="00F63F5D" w:rsidRPr="00507DB2" w:rsidRDefault="00F63F5D" w:rsidP="00F63F5D">
      <w:pPr>
        <w:pStyle w:val="CitaviBibliographyEntry"/>
        <w:rPr>
          <w:rFonts w:asciiTheme="majorBidi" w:hAnsiTheme="majorBidi" w:cstheme="majorBidi"/>
          <w:sz w:val="24"/>
          <w:szCs w:val="24"/>
          <w:lang w:val="en-GB"/>
        </w:rPr>
      </w:pPr>
      <w:bookmarkStart w:id="52" w:name="_CTVL00169a8b50586334c6c97f39321718179d6"/>
      <w:r w:rsidRPr="00507DB2">
        <w:rPr>
          <w:rFonts w:asciiTheme="majorBidi" w:hAnsiTheme="majorBidi" w:cstheme="majorBidi"/>
          <w:sz w:val="24"/>
          <w:szCs w:val="24"/>
          <w:lang w:val="en-GB"/>
        </w:rPr>
        <w:t xml:space="preserve">Mutual Information System on Social Protection in the EU member states, the EEA and Switzerland (2016). Comparative Tables. XII. Long-term care: Luxembourg. Retrieved from </w:t>
      </w:r>
      <w:hyperlink r:id="rId38" w:history="1">
        <w:r w:rsidR="00671558" w:rsidRPr="00507DB2">
          <w:rPr>
            <w:rStyle w:val="Hyperlink"/>
            <w:rFonts w:asciiTheme="majorBidi" w:hAnsiTheme="majorBidi" w:cstheme="majorBidi"/>
            <w:sz w:val="24"/>
            <w:szCs w:val="24"/>
            <w:lang w:val="en-GB"/>
          </w:rPr>
          <w:t>https://www.missoc.org/missoc-database/comparative-tables/?y=1047</w:t>
        </w:r>
      </w:hyperlink>
    </w:p>
    <w:p w14:paraId="079AC710" w14:textId="359716A1" w:rsidR="00F63F5D" w:rsidRPr="00507DB2" w:rsidRDefault="00F63F5D" w:rsidP="00F63F5D">
      <w:pPr>
        <w:pStyle w:val="CitaviBibliographyEntry"/>
        <w:rPr>
          <w:rFonts w:asciiTheme="majorBidi" w:hAnsiTheme="majorBidi" w:cstheme="majorBidi"/>
          <w:sz w:val="24"/>
          <w:szCs w:val="24"/>
          <w:lang w:val="en-GB"/>
        </w:rPr>
      </w:pPr>
      <w:bookmarkStart w:id="53" w:name="_CTVL001f8d865c17f6c4013a1e2ed634190b1ee"/>
      <w:bookmarkEnd w:id="52"/>
      <w:r w:rsidRPr="00507DB2">
        <w:rPr>
          <w:rFonts w:asciiTheme="majorBidi" w:hAnsiTheme="majorBidi" w:cstheme="majorBidi"/>
          <w:sz w:val="24"/>
          <w:szCs w:val="24"/>
          <w:lang w:val="en-GB"/>
        </w:rPr>
        <w:t>Organisation for Economic Co-operation and Development (2005).</w:t>
      </w:r>
      <w:bookmarkEnd w:id="53"/>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Long-term Care for Older People. The OECD Health Project</w:t>
      </w:r>
      <w:r w:rsidRPr="00507DB2">
        <w:rPr>
          <w:rFonts w:asciiTheme="majorBidi" w:hAnsiTheme="majorBidi" w:cstheme="majorBidi"/>
          <w:sz w:val="24"/>
          <w:szCs w:val="24"/>
          <w:lang w:val="en-GB"/>
        </w:rPr>
        <w:t xml:space="preserve">. Paris: Organisation of Economic Co-operation and Development (OECD). </w:t>
      </w:r>
      <w:hyperlink r:id="rId39" w:history="1">
        <w:r w:rsidR="00671558" w:rsidRPr="00507DB2">
          <w:rPr>
            <w:rStyle w:val="Hyperlink"/>
            <w:rFonts w:asciiTheme="majorBidi" w:hAnsiTheme="majorBidi" w:cstheme="majorBidi"/>
            <w:sz w:val="24"/>
            <w:szCs w:val="24"/>
            <w:lang w:val="en-GB"/>
          </w:rPr>
          <w:t>https://doi.org/10.1787/19901291</w:t>
        </w:r>
      </w:hyperlink>
    </w:p>
    <w:p w14:paraId="012B4EAD" w14:textId="01E3DB04" w:rsidR="00F63F5D" w:rsidRPr="00507DB2" w:rsidRDefault="00F63F5D" w:rsidP="00F63F5D">
      <w:pPr>
        <w:pStyle w:val="CitaviBibliographyEntry"/>
        <w:rPr>
          <w:rFonts w:asciiTheme="majorBidi" w:hAnsiTheme="majorBidi" w:cstheme="majorBidi"/>
          <w:sz w:val="24"/>
          <w:szCs w:val="24"/>
          <w:lang w:val="en-GB"/>
        </w:rPr>
      </w:pPr>
      <w:bookmarkStart w:id="54" w:name="_CTVL0014aadc48da44044bbb92135c505dba13f"/>
      <w:r w:rsidRPr="00507DB2">
        <w:rPr>
          <w:rFonts w:asciiTheme="majorBidi" w:hAnsiTheme="majorBidi" w:cstheme="majorBidi"/>
          <w:sz w:val="24"/>
          <w:szCs w:val="24"/>
          <w:lang w:val="en-GB"/>
        </w:rPr>
        <w:t xml:space="preserve">Organisation for Economic Co-operation and Development (2011a). Israel: Long-Term Care. Retrieved from </w:t>
      </w:r>
      <w:hyperlink r:id="rId40" w:history="1">
        <w:r w:rsidR="00671558" w:rsidRPr="00507DB2">
          <w:rPr>
            <w:rStyle w:val="Hyperlink"/>
            <w:rFonts w:asciiTheme="majorBidi" w:hAnsiTheme="majorBidi" w:cstheme="majorBidi"/>
            <w:sz w:val="24"/>
            <w:szCs w:val="24"/>
            <w:lang w:val="en-GB"/>
          </w:rPr>
          <w:t>https://www.oecd.org/israel/47877779.pdf</w:t>
        </w:r>
      </w:hyperlink>
    </w:p>
    <w:p w14:paraId="5E5A26D7" w14:textId="2F3BC7CD" w:rsidR="00F63F5D" w:rsidRPr="00507DB2" w:rsidRDefault="00F63F5D" w:rsidP="00F63F5D">
      <w:pPr>
        <w:pStyle w:val="CitaviBibliographyEntry"/>
        <w:rPr>
          <w:rFonts w:asciiTheme="majorBidi" w:hAnsiTheme="majorBidi" w:cstheme="majorBidi"/>
          <w:sz w:val="24"/>
          <w:szCs w:val="24"/>
          <w:lang w:val="en-GB"/>
        </w:rPr>
      </w:pPr>
      <w:bookmarkStart w:id="55" w:name="_CTVL001f3e176a26d284501b05c28809e08df2b"/>
      <w:bookmarkEnd w:id="54"/>
      <w:r w:rsidRPr="00507DB2">
        <w:rPr>
          <w:rFonts w:asciiTheme="majorBidi" w:hAnsiTheme="majorBidi" w:cstheme="majorBidi"/>
          <w:sz w:val="24"/>
          <w:szCs w:val="24"/>
          <w:lang w:val="en-GB"/>
        </w:rPr>
        <w:t>Organisation for Economic Co-operation and Development (2011b).</w:t>
      </w:r>
      <w:bookmarkEnd w:id="55"/>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Korea: Long-term Care</w:t>
      </w:r>
      <w:r w:rsidRPr="00507DB2">
        <w:rPr>
          <w:rFonts w:asciiTheme="majorBidi" w:hAnsiTheme="majorBidi" w:cstheme="majorBidi"/>
          <w:sz w:val="24"/>
          <w:szCs w:val="24"/>
          <w:lang w:val="en-GB"/>
        </w:rPr>
        <w:t xml:space="preserve">. Retrieved from </w:t>
      </w:r>
      <w:hyperlink r:id="rId41" w:history="1">
        <w:r w:rsidR="00671558" w:rsidRPr="00507DB2">
          <w:rPr>
            <w:rStyle w:val="Hyperlink"/>
            <w:rFonts w:asciiTheme="majorBidi" w:hAnsiTheme="majorBidi" w:cstheme="majorBidi"/>
            <w:sz w:val="24"/>
            <w:szCs w:val="24"/>
            <w:lang w:val="en-GB"/>
          </w:rPr>
          <w:t>https://www.oecd.org/els/health-systems/47877789.pdf</w:t>
        </w:r>
      </w:hyperlink>
      <w:r w:rsidRPr="00507DB2">
        <w:rPr>
          <w:rFonts w:asciiTheme="majorBidi" w:hAnsiTheme="majorBidi" w:cstheme="majorBidi"/>
          <w:sz w:val="24"/>
          <w:szCs w:val="24"/>
          <w:lang w:val="en-GB"/>
        </w:rPr>
        <w:t xml:space="preserve"> </w:t>
      </w:r>
    </w:p>
    <w:p w14:paraId="0EC396B2" w14:textId="746BCE20" w:rsidR="00F63F5D" w:rsidRPr="00507DB2" w:rsidRDefault="00F63F5D" w:rsidP="00F63F5D">
      <w:pPr>
        <w:pStyle w:val="CitaviBibliographyEntry"/>
        <w:rPr>
          <w:rFonts w:asciiTheme="majorBidi" w:hAnsiTheme="majorBidi" w:cstheme="majorBidi"/>
          <w:sz w:val="24"/>
          <w:szCs w:val="24"/>
          <w:lang w:val="en-GB"/>
        </w:rPr>
      </w:pPr>
      <w:bookmarkStart w:id="56" w:name="_CTVL0019b4a64b9dfe54f57ad8c9b5f9dc61679"/>
      <w:r w:rsidRPr="00507DB2">
        <w:rPr>
          <w:rFonts w:asciiTheme="majorBidi" w:hAnsiTheme="majorBidi" w:cstheme="majorBidi"/>
          <w:sz w:val="24"/>
          <w:szCs w:val="24"/>
          <w:lang w:val="en-GB"/>
        </w:rPr>
        <w:t>Organisation for Economic Co-operation and Development (2011c).</w:t>
      </w:r>
      <w:bookmarkEnd w:id="56"/>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Luxembourg: Long-term Care</w:t>
      </w:r>
      <w:r w:rsidRPr="00507DB2">
        <w:rPr>
          <w:rFonts w:asciiTheme="majorBidi" w:hAnsiTheme="majorBidi" w:cstheme="majorBidi"/>
          <w:sz w:val="24"/>
          <w:szCs w:val="24"/>
          <w:lang w:val="en-GB"/>
        </w:rPr>
        <w:t xml:space="preserve">. Retrieved from </w:t>
      </w:r>
      <w:hyperlink r:id="rId42" w:history="1">
        <w:r w:rsidR="00671558" w:rsidRPr="00507DB2">
          <w:rPr>
            <w:rStyle w:val="Hyperlink"/>
            <w:rFonts w:asciiTheme="majorBidi" w:hAnsiTheme="majorBidi" w:cstheme="majorBidi"/>
            <w:sz w:val="24"/>
            <w:szCs w:val="24"/>
            <w:lang w:val="en-GB"/>
          </w:rPr>
          <w:t>https://www.oecd.org/luxembourg/47877835.pdf</w:t>
        </w:r>
      </w:hyperlink>
      <w:r w:rsidRPr="00507DB2">
        <w:rPr>
          <w:rFonts w:asciiTheme="majorBidi" w:hAnsiTheme="majorBidi" w:cstheme="majorBidi"/>
          <w:sz w:val="24"/>
          <w:szCs w:val="24"/>
          <w:lang w:val="en-GB"/>
        </w:rPr>
        <w:t xml:space="preserve"> </w:t>
      </w:r>
    </w:p>
    <w:p w14:paraId="39DA9B23" w14:textId="77777777" w:rsidR="00F63F5D" w:rsidRPr="00507DB2" w:rsidRDefault="00F63F5D" w:rsidP="00F63F5D">
      <w:pPr>
        <w:pStyle w:val="CitaviBibliographyEntry"/>
        <w:rPr>
          <w:rFonts w:asciiTheme="majorBidi" w:hAnsiTheme="majorBidi" w:cstheme="majorBidi"/>
          <w:sz w:val="24"/>
          <w:szCs w:val="24"/>
          <w:lang w:val="en-GB"/>
        </w:rPr>
      </w:pPr>
      <w:bookmarkStart w:id="57" w:name="_CTVL001ebca6dd5c50c49e695ce681f71a289dc"/>
      <w:r w:rsidRPr="00507DB2">
        <w:rPr>
          <w:rFonts w:asciiTheme="majorBidi" w:hAnsiTheme="majorBidi" w:cstheme="majorBidi"/>
          <w:sz w:val="24"/>
          <w:szCs w:val="24"/>
          <w:lang w:val="de-DE"/>
        </w:rPr>
        <w:lastRenderedPageBreak/>
        <w:t xml:space="preserve">Ozawa, M. N., &amp; Nakayama, S. (2005). </w:t>
      </w:r>
      <w:r w:rsidRPr="00507DB2">
        <w:rPr>
          <w:rFonts w:asciiTheme="majorBidi" w:hAnsiTheme="majorBidi" w:cstheme="majorBidi"/>
          <w:sz w:val="24"/>
          <w:szCs w:val="24"/>
          <w:lang w:val="en-GB"/>
        </w:rPr>
        <w:t>Long-term Care Insurance in Japan.</w:t>
      </w:r>
      <w:bookmarkEnd w:id="57"/>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Journal of Aging &amp; Social Policy</w:t>
      </w:r>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17</w:t>
      </w:r>
      <w:r w:rsidRPr="00507DB2">
        <w:rPr>
          <w:rFonts w:asciiTheme="majorBidi" w:hAnsiTheme="majorBidi" w:cstheme="majorBidi"/>
          <w:sz w:val="24"/>
          <w:szCs w:val="24"/>
          <w:lang w:val="en-GB"/>
        </w:rPr>
        <w:t>(3), 61–84.</w:t>
      </w:r>
    </w:p>
    <w:p w14:paraId="1A41BF0E" w14:textId="5B86B22F" w:rsidR="00F63F5D" w:rsidRPr="00507DB2" w:rsidRDefault="00F63F5D" w:rsidP="00F63F5D">
      <w:pPr>
        <w:pStyle w:val="CitaviBibliographyEntry"/>
        <w:rPr>
          <w:rFonts w:asciiTheme="majorBidi" w:hAnsiTheme="majorBidi" w:cstheme="majorBidi"/>
          <w:sz w:val="24"/>
          <w:szCs w:val="24"/>
          <w:lang w:val="en-GB"/>
        </w:rPr>
      </w:pPr>
      <w:bookmarkStart w:id="58" w:name="_CTVL00151199b2165a54734ae5d704dc1647338"/>
      <w:r w:rsidRPr="00507DB2">
        <w:rPr>
          <w:rFonts w:asciiTheme="majorBidi" w:hAnsiTheme="majorBidi" w:cstheme="majorBidi"/>
          <w:sz w:val="24"/>
          <w:szCs w:val="24"/>
          <w:lang w:val="en-GB"/>
        </w:rPr>
        <w:t>Pacolet, J., &amp; Wispelaere, F. de (2018).</w:t>
      </w:r>
      <w:bookmarkEnd w:id="58"/>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 xml:space="preserve">ESPN Thematic Report on Challenges in Long-term Care: Luxembourg </w:t>
      </w:r>
      <w:r w:rsidRPr="00507DB2">
        <w:rPr>
          <w:rFonts w:asciiTheme="majorBidi" w:hAnsiTheme="majorBidi" w:cstheme="majorBidi"/>
          <w:sz w:val="24"/>
          <w:szCs w:val="24"/>
          <w:lang w:val="en-GB"/>
        </w:rPr>
        <w:t xml:space="preserve">(ESPN Thematic Report). Brussels. Retrieved from </w:t>
      </w:r>
      <w:hyperlink r:id="rId43" w:history="1">
        <w:r w:rsidR="00671558" w:rsidRPr="00507DB2">
          <w:rPr>
            <w:rStyle w:val="Hyperlink"/>
            <w:rFonts w:asciiTheme="majorBidi" w:hAnsiTheme="majorBidi" w:cstheme="majorBidi"/>
            <w:sz w:val="24"/>
            <w:szCs w:val="24"/>
            <w:lang w:val="en-GB"/>
          </w:rPr>
          <w:t>https://ec.europa.eu/social/BlobServlet?docId=19858&amp;langId=en</w:t>
        </w:r>
      </w:hyperlink>
      <w:r w:rsidRPr="00507DB2">
        <w:rPr>
          <w:rFonts w:asciiTheme="majorBidi" w:hAnsiTheme="majorBidi" w:cstheme="majorBidi"/>
          <w:sz w:val="24"/>
          <w:szCs w:val="24"/>
          <w:lang w:val="en-GB"/>
        </w:rPr>
        <w:t xml:space="preserve"> </w:t>
      </w:r>
    </w:p>
    <w:p w14:paraId="0EC8F369" w14:textId="77777777" w:rsidR="00F63F5D" w:rsidRPr="00507DB2" w:rsidRDefault="00F63F5D" w:rsidP="00F63F5D">
      <w:pPr>
        <w:pStyle w:val="CitaviBibliographyEntry"/>
        <w:rPr>
          <w:rFonts w:asciiTheme="majorBidi" w:hAnsiTheme="majorBidi" w:cstheme="majorBidi"/>
          <w:sz w:val="24"/>
          <w:szCs w:val="24"/>
          <w:lang w:val="de-DE"/>
        </w:rPr>
      </w:pPr>
      <w:bookmarkStart w:id="59" w:name="_CTVL0013f3b6ca2592e4869875dd52beb702df7"/>
      <w:r w:rsidRPr="00507DB2">
        <w:rPr>
          <w:rFonts w:asciiTheme="majorBidi" w:hAnsiTheme="majorBidi" w:cstheme="majorBidi"/>
          <w:sz w:val="24"/>
          <w:szCs w:val="24"/>
          <w:lang w:val="de-DE"/>
        </w:rPr>
        <w:t>Poske, D. (1985). Fixpunkte einer sozialen Pflegeversicherung.</w:t>
      </w:r>
      <w:bookmarkEnd w:id="59"/>
      <w:r w:rsidRPr="00507DB2">
        <w:rPr>
          <w:rFonts w:asciiTheme="majorBidi" w:hAnsiTheme="majorBidi" w:cstheme="majorBidi"/>
          <w:sz w:val="24"/>
          <w:szCs w:val="24"/>
          <w:lang w:val="de-DE"/>
        </w:rPr>
        <w:t xml:space="preserve"> </w:t>
      </w:r>
      <w:r w:rsidRPr="00507DB2">
        <w:rPr>
          <w:rFonts w:asciiTheme="majorBidi" w:hAnsiTheme="majorBidi" w:cstheme="majorBidi"/>
          <w:i/>
          <w:sz w:val="24"/>
          <w:szCs w:val="24"/>
          <w:lang w:val="de-DE"/>
        </w:rPr>
        <w:t>Zeitschrift Für Rechtspolitik</w:t>
      </w:r>
      <w:r w:rsidRPr="00507DB2">
        <w:rPr>
          <w:rFonts w:asciiTheme="majorBidi" w:hAnsiTheme="majorBidi" w:cstheme="majorBidi"/>
          <w:sz w:val="24"/>
          <w:szCs w:val="24"/>
          <w:lang w:val="de-DE"/>
        </w:rPr>
        <w:t xml:space="preserve">, </w:t>
      </w:r>
      <w:r w:rsidRPr="00507DB2">
        <w:rPr>
          <w:rFonts w:asciiTheme="majorBidi" w:hAnsiTheme="majorBidi" w:cstheme="majorBidi"/>
          <w:i/>
          <w:sz w:val="24"/>
          <w:szCs w:val="24"/>
          <w:lang w:val="de-DE"/>
        </w:rPr>
        <w:t>18</w:t>
      </w:r>
      <w:r w:rsidRPr="00507DB2">
        <w:rPr>
          <w:rFonts w:asciiTheme="majorBidi" w:hAnsiTheme="majorBidi" w:cstheme="majorBidi"/>
          <w:sz w:val="24"/>
          <w:szCs w:val="24"/>
          <w:lang w:val="de-DE"/>
        </w:rPr>
        <w:t>(4), 105–109.</w:t>
      </w:r>
    </w:p>
    <w:p w14:paraId="7A54F1BF" w14:textId="59CC35CE" w:rsidR="00F63F5D" w:rsidRPr="00507DB2" w:rsidRDefault="00F63F5D" w:rsidP="00F63F5D">
      <w:pPr>
        <w:pStyle w:val="CitaviBibliographyEntry"/>
        <w:rPr>
          <w:rFonts w:asciiTheme="majorBidi" w:hAnsiTheme="majorBidi" w:cstheme="majorBidi"/>
          <w:sz w:val="24"/>
          <w:szCs w:val="24"/>
          <w:lang w:val="en-GB"/>
        </w:rPr>
      </w:pPr>
      <w:bookmarkStart w:id="60" w:name="_CTVL001d18a92da2d7d4a80ba9d5c62ab0d6b36"/>
      <w:r w:rsidRPr="00507DB2">
        <w:rPr>
          <w:rFonts w:asciiTheme="majorBidi" w:hAnsiTheme="majorBidi" w:cstheme="majorBidi"/>
          <w:sz w:val="24"/>
          <w:szCs w:val="24"/>
          <w:lang w:val="de-DE"/>
        </w:rPr>
        <w:t xml:space="preserve">Rhee, J. C., Done, N., &amp; Anderson, G. F. (2015). </w:t>
      </w:r>
      <w:r w:rsidRPr="00507DB2">
        <w:rPr>
          <w:rFonts w:asciiTheme="majorBidi" w:hAnsiTheme="majorBidi" w:cstheme="majorBidi"/>
          <w:sz w:val="24"/>
          <w:szCs w:val="24"/>
          <w:lang w:val="en-GB"/>
        </w:rPr>
        <w:t>Considering long-term care insurance for middle-income countries: Comparing South Korea with Japan and Germany.</w:t>
      </w:r>
      <w:bookmarkEnd w:id="60"/>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Health Policy</w:t>
      </w:r>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119</w:t>
      </w:r>
      <w:r w:rsidRPr="00507DB2">
        <w:rPr>
          <w:rFonts w:asciiTheme="majorBidi" w:hAnsiTheme="majorBidi" w:cstheme="majorBidi"/>
          <w:sz w:val="24"/>
          <w:szCs w:val="24"/>
          <w:lang w:val="en-GB"/>
        </w:rPr>
        <w:t xml:space="preserve">(10), 1319–1329. </w:t>
      </w:r>
      <w:hyperlink r:id="rId44" w:history="1">
        <w:r w:rsidR="00671558" w:rsidRPr="00507DB2">
          <w:rPr>
            <w:rStyle w:val="Hyperlink"/>
            <w:rFonts w:asciiTheme="majorBidi" w:hAnsiTheme="majorBidi" w:cstheme="majorBidi"/>
            <w:sz w:val="24"/>
            <w:szCs w:val="24"/>
            <w:lang w:val="en-GB"/>
          </w:rPr>
          <w:t>https://doi.org/10.1016/j.healthpol.2015.06.001</w:t>
        </w:r>
      </w:hyperlink>
    </w:p>
    <w:p w14:paraId="795060FC" w14:textId="0CFD9145" w:rsidR="00F63F5D" w:rsidRPr="00507DB2" w:rsidRDefault="00F63F5D" w:rsidP="00F63F5D">
      <w:pPr>
        <w:pStyle w:val="CitaviBibliographyEntry"/>
        <w:rPr>
          <w:rFonts w:asciiTheme="majorBidi" w:hAnsiTheme="majorBidi" w:cstheme="majorBidi"/>
          <w:sz w:val="24"/>
          <w:szCs w:val="24"/>
          <w:lang w:val="en-GB"/>
        </w:rPr>
      </w:pPr>
      <w:bookmarkStart w:id="61" w:name="_CTVL0017c36d37d5f3e4a658203497616a60e35"/>
      <w:r w:rsidRPr="00507DB2">
        <w:rPr>
          <w:rFonts w:asciiTheme="majorBidi" w:hAnsiTheme="majorBidi" w:cstheme="majorBidi"/>
          <w:sz w:val="24"/>
          <w:szCs w:val="24"/>
          <w:lang w:val="en-GB"/>
        </w:rPr>
        <w:t>Riedel, M., &amp; Kraus, M. (2011).</w:t>
      </w:r>
      <w:bookmarkEnd w:id="61"/>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 xml:space="preserve">The Organisation of Formal Long-term Care for the Elderly: Results from the 21 European Coutry Studies in the ANCIEN Project </w:t>
      </w:r>
      <w:r w:rsidRPr="00507DB2">
        <w:rPr>
          <w:rFonts w:asciiTheme="majorBidi" w:hAnsiTheme="majorBidi" w:cstheme="majorBidi"/>
          <w:sz w:val="24"/>
          <w:szCs w:val="24"/>
          <w:lang w:val="en-GB"/>
        </w:rPr>
        <w:t xml:space="preserve">(ENEPRI research report No. 95). Retrieved from </w:t>
      </w:r>
      <w:hyperlink r:id="rId45" w:history="1">
        <w:r w:rsidR="00671558" w:rsidRPr="00507DB2">
          <w:rPr>
            <w:rStyle w:val="Hyperlink"/>
            <w:rFonts w:asciiTheme="majorBidi" w:hAnsiTheme="majorBidi" w:cstheme="majorBidi"/>
            <w:sz w:val="24"/>
            <w:szCs w:val="24"/>
            <w:lang w:val="en-GB"/>
          </w:rPr>
          <w:t>https://www.ceps.eu/download/publication/?id=7289&amp;pdf=RR%20No%2095%20_ANCIEN_%20Organisation%20of%20Formal%20LTC.pdf</w:t>
        </w:r>
      </w:hyperlink>
      <w:r w:rsidRPr="00507DB2">
        <w:rPr>
          <w:rFonts w:asciiTheme="majorBidi" w:hAnsiTheme="majorBidi" w:cstheme="majorBidi"/>
          <w:sz w:val="24"/>
          <w:szCs w:val="24"/>
          <w:lang w:val="en-GB"/>
        </w:rPr>
        <w:t xml:space="preserve"> </w:t>
      </w:r>
    </w:p>
    <w:p w14:paraId="10A9E3FA" w14:textId="77777777" w:rsidR="00F63F5D" w:rsidRPr="00507DB2" w:rsidRDefault="00F63F5D" w:rsidP="00F63F5D">
      <w:pPr>
        <w:pStyle w:val="CitaviBibliographyEntry"/>
        <w:rPr>
          <w:rFonts w:asciiTheme="majorBidi" w:hAnsiTheme="majorBidi" w:cstheme="majorBidi"/>
          <w:sz w:val="24"/>
          <w:szCs w:val="24"/>
          <w:lang w:val="de-DE"/>
        </w:rPr>
      </w:pPr>
      <w:bookmarkStart w:id="62" w:name="_CTVL001f6e21c05155344bf8566e4551c7f8bb8"/>
      <w:r w:rsidRPr="00507DB2">
        <w:rPr>
          <w:rFonts w:asciiTheme="majorBidi" w:hAnsiTheme="majorBidi" w:cstheme="majorBidi"/>
          <w:sz w:val="24"/>
          <w:szCs w:val="24"/>
          <w:lang w:val="en-GB"/>
        </w:rPr>
        <w:t>Rodrigues, R., &amp; Nies, H. (2013). Making Sence of Differences - the Mixed Economy of Funding and Delivering Long-Term Care. In K. Leichsenring, J. Billings, &amp; H. Nies (Eds.),</w:t>
      </w:r>
      <w:bookmarkEnd w:id="62"/>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 xml:space="preserve">Long-term care in Europe: Improving policy and practice </w:t>
      </w:r>
      <w:r w:rsidRPr="00507DB2">
        <w:rPr>
          <w:rFonts w:asciiTheme="majorBidi" w:hAnsiTheme="majorBidi" w:cstheme="majorBidi"/>
          <w:sz w:val="24"/>
          <w:szCs w:val="24"/>
          <w:lang w:val="en-GB"/>
        </w:rPr>
        <w:t>(1</w:t>
      </w:r>
      <w:r w:rsidRPr="00507DB2">
        <w:rPr>
          <w:rFonts w:asciiTheme="majorBidi" w:hAnsiTheme="majorBidi" w:cstheme="majorBidi"/>
          <w:sz w:val="24"/>
          <w:szCs w:val="24"/>
          <w:vertAlign w:val="superscript"/>
          <w:lang w:val="en-GB"/>
        </w:rPr>
        <w:t>st</w:t>
      </w:r>
      <w:r w:rsidRPr="00507DB2">
        <w:rPr>
          <w:rFonts w:asciiTheme="majorBidi" w:hAnsiTheme="majorBidi" w:cstheme="majorBidi"/>
          <w:sz w:val="24"/>
          <w:szCs w:val="24"/>
          <w:lang w:val="en-GB"/>
        </w:rPr>
        <w:t xml:space="preserve"> ed., pp. 191–212). </w:t>
      </w:r>
      <w:r w:rsidRPr="00507DB2">
        <w:rPr>
          <w:rFonts w:asciiTheme="majorBidi" w:hAnsiTheme="majorBidi" w:cstheme="majorBidi"/>
          <w:sz w:val="24"/>
          <w:szCs w:val="24"/>
          <w:lang w:val="de-DE"/>
        </w:rPr>
        <w:t>Basingstoke: Palgrave Macmillan.</w:t>
      </w:r>
    </w:p>
    <w:p w14:paraId="08D3A3DB" w14:textId="77777777" w:rsidR="00F63F5D" w:rsidRPr="00507DB2" w:rsidRDefault="00F63F5D" w:rsidP="00F63F5D">
      <w:pPr>
        <w:pStyle w:val="CitaviBibliographyEntry"/>
        <w:rPr>
          <w:rFonts w:asciiTheme="majorBidi" w:hAnsiTheme="majorBidi" w:cstheme="majorBidi"/>
          <w:sz w:val="24"/>
          <w:szCs w:val="24"/>
          <w:lang w:val="de-DE"/>
        </w:rPr>
      </w:pPr>
      <w:bookmarkStart w:id="63" w:name="_CTVL001dd34b918ac0c483998b3bf607d2c2712"/>
      <w:r w:rsidRPr="00507DB2">
        <w:rPr>
          <w:rFonts w:asciiTheme="majorBidi" w:hAnsiTheme="majorBidi" w:cstheme="majorBidi"/>
          <w:sz w:val="24"/>
          <w:szCs w:val="24"/>
          <w:lang w:val="de-DE"/>
        </w:rPr>
        <w:t>Rothgang, H. (2009).</w:t>
      </w:r>
      <w:bookmarkEnd w:id="63"/>
      <w:r w:rsidRPr="00507DB2">
        <w:rPr>
          <w:rFonts w:asciiTheme="majorBidi" w:hAnsiTheme="majorBidi" w:cstheme="majorBidi"/>
          <w:sz w:val="24"/>
          <w:szCs w:val="24"/>
          <w:lang w:val="de-DE"/>
        </w:rPr>
        <w:t xml:space="preserve"> </w:t>
      </w:r>
      <w:r w:rsidRPr="00507DB2">
        <w:rPr>
          <w:rFonts w:asciiTheme="majorBidi" w:hAnsiTheme="majorBidi" w:cstheme="majorBidi"/>
          <w:i/>
          <w:sz w:val="24"/>
          <w:szCs w:val="24"/>
          <w:lang w:val="de-DE"/>
        </w:rPr>
        <w:t>Theorie und Empirie der Pflegeversicherung</w:t>
      </w:r>
      <w:r w:rsidRPr="00507DB2">
        <w:rPr>
          <w:rFonts w:asciiTheme="majorBidi" w:hAnsiTheme="majorBidi" w:cstheme="majorBidi"/>
          <w:sz w:val="24"/>
          <w:szCs w:val="24"/>
          <w:lang w:val="de-DE"/>
        </w:rPr>
        <w:t xml:space="preserve">. </w:t>
      </w:r>
      <w:r w:rsidRPr="00507DB2">
        <w:rPr>
          <w:rFonts w:asciiTheme="majorBidi" w:hAnsiTheme="majorBidi" w:cstheme="majorBidi"/>
          <w:i/>
          <w:sz w:val="24"/>
          <w:szCs w:val="24"/>
          <w:lang w:val="de-DE"/>
        </w:rPr>
        <w:t>Beiträge zur Sozial- und Verteilungspolitik: Vol. 7</w:t>
      </w:r>
      <w:r w:rsidRPr="00507DB2">
        <w:rPr>
          <w:rFonts w:asciiTheme="majorBidi" w:hAnsiTheme="majorBidi" w:cstheme="majorBidi"/>
          <w:sz w:val="24"/>
          <w:szCs w:val="24"/>
          <w:lang w:val="de-DE"/>
        </w:rPr>
        <w:t xml:space="preserve">. Berlin: Lit-Verl. </w:t>
      </w:r>
    </w:p>
    <w:p w14:paraId="58057B75" w14:textId="2ADF0233" w:rsidR="00F63F5D" w:rsidRPr="00507DB2" w:rsidRDefault="00F63F5D" w:rsidP="00F63F5D">
      <w:pPr>
        <w:pStyle w:val="CitaviBibliographyEntry"/>
        <w:rPr>
          <w:rFonts w:asciiTheme="majorBidi" w:hAnsiTheme="majorBidi" w:cstheme="majorBidi"/>
          <w:sz w:val="24"/>
          <w:szCs w:val="24"/>
          <w:lang w:val="en-GB"/>
        </w:rPr>
      </w:pPr>
      <w:bookmarkStart w:id="64" w:name="_CTVL001d937bfd0cdfb43f0b72ccb62dcde8eb0"/>
      <w:r w:rsidRPr="00507DB2">
        <w:rPr>
          <w:rFonts w:asciiTheme="majorBidi" w:hAnsiTheme="majorBidi" w:cstheme="majorBidi"/>
          <w:sz w:val="24"/>
          <w:szCs w:val="24"/>
          <w:lang w:val="de-DE"/>
        </w:rPr>
        <w:t xml:space="preserve">Rothgang, H. (2010). </w:t>
      </w:r>
      <w:r w:rsidRPr="00507DB2">
        <w:rPr>
          <w:rFonts w:asciiTheme="majorBidi" w:hAnsiTheme="majorBidi" w:cstheme="majorBidi"/>
          <w:sz w:val="24"/>
          <w:szCs w:val="24"/>
          <w:lang w:val="en-GB"/>
        </w:rPr>
        <w:t>Social Insurance for Long-term Care: An Evaluation of the German Model.</w:t>
      </w:r>
      <w:bookmarkEnd w:id="64"/>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Social Policy &amp; Administration</w:t>
      </w:r>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44</w:t>
      </w:r>
      <w:r w:rsidRPr="00507DB2">
        <w:rPr>
          <w:rFonts w:asciiTheme="majorBidi" w:hAnsiTheme="majorBidi" w:cstheme="majorBidi"/>
          <w:sz w:val="24"/>
          <w:szCs w:val="24"/>
          <w:lang w:val="en-GB"/>
        </w:rPr>
        <w:t xml:space="preserve">(4), 436–460. </w:t>
      </w:r>
      <w:hyperlink r:id="rId46" w:history="1">
        <w:r w:rsidR="00671558" w:rsidRPr="00507DB2">
          <w:rPr>
            <w:rStyle w:val="Hyperlink"/>
            <w:rFonts w:asciiTheme="majorBidi" w:hAnsiTheme="majorBidi" w:cstheme="majorBidi"/>
            <w:sz w:val="24"/>
            <w:szCs w:val="24"/>
            <w:lang w:val="en-GB"/>
          </w:rPr>
          <w:t>https://doi.org/10.1111/j.1467-9515.2010.00722.x</w:t>
        </w:r>
      </w:hyperlink>
    </w:p>
    <w:p w14:paraId="63ED61A9" w14:textId="3452152F" w:rsidR="00F63F5D" w:rsidRPr="00507DB2" w:rsidRDefault="00F63F5D" w:rsidP="00F63F5D">
      <w:pPr>
        <w:pStyle w:val="CitaviBibliographyEntry"/>
        <w:rPr>
          <w:rFonts w:asciiTheme="majorBidi" w:hAnsiTheme="majorBidi" w:cstheme="majorBidi"/>
          <w:sz w:val="24"/>
          <w:szCs w:val="24"/>
          <w:lang w:val="en-GB"/>
        </w:rPr>
      </w:pPr>
      <w:bookmarkStart w:id="65" w:name="_CTVL001a395783d8f014e478f26a5cbebfb2538"/>
      <w:r w:rsidRPr="00507DB2">
        <w:rPr>
          <w:rFonts w:asciiTheme="majorBidi" w:hAnsiTheme="majorBidi" w:cstheme="majorBidi"/>
          <w:sz w:val="24"/>
          <w:szCs w:val="24"/>
          <w:lang w:val="en-GB"/>
        </w:rPr>
        <w:t>Rothgang, H., &amp; Müller, R. (2018).</w:t>
      </w:r>
      <w:bookmarkEnd w:id="65"/>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de-DE"/>
        </w:rPr>
        <w:t xml:space="preserve">BARMER Pflegereport 2018 </w:t>
      </w:r>
      <w:r w:rsidRPr="00507DB2">
        <w:rPr>
          <w:rFonts w:asciiTheme="majorBidi" w:hAnsiTheme="majorBidi" w:cstheme="majorBidi"/>
          <w:sz w:val="24"/>
          <w:szCs w:val="24"/>
          <w:lang w:val="de-DE"/>
        </w:rPr>
        <w:t xml:space="preserve">(Schriftenreihe zur Gesundheitsanalyse No. 12). </w:t>
      </w:r>
      <w:r w:rsidRPr="00507DB2">
        <w:rPr>
          <w:rFonts w:asciiTheme="majorBidi" w:hAnsiTheme="majorBidi" w:cstheme="majorBidi"/>
          <w:sz w:val="24"/>
          <w:szCs w:val="24"/>
          <w:lang w:val="en-GB"/>
        </w:rPr>
        <w:t xml:space="preserve">Retrieved from </w:t>
      </w:r>
      <w:hyperlink r:id="rId47" w:history="1">
        <w:r w:rsidR="00671558" w:rsidRPr="00507DB2">
          <w:rPr>
            <w:rStyle w:val="Hyperlink"/>
            <w:rFonts w:asciiTheme="majorBidi" w:hAnsiTheme="majorBidi" w:cstheme="majorBidi"/>
            <w:sz w:val="24"/>
            <w:szCs w:val="24"/>
            <w:lang w:val="en-GB"/>
          </w:rPr>
          <w:t>https://www.barmer.de/blob/170372/9186b971babc3f80267fc329d65f8e5e/data/dl-pflegereport-komplett.pdf</w:t>
        </w:r>
      </w:hyperlink>
      <w:r w:rsidRPr="00507DB2">
        <w:rPr>
          <w:rFonts w:asciiTheme="majorBidi" w:hAnsiTheme="majorBidi" w:cstheme="majorBidi"/>
          <w:sz w:val="24"/>
          <w:szCs w:val="24"/>
          <w:lang w:val="en-GB"/>
        </w:rPr>
        <w:t xml:space="preserve"> </w:t>
      </w:r>
    </w:p>
    <w:p w14:paraId="7EDE88E2" w14:textId="77777777" w:rsidR="00F63F5D" w:rsidRPr="00507DB2" w:rsidRDefault="00F63F5D" w:rsidP="00F63F5D">
      <w:pPr>
        <w:pStyle w:val="CitaviBibliographyEntry"/>
        <w:rPr>
          <w:rFonts w:asciiTheme="majorBidi" w:hAnsiTheme="majorBidi" w:cstheme="majorBidi"/>
          <w:sz w:val="24"/>
          <w:szCs w:val="24"/>
          <w:lang w:val="en-GB"/>
        </w:rPr>
      </w:pPr>
      <w:bookmarkStart w:id="66" w:name="_CTVL001eb66a58c154e4280b4f60685ae888de5"/>
      <w:r w:rsidRPr="00507DB2">
        <w:rPr>
          <w:rFonts w:asciiTheme="majorBidi" w:hAnsiTheme="majorBidi" w:cstheme="majorBidi"/>
          <w:sz w:val="24"/>
          <w:szCs w:val="24"/>
          <w:lang w:val="en-GB"/>
        </w:rPr>
        <w:t>Saito, Y. (2014). Care Providers in Japan: Before and After the Long-Term Care Insurance. In J. C. Campbell, U. Edvardsen, P. Midford, &amp; Y. Saito (Eds.),</w:t>
      </w:r>
      <w:bookmarkEnd w:id="66"/>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 xml:space="preserve">Eldercare Policies in Japan and Scandinavia: Aging Societies East and West </w:t>
      </w:r>
      <w:r w:rsidRPr="00507DB2">
        <w:rPr>
          <w:rFonts w:asciiTheme="majorBidi" w:hAnsiTheme="majorBidi" w:cstheme="majorBidi"/>
          <w:sz w:val="24"/>
          <w:szCs w:val="24"/>
          <w:lang w:val="en-GB"/>
        </w:rPr>
        <w:t>(pp. 51–70). New York: Palgrave Macmillan US.</w:t>
      </w:r>
    </w:p>
    <w:p w14:paraId="0F4732CC" w14:textId="7766A446" w:rsidR="00F63F5D" w:rsidRPr="00507DB2" w:rsidRDefault="00F63F5D" w:rsidP="00F63F5D">
      <w:pPr>
        <w:pStyle w:val="CitaviBibliographyEntry"/>
        <w:rPr>
          <w:rFonts w:asciiTheme="majorBidi" w:hAnsiTheme="majorBidi" w:cstheme="majorBidi"/>
          <w:sz w:val="24"/>
          <w:szCs w:val="24"/>
          <w:lang w:val="en-GB"/>
        </w:rPr>
      </w:pPr>
      <w:bookmarkStart w:id="67" w:name="_CTVL0015ce2de34c80c4ffca406079bc8ca6990"/>
      <w:r w:rsidRPr="00507DB2">
        <w:rPr>
          <w:rFonts w:asciiTheme="majorBidi" w:hAnsiTheme="majorBidi" w:cstheme="majorBidi"/>
          <w:sz w:val="24"/>
          <w:szCs w:val="24"/>
          <w:lang w:val="en-GB"/>
        </w:rPr>
        <w:t>Schäfer, W., Kroneman, M., Boerma, W., van den Berg, M., Westert, G., Devillè, W., &amp; van Ginneken, E. (2010).</w:t>
      </w:r>
      <w:bookmarkEnd w:id="67"/>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 xml:space="preserve">The Netherlands - Health system review </w:t>
      </w:r>
      <w:r w:rsidRPr="00507DB2">
        <w:rPr>
          <w:rFonts w:asciiTheme="majorBidi" w:hAnsiTheme="majorBidi" w:cstheme="majorBidi"/>
          <w:sz w:val="24"/>
          <w:szCs w:val="24"/>
          <w:lang w:val="en-GB"/>
        </w:rPr>
        <w:t xml:space="preserve">(Health Systems in Transition). Retrieved from </w:t>
      </w:r>
      <w:hyperlink r:id="rId48" w:history="1">
        <w:r w:rsidR="00671558" w:rsidRPr="00507DB2">
          <w:rPr>
            <w:rStyle w:val="Hyperlink"/>
            <w:rFonts w:asciiTheme="majorBidi" w:hAnsiTheme="majorBidi" w:cstheme="majorBidi"/>
            <w:sz w:val="24"/>
            <w:szCs w:val="24"/>
            <w:lang w:val="en-GB"/>
          </w:rPr>
          <w:t>https://mig.tu-berlin.de/fileadmin/a38331600/2010.publications/2010_HitNiederlande.pdf</w:t>
        </w:r>
      </w:hyperlink>
      <w:r w:rsidRPr="00507DB2">
        <w:rPr>
          <w:rFonts w:asciiTheme="majorBidi" w:hAnsiTheme="majorBidi" w:cstheme="majorBidi"/>
          <w:sz w:val="24"/>
          <w:szCs w:val="24"/>
          <w:lang w:val="en-GB"/>
        </w:rPr>
        <w:t xml:space="preserve"> </w:t>
      </w:r>
    </w:p>
    <w:p w14:paraId="7852ED8D" w14:textId="77777777" w:rsidR="00F63F5D" w:rsidRPr="00507DB2" w:rsidRDefault="00F63F5D" w:rsidP="00F63F5D">
      <w:pPr>
        <w:pStyle w:val="CitaviBibliographyEntry"/>
        <w:rPr>
          <w:rFonts w:asciiTheme="majorBidi" w:hAnsiTheme="majorBidi" w:cstheme="majorBidi"/>
          <w:sz w:val="24"/>
          <w:szCs w:val="24"/>
          <w:lang w:val="en-GB"/>
        </w:rPr>
      </w:pPr>
      <w:bookmarkStart w:id="68" w:name="_CTVL001b2f6859b9e6d4674b90459e1734c22b7"/>
      <w:r w:rsidRPr="00507DB2">
        <w:rPr>
          <w:rFonts w:asciiTheme="majorBidi" w:hAnsiTheme="majorBidi" w:cstheme="majorBidi"/>
          <w:sz w:val="24"/>
          <w:szCs w:val="24"/>
          <w:lang w:val="en-GB"/>
        </w:rPr>
        <w:t>Schmid, H. (2005). The Israeli Long‐term Care Insurance Law: Selected Issues in Providing Home Care Services to the Frail Elderly.</w:t>
      </w:r>
      <w:bookmarkEnd w:id="68"/>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Health &amp; Social Care in the Community</w:t>
      </w:r>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13</w:t>
      </w:r>
      <w:r w:rsidRPr="00507DB2">
        <w:rPr>
          <w:rFonts w:asciiTheme="majorBidi" w:hAnsiTheme="majorBidi" w:cstheme="majorBidi"/>
          <w:sz w:val="24"/>
          <w:szCs w:val="24"/>
          <w:lang w:val="en-GB"/>
        </w:rPr>
        <w:t>(3), 191–200.</w:t>
      </w:r>
    </w:p>
    <w:p w14:paraId="1CDEA8F9" w14:textId="40429AF6" w:rsidR="00F63F5D" w:rsidRPr="00507DB2" w:rsidRDefault="00F63F5D" w:rsidP="00F63F5D">
      <w:pPr>
        <w:pStyle w:val="CitaviBibliographyEntry"/>
        <w:rPr>
          <w:rFonts w:asciiTheme="majorBidi" w:hAnsiTheme="majorBidi" w:cstheme="majorBidi"/>
          <w:sz w:val="24"/>
          <w:szCs w:val="24"/>
          <w:lang w:val="en-GB"/>
        </w:rPr>
      </w:pPr>
      <w:bookmarkStart w:id="69" w:name="_CTVL0017cd604b1e12e4181b88927a66f828c3c"/>
      <w:r w:rsidRPr="00507DB2">
        <w:rPr>
          <w:rFonts w:asciiTheme="majorBidi" w:hAnsiTheme="majorBidi" w:cstheme="majorBidi"/>
          <w:sz w:val="24"/>
          <w:szCs w:val="24"/>
          <w:lang w:val="en-GB"/>
        </w:rPr>
        <w:t>Schmid, H. (2009).</w:t>
      </w:r>
      <w:bookmarkEnd w:id="69"/>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Israel’s Long-term Care Insurance Scheme</w:t>
      </w:r>
      <w:r w:rsidRPr="00507DB2">
        <w:rPr>
          <w:rFonts w:asciiTheme="majorBidi" w:hAnsiTheme="majorBidi" w:cstheme="majorBidi"/>
          <w:sz w:val="24"/>
          <w:szCs w:val="24"/>
          <w:lang w:val="en-GB"/>
        </w:rPr>
        <w:t xml:space="preserve">. Retrieved from </w:t>
      </w:r>
      <w:hyperlink r:id="rId49" w:history="1">
        <w:r w:rsidR="00671558" w:rsidRPr="00507DB2">
          <w:rPr>
            <w:rStyle w:val="Hyperlink"/>
            <w:rFonts w:asciiTheme="majorBidi" w:hAnsiTheme="majorBidi" w:cstheme="majorBidi"/>
            <w:sz w:val="24"/>
            <w:szCs w:val="24"/>
            <w:lang w:val="en-GB"/>
          </w:rPr>
          <w:t>https://www.eldis.org/document/A45258</w:t>
        </w:r>
      </w:hyperlink>
      <w:r w:rsidRPr="00507DB2">
        <w:rPr>
          <w:rFonts w:asciiTheme="majorBidi" w:hAnsiTheme="majorBidi" w:cstheme="majorBidi"/>
          <w:sz w:val="24"/>
          <w:szCs w:val="24"/>
          <w:lang w:val="en-GB"/>
        </w:rPr>
        <w:t xml:space="preserve"> </w:t>
      </w:r>
    </w:p>
    <w:p w14:paraId="0BAF9AD0" w14:textId="23D040D2" w:rsidR="00F63F5D" w:rsidRPr="00507DB2" w:rsidRDefault="00F63F5D" w:rsidP="00F63F5D">
      <w:pPr>
        <w:pStyle w:val="CitaviBibliographyEntry"/>
        <w:rPr>
          <w:rFonts w:asciiTheme="majorBidi" w:hAnsiTheme="majorBidi" w:cstheme="majorBidi"/>
          <w:sz w:val="24"/>
          <w:szCs w:val="24"/>
          <w:lang w:val="en-GB"/>
        </w:rPr>
      </w:pPr>
      <w:bookmarkStart w:id="70" w:name="_CTVL001bb31b90d7edc4278939e792450ddb523"/>
      <w:r w:rsidRPr="00507DB2">
        <w:rPr>
          <w:rFonts w:asciiTheme="majorBidi" w:hAnsiTheme="majorBidi" w:cstheme="majorBidi"/>
          <w:sz w:val="24"/>
          <w:szCs w:val="24"/>
          <w:lang w:val="de-DE"/>
        </w:rPr>
        <w:t xml:space="preserve">Schut, F. T., &amp; van den Berg, B. (2010). </w:t>
      </w:r>
      <w:r w:rsidRPr="00507DB2">
        <w:rPr>
          <w:rFonts w:asciiTheme="majorBidi" w:hAnsiTheme="majorBidi" w:cstheme="majorBidi"/>
          <w:sz w:val="24"/>
          <w:szCs w:val="24"/>
          <w:lang w:val="en-GB"/>
        </w:rPr>
        <w:t>Sustainability of Comprehensive Universal Long-term Care Insurance in the Netherlands.</w:t>
      </w:r>
      <w:bookmarkEnd w:id="70"/>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Social Policy &amp; Administration</w:t>
      </w:r>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44</w:t>
      </w:r>
      <w:r w:rsidRPr="00507DB2">
        <w:rPr>
          <w:rFonts w:asciiTheme="majorBidi" w:hAnsiTheme="majorBidi" w:cstheme="majorBidi"/>
          <w:sz w:val="24"/>
          <w:szCs w:val="24"/>
          <w:lang w:val="en-GB"/>
        </w:rPr>
        <w:t xml:space="preserve">(4), 411–435. </w:t>
      </w:r>
      <w:hyperlink r:id="rId50" w:history="1">
        <w:r w:rsidR="00671558" w:rsidRPr="00507DB2">
          <w:rPr>
            <w:rStyle w:val="Hyperlink"/>
            <w:rFonts w:asciiTheme="majorBidi" w:hAnsiTheme="majorBidi" w:cstheme="majorBidi"/>
            <w:sz w:val="24"/>
            <w:szCs w:val="24"/>
            <w:lang w:val="en-GB"/>
          </w:rPr>
          <w:t>https://doi.org/10.1111/j.1467-9515.2010.00721.x</w:t>
        </w:r>
      </w:hyperlink>
    </w:p>
    <w:p w14:paraId="0B683012" w14:textId="0A9C89E8" w:rsidR="00F63F5D" w:rsidRPr="00507DB2" w:rsidRDefault="00F63F5D" w:rsidP="00F63F5D">
      <w:pPr>
        <w:pStyle w:val="CitaviBibliographyEntry"/>
        <w:rPr>
          <w:rFonts w:asciiTheme="majorBidi" w:hAnsiTheme="majorBidi" w:cstheme="majorBidi"/>
          <w:sz w:val="24"/>
          <w:szCs w:val="24"/>
          <w:lang w:val="en-GB"/>
        </w:rPr>
      </w:pPr>
      <w:bookmarkStart w:id="71" w:name="_CTVL001e565a64f1ea14336bbb3683edd668cf4"/>
      <w:r w:rsidRPr="00507DB2">
        <w:rPr>
          <w:rFonts w:asciiTheme="majorBidi" w:hAnsiTheme="majorBidi" w:cstheme="majorBidi"/>
          <w:sz w:val="24"/>
          <w:szCs w:val="24"/>
          <w:lang w:val="en-GB"/>
        </w:rPr>
        <w:lastRenderedPageBreak/>
        <w:t>Seok, J. E. (2010). Public long-term care insurance for the elderly in Korea: Design, characteristics, and tasks.</w:t>
      </w:r>
      <w:bookmarkEnd w:id="71"/>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Social Work in Public Health</w:t>
      </w:r>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25</w:t>
      </w:r>
      <w:r w:rsidRPr="00507DB2">
        <w:rPr>
          <w:rFonts w:asciiTheme="majorBidi" w:hAnsiTheme="majorBidi" w:cstheme="majorBidi"/>
          <w:sz w:val="24"/>
          <w:szCs w:val="24"/>
          <w:lang w:val="en-GB"/>
        </w:rPr>
        <w:t xml:space="preserve">(2), 185–209. </w:t>
      </w:r>
      <w:hyperlink r:id="rId51" w:history="1">
        <w:r w:rsidR="00671558" w:rsidRPr="00507DB2">
          <w:rPr>
            <w:rStyle w:val="Hyperlink"/>
            <w:rFonts w:asciiTheme="majorBidi" w:hAnsiTheme="majorBidi" w:cstheme="majorBidi"/>
            <w:sz w:val="24"/>
            <w:szCs w:val="24"/>
            <w:lang w:val="en-GB"/>
          </w:rPr>
          <w:t>https://doi.org/10.1080/19371910903547033</w:t>
        </w:r>
      </w:hyperlink>
    </w:p>
    <w:p w14:paraId="707E2256" w14:textId="77777777" w:rsidR="00F63F5D" w:rsidRPr="00507DB2" w:rsidRDefault="00F63F5D" w:rsidP="00F63F5D">
      <w:pPr>
        <w:pStyle w:val="CitaviBibliographyEntry"/>
        <w:rPr>
          <w:rFonts w:asciiTheme="majorBidi" w:hAnsiTheme="majorBidi" w:cstheme="majorBidi"/>
          <w:sz w:val="24"/>
          <w:szCs w:val="24"/>
          <w:lang w:val="en-GB"/>
        </w:rPr>
      </w:pPr>
      <w:bookmarkStart w:id="72" w:name="_CTVL0016490f28b6f9248f28f9a28e68ed43e86"/>
      <w:r w:rsidRPr="00507DB2">
        <w:rPr>
          <w:rFonts w:asciiTheme="majorBidi" w:hAnsiTheme="majorBidi" w:cstheme="majorBidi"/>
          <w:sz w:val="24"/>
          <w:szCs w:val="24"/>
          <w:lang w:val="en-GB"/>
        </w:rPr>
        <w:t>Spoor, L. (2014). Towards multi-pillar financing of Dutch long-term care for the elderly? In K.-P. Companje (Ed.),</w:t>
      </w:r>
      <w:bookmarkEnd w:id="72"/>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Financing high medical risks</w:t>
      </w:r>
      <w:r w:rsidRPr="00507DB2">
        <w:rPr>
          <w:rFonts w:asciiTheme="majorBidi" w:hAnsiTheme="majorBidi" w:cstheme="majorBidi"/>
          <w:sz w:val="24"/>
          <w:szCs w:val="24"/>
          <w:lang w:val="en-GB"/>
        </w:rPr>
        <w:t>. Amsterdam: Amsterdam University Press.</w:t>
      </w:r>
    </w:p>
    <w:p w14:paraId="7D90E679" w14:textId="2A439D5F" w:rsidR="00F63F5D" w:rsidRPr="00507DB2" w:rsidRDefault="00F63F5D" w:rsidP="00F63F5D">
      <w:pPr>
        <w:pStyle w:val="CitaviBibliographyEntry"/>
        <w:rPr>
          <w:rFonts w:asciiTheme="majorBidi" w:hAnsiTheme="majorBidi" w:cstheme="majorBidi"/>
          <w:sz w:val="24"/>
          <w:szCs w:val="24"/>
          <w:lang w:val="en-GB"/>
        </w:rPr>
      </w:pPr>
      <w:bookmarkStart w:id="73" w:name="_CTVL00115ecdb484e7544a2811bc80086830a8a"/>
      <w:r w:rsidRPr="00507DB2">
        <w:rPr>
          <w:rFonts w:asciiTheme="majorBidi" w:hAnsiTheme="majorBidi" w:cstheme="majorBidi"/>
          <w:sz w:val="24"/>
          <w:szCs w:val="24"/>
          <w:lang w:val="en-GB"/>
        </w:rPr>
        <w:t>Spruit, G., &amp; Hohmann, J. (2014).</w:t>
      </w:r>
      <w:bookmarkEnd w:id="73"/>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 xml:space="preserve">Pensions, Health and Long-term Care: Luxembourg </w:t>
      </w:r>
      <w:r w:rsidRPr="00507DB2">
        <w:rPr>
          <w:rFonts w:asciiTheme="majorBidi" w:hAnsiTheme="majorBidi" w:cstheme="majorBidi"/>
          <w:sz w:val="24"/>
          <w:szCs w:val="24"/>
          <w:lang w:val="en-GB"/>
        </w:rPr>
        <w:t xml:space="preserve">(asisp Country Document Update). Retrieved from European Commission website: </w:t>
      </w:r>
      <w:hyperlink r:id="rId52" w:history="1">
        <w:r w:rsidR="00671558" w:rsidRPr="00507DB2">
          <w:rPr>
            <w:rStyle w:val="Hyperlink"/>
            <w:rFonts w:asciiTheme="majorBidi" w:hAnsiTheme="majorBidi" w:cstheme="majorBidi"/>
            <w:sz w:val="24"/>
            <w:szCs w:val="24"/>
            <w:lang w:val="en-GB"/>
          </w:rPr>
          <w:t>http://ec.europa.eu/social/BlobServlet?docId=12973&amp;langId=en</w:t>
        </w:r>
      </w:hyperlink>
      <w:r w:rsidRPr="00507DB2">
        <w:rPr>
          <w:rFonts w:asciiTheme="majorBidi" w:hAnsiTheme="majorBidi" w:cstheme="majorBidi"/>
          <w:sz w:val="24"/>
          <w:szCs w:val="24"/>
          <w:lang w:val="en-GB"/>
        </w:rPr>
        <w:t xml:space="preserve"> </w:t>
      </w:r>
    </w:p>
    <w:p w14:paraId="5F57DAF8" w14:textId="77777777" w:rsidR="00F63F5D" w:rsidRPr="00507DB2" w:rsidRDefault="00F63F5D" w:rsidP="00F63F5D">
      <w:pPr>
        <w:pStyle w:val="CitaviBibliographyEntry"/>
        <w:rPr>
          <w:rFonts w:asciiTheme="majorBidi" w:hAnsiTheme="majorBidi" w:cstheme="majorBidi"/>
          <w:sz w:val="24"/>
          <w:szCs w:val="24"/>
          <w:lang w:val="en-GB"/>
        </w:rPr>
      </w:pPr>
      <w:bookmarkStart w:id="74" w:name="_CTVL001247084dda9234435b873d307b93031ed"/>
      <w:r w:rsidRPr="00507DB2">
        <w:rPr>
          <w:rFonts w:asciiTheme="majorBidi" w:hAnsiTheme="majorBidi" w:cstheme="majorBidi"/>
          <w:sz w:val="24"/>
          <w:szCs w:val="24"/>
          <w:lang w:val="en-GB"/>
        </w:rPr>
        <w:t>Sunwoo, D. (2012). The Present Situation and Problems of the Long-term Care Insurance in South Korea: From Comparative Perspectives between South Korea and Japan.</w:t>
      </w:r>
      <w:bookmarkEnd w:id="74"/>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Japanese Journal of Social Security Policy</w:t>
      </w:r>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9</w:t>
      </w:r>
      <w:r w:rsidRPr="00507DB2">
        <w:rPr>
          <w:rFonts w:asciiTheme="majorBidi" w:hAnsiTheme="majorBidi" w:cstheme="majorBidi"/>
          <w:sz w:val="24"/>
          <w:szCs w:val="24"/>
          <w:lang w:val="en-GB"/>
        </w:rPr>
        <w:t>(1), 49–60.</w:t>
      </w:r>
    </w:p>
    <w:p w14:paraId="11665BAC" w14:textId="3E43DC0D" w:rsidR="00F63F5D" w:rsidRPr="00507DB2" w:rsidRDefault="00F63F5D" w:rsidP="00F63F5D">
      <w:pPr>
        <w:pStyle w:val="CitaviBibliographyEntry"/>
        <w:rPr>
          <w:rFonts w:asciiTheme="majorBidi" w:hAnsiTheme="majorBidi" w:cstheme="majorBidi"/>
          <w:sz w:val="24"/>
          <w:szCs w:val="24"/>
          <w:lang w:val="de-DE"/>
        </w:rPr>
      </w:pPr>
      <w:bookmarkStart w:id="75" w:name="_CTVL0014278d2daa8dd4d77a7ef327e49c765ba"/>
      <w:r w:rsidRPr="00507DB2">
        <w:rPr>
          <w:rFonts w:asciiTheme="majorBidi" w:hAnsiTheme="majorBidi" w:cstheme="majorBidi"/>
          <w:sz w:val="24"/>
          <w:szCs w:val="24"/>
          <w:lang w:val="en-GB"/>
        </w:rPr>
        <w:t>Theobald, H. (2004).</w:t>
      </w:r>
      <w:bookmarkEnd w:id="75"/>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 xml:space="preserve">Care Services for the Elderly in Germany: Infrastructure, Access and Utilisation from the Perspective of Different User Groups </w:t>
      </w:r>
      <w:r w:rsidRPr="00507DB2">
        <w:rPr>
          <w:rFonts w:asciiTheme="majorBidi" w:hAnsiTheme="majorBidi" w:cstheme="majorBidi"/>
          <w:sz w:val="24"/>
          <w:szCs w:val="24"/>
          <w:lang w:val="en-GB"/>
        </w:rPr>
        <w:t xml:space="preserve">(Veröffentlichungsreihe der Arbeitsgruppe Public Health). </w:t>
      </w:r>
      <w:r w:rsidRPr="00507DB2">
        <w:rPr>
          <w:rFonts w:asciiTheme="majorBidi" w:hAnsiTheme="majorBidi" w:cstheme="majorBidi"/>
          <w:sz w:val="24"/>
          <w:szCs w:val="24"/>
          <w:lang w:val="de-DE"/>
        </w:rPr>
        <w:t xml:space="preserve">Retrieved from Wissenschaftszentrum Berlin für Sozialforschung (WZB) website: </w:t>
      </w:r>
      <w:hyperlink r:id="rId53" w:history="1">
        <w:r w:rsidR="00671558" w:rsidRPr="00507DB2">
          <w:rPr>
            <w:rStyle w:val="Hyperlink"/>
            <w:rFonts w:asciiTheme="majorBidi" w:hAnsiTheme="majorBidi" w:cstheme="majorBidi"/>
            <w:sz w:val="24"/>
            <w:szCs w:val="24"/>
            <w:lang w:val="de-DE"/>
          </w:rPr>
          <w:t>http://hdl.handle.net/10068/130346</w:t>
        </w:r>
      </w:hyperlink>
      <w:r w:rsidRPr="00507DB2">
        <w:rPr>
          <w:rFonts w:asciiTheme="majorBidi" w:hAnsiTheme="majorBidi" w:cstheme="majorBidi"/>
          <w:sz w:val="24"/>
          <w:szCs w:val="24"/>
          <w:lang w:val="de-DE"/>
        </w:rPr>
        <w:t xml:space="preserve"> </w:t>
      </w:r>
    </w:p>
    <w:p w14:paraId="4923BA29" w14:textId="77777777" w:rsidR="00F63F5D" w:rsidRPr="00507DB2" w:rsidRDefault="00F63F5D" w:rsidP="00F63F5D">
      <w:pPr>
        <w:pStyle w:val="CitaviBibliographyEntry"/>
        <w:rPr>
          <w:rFonts w:asciiTheme="majorBidi" w:hAnsiTheme="majorBidi" w:cstheme="majorBidi"/>
          <w:sz w:val="24"/>
          <w:szCs w:val="24"/>
          <w:lang w:val="en-GB"/>
        </w:rPr>
      </w:pPr>
      <w:bookmarkStart w:id="76" w:name="_CTVL001709d5cdf63aa48a5a88526ebfe7fb877"/>
      <w:r w:rsidRPr="00507DB2">
        <w:rPr>
          <w:rFonts w:asciiTheme="majorBidi" w:hAnsiTheme="majorBidi" w:cstheme="majorBidi"/>
          <w:sz w:val="24"/>
          <w:szCs w:val="24"/>
          <w:lang w:val="en-GB"/>
        </w:rPr>
        <w:t>Theobald, H. (2012). Home-based Care Provision within the German Welfare Mix.</w:t>
      </w:r>
      <w:bookmarkEnd w:id="76"/>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Health and Social Care in the Community</w:t>
      </w:r>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20</w:t>
      </w:r>
      <w:r w:rsidRPr="00507DB2">
        <w:rPr>
          <w:rFonts w:asciiTheme="majorBidi" w:hAnsiTheme="majorBidi" w:cstheme="majorBidi"/>
          <w:sz w:val="24"/>
          <w:szCs w:val="24"/>
          <w:lang w:val="en-GB"/>
        </w:rPr>
        <w:t>(3), 274–282.</w:t>
      </w:r>
    </w:p>
    <w:p w14:paraId="52B27A73" w14:textId="51A57BC7" w:rsidR="00F63F5D" w:rsidRPr="00507DB2" w:rsidRDefault="00F63F5D" w:rsidP="00F63F5D">
      <w:pPr>
        <w:pStyle w:val="CitaviBibliographyEntry"/>
        <w:rPr>
          <w:rFonts w:asciiTheme="majorBidi" w:hAnsiTheme="majorBidi" w:cstheme="majorBidi"/>
          <w:sz w:val="24"/>
          <w:szCs w:val="24"/>
          <w:lang w:val="en-GB"/>
        </w:rPr>
      </w:pPr>
      <w:bookmarkStart w:id="77" w:name="_CTVL001a83e600dc0c94f0d8cb78db265870bd2"/>
      <w:r w:rsidRPr="00507DB2">
        <w:rPr>
          <w:rFonts w:asciiTheme="majorBidi" w:hAnsiTheme="majorBidi" w:cstheme="majorBidi"/>
          <w:sz w:val="24"/>
          <w:szCs w:val="24"/>
          <w:lang w:val="en-GB"/>
        </w:rPr>
        <w:t>Theobald, H., Szebehely, M., Saito, Y., &amp; Ishiguro, N. (2018). Marketisation policies in different contexts: Consequences for home-care workers in Germany, Japan and Sweden.</w:t>
      </w:r>
      <w:bookmarkEnd w:id="77"/>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International Journal of Social Welfare</w:t>
      </w:r>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27</w:t>
      </w:r>
      <w:r w:rsidRPr="00507DB2">
        <w:rPr>
          <w:rFonts w:asciiTheme="majorBidi" w:hAnsiTheme="majorBidi" w:cstheme="majorBidi"/>
          <w:sz w:val="24"/>
          <w:szCs w:val="24"/>
          <w:lang w:val="en-GB"/>
        </w:rPr>
        <w:t xml:space="preserve">(3), 215–225. </w:t>
      </w:r>
      <w:hyperlink r:id="rId54" w:history="1">
        <w:r w:rsidR="00671558" w:rsidRPr="00507DB2">
          <w:rPr>
            <w:rStyle w:val="Hyperlink"/>
            <w:rFonts w:asciiTheme="majorBidi" w:hAnsiTheme="majorBidi" w:cstheme="majorBidi"/>
            <w:sz w:val="24"/>
            <w:szCs w:val="24"/>
            <w:lang w:val="en-GB"/>
          </w:rPr>
          <w:t>https://doi.org/10.1111/ijsw.12298</w:t>
        </w:r>
      </w:hyperlink>
    </w:p>
    <w:p w14:paraId="7C050417" w14:textId="067D4485" w:rsidR="00F63F5D" w:rsidRPr="00507DB2" w:rsidRDefault="00F63F5D" w:rsidP="00F63F5D">
      <w:pPr>
        <w:pStyle w:val="CitaviBibliographyEntry"/>
        <w:rPr>
          <w:rFonts w:asciiTheme="majorBidi" w:hAnsiTheme="majorBidi" w:cstheme="majorBidi"/>
          <w:sz w:val="24"/>
          <w:szCs w:val="24"/>
          <w:lang w:val="en-GB"/>
        </w:rPr>
      </w:pPr>
      <w:bookmarkStart w:id="78" w:name="_CTVL001639845fcb7754238a788c14c87ef131d"/>
      <w:r w:rsidRPr="00507DB2">
        <w:rPr>
          <w:rFonts w:asciiTheme="majorBidi" w:hAnsiTheme="majorBidi" w:cstheme="majorBidi"/>
          <w:sz w:val="24"/>
          <w:szCs w:val="24"/>
          <w:lang w:val="en-GB"/>
        </w:rPr>
        <w:t>Tsutsumi, S. (2014).</w:t>
      </w:r>
      <w:bookmarkEnd w:id="78"/>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Long-term Care Insurance in Japan: Undestanding the ideas behind its design</w:t>
      </w:r>
      <w:r w:rsidRPr="00507DB2">
        <w:rPr>
          <w:rFonts w:asciiTheme="majorBidi" w:hAnsiTheme="majorBidi" w:cstheme="majorBidi"/>
          <w:sz w:val="24"/>
          <w:szCs w:val="24"/>
          <w:lang w:val="en-GB"/>
        </w:rPr>
        <w:t xml:space="preserve">. Tokyo. Retrieved from </w:t>
      </w:r>
      <w:hyperlink r:id="rId55" w:history="1">
        <w:r w:rsidR="00671558" w:rsidRPr="00507DB2">
          <w:rPr>
            <w:rStyle w:val="Hyperlink"/>
            <w:rFonts w:asciiTheme="majorBidi" w:hAnsiTheme="majorBidi" w:cstheme="majorBidi"/>
            <w:sz w:val="24"/>
            <w:szCs w:val="24"/>
            <w:lang w:val="en-GB"/>
          </w:rPr>
          <w:t>https://www.jica.go.jp/english/our_work/thematic_issues/social/c8h0vm0000f4pxgh-att/insurance.pdf</w:t>
        </w:r>
      </w:hyperlink>
      <w:r w:rsidRPr="00507DB2">
        <w:rPr>
          <w:rFonts w:asciiTheme="majorBidi" w:hAnsiTheme="majorBidi" w:cstheme="majorBidi"/>
          <w:sz w:val="24"/>
          <w:szCs w:val="24"/>
          <w:lang w:val="en-GB"/>
        </w:rPr>
        <w:t xml:space="preserve"> </w:t>
      </w:r>
    </w:p>
    <w:p w14:paraId="402FF3EF" w14:textId="52B4860A" w:rsidR="00F63F5D" w:rsidRPr="00507DB2" w:rsidRDefault="00F63F5D" w:rsidP="00F63F5D">
      <w:pPr>
        <w:pStyle w:val="CitaviBibliographyEntry"/>
        <w:rPr>
          <w:rFonts w:asciiTheme="majorBidi" w:hAnsiTheme="majorBidi" w:cstheme="majorBidi"/>
          <w:sz w:val="24"/>
          <w:szCs w:val="24"/>
          <w:lang w:val="en-GB"/>
        </w:rPr>
      </w:pPr>
      <w:bookmarkStart w:id="79" w:name="_CTVL0015a29998be5be42acac671d2e59f0ef58"/>
      <w:r w:rsidRPr="00507DB2">
        <w:rPr>
          <w:rFonts w:asciiTheme="majorBidi" w:hAnsiTheme="majorBidi" w:cstheme="majorBidi"/>
          <w:sz w:val="24"/>
          <w:szCs w:val="24"/>
          <w:lang w:val="de-DE"/>
        </w:rPr>
        <w:t xml:space="preserve">Van Hooren, F., &amp; Becker, U. [Uwe] (2012). </w:t>
      </w:r>
      <w:r w:rsidRPr="00507DB2">
        <w:rPr>
          <w:rFonts w:asciiTheme="majorBidi" w:hAnsiTheme="majorBidi" w:cstheme="majorBidi"/>
          <w:sz w:val="24"/>
          <w:szCs w:val="24"/>
          <w:lang w:val="en-GB"/>
        </w:rPr>
        <w:t>One Welfare State, Two Care Regimes: Understanding Developments in Child and Elderly Care Policies in the Netherlands.</w:t>
      </w:r>
      <w:bookmarkEnd w:id="79"/>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Social Policy &amp; Administration</w:t>
      </w:r>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46</w:t>
      </w:r>
      <w:r w:rsidRPr="00507DB2">
        <w:rPr>
          <w:rFonts w:asciiTheme="majorBidi" w:hAnsiTheme="majorBidi" w:cstheme="majorBidi"/>
          <w:sz w:val="24"/>
          <w:szCs w:val="24"/>
          <w:lang w:val="en-GB"/>
        </w:rPr>
        <w:t xml:space="preserve">(1), 83–107. </w:t>
      </w:r>
      <w:hyperlink r:id="rId56" w:history="1">
        <w:r w:rsidR="00671558" w:rsidRPr="00507DB2">
          <w:rPr>
            <w:rStyle w:val="Hyperlink"/>
            <w:rFonts w:asciiTheme="majorBidi" w:hAnsiTheme="majorBidi" w:cstheme="majorBidi"/>
            <w:sz w:val="24"/>
            <w:szCs w:val="24"/>
            <w:lang w:val="en-GB"/>
          </w:rPr>
          <w:t>https://doi.org/10.1111/j.1467-9515.2011.00808.x</w:t>
        </w:r>
      </w:hyperlink>
    </w:p>
    <w:p w14:paraId="2BDFBC0E" w14:textId="341E7224" w:rsidR="00F63F5D" w:rsidRPr="00507DB2" w:rsidRDefault="00F63F5D" w:rsidP="00F63F5D">
      <w:pPr>
        <w:pStyle w:val="CitaviBibliographyEntry"/>
        <w:rPr>
          <w:rFonts w:asciiTheme="majorBidi" w:hAnsiTheme="majorBidi" w:cstheme="majorBidi"/>
          <w:sz w:val="24"/>
          <w:szCs w:val="24"/>
          <w:lang w:val="en-GB"/>
        </w:rPr>
      </w:pPr>
      <w:bookmarkStart w:id="80" w:name="_CTVL0013b0bbadea97b4702af4d0684fbd7af9c"/>
      <w:r w:rsidRPr="00507DB2">
        <w:rPr>
          <w:rFonts w:asciiTheme="majorBidi" w:hAnsiTheme="majorBidi" w:cstheme="majorBidi"/>
          <w:sz w:val="24"/>
          <w:szCs w:val="24"/>
          <w:lang w:val="en-GB"/>
        </w:rPr>
        <w:t>Van Nostrand, J. F., Howe, A. L., Havens, B., Bray, D., van der Heuvel, W. J., Romoren, T. I., &amp; Clark, R. (1995).</w:t>
      </w:r>
      <w:bookmarkEnd w:id="80"/>
      <w:r w:rsidRPr="00507DB2">
        <w:rPr>
          <w:rFonts w:asciiTheme="majorBidi" w:hAnsiTheme="majorBidi" w:cstheme="majorBidi"/>
          <w:sz w:val="24"/>
          <w:szCs w:val="24"/>
          <w:lang w:val="en-GB"/>
        </w:rPr>
        <w:t xml:space="preserve"> </w:t>
      </w:r>
      <w:r w:rsidRPr="00507DB2">
        <w:rPr>
          <w:rFonts w:asciiTheme="majorBidi" w:hAnsiTheme="majorBidi" w:cstheme="majorBidi"/>
          <w:i/>
          <w:sz w:val="24"/>
          <w:szCs w:val="24"/>
          <w:lang w:val="en-GB"/>
        </w:rPr>
        <w:t xml:space="preserve">Overview of Long Term Care in Five Nations: Australia, Canada, the Netherlands, Norway and The United States </w:t>
      </w:r>
      <w:r w:rsidRPr="00507DB2">
        <w:rPr>
          <w:rFonts w:asciiTheme="majorBidi" w:hAnsiTheme="majorBidi" w:cstheme="majorBidi"/>
          <w:sz w:val="24"/>
          <w:szCs w:val="24"/>
          <w:lang w:val="en-GB"/>
        </w:rPr>
        <w:t xml:space="preserve">(Research from the International Collaborative Effort on Aging). Retrieved from U.S. Department of Health and Human Services Assistant Secretary for Planning and Evaluation Office of Disability, Aging and Long-Term Care Policy website: </w:t>
      </w:r>
      <w:hyperlink r:id="rId57" w:history="1">
        <w:r w:rsidR="00671558" w:rsidRPr="00507DB2">
          <w:rPr>
            <w:rStyle w:val="Hyperlink"/>
            <w:rFonts w:asciiTheme="majorBidi" w:hAnsiTheme="majorBidi" w:cstheme="majorBidi"/>
            <w:sz w:val="24"/>
            <w:szCs w:val="24"/>
            <w:lang w:val="en-GB"/>
          </w:rPr>
          <w:t>https://aspe.hhs.gov/system/files/pdf/73646/5overvie.pdf</w:t>
        </w:r>
      </w:hyperlink>
      <w:r w:rsidRPr="00507DB2">
        <w:rPr>
          <w:rFonts w:asciiTheme="majorBidi" w:hAnsiTheme="majorBidi" w:cstheme="majorBidi"/>
          <w:sz w:val="24"/>
          <w:szCs w:val="24"/>
          <w:lang w:val="en-GB"/>
        </w:rPr>
        <w:t xml:space="preserve"> </w:t>
      </w:r>
    </w:p>
    <w:p w14:paraId="6F459F1D" w14:textId="77777777" w:rsidR="00F63F5D" w:rsidRPr="00507DB2" w:rsidRDefault="00F63F5D" w:rsidP="00F63F5D">
      <w:pPr>
        <w:pStyle w:val="CitaviBibliographyEntry"/>
        <w:rPr>
          <w:rFonts w:asciiTheme="majorBidi" w:hAnsiTheme="majorBidi" w:cstheme="majorBidi"/>
          <w:sz w:val="24"/>
          <w:szCs w:val="24"/>
          <w:lang w:val="de-DE"/>
        </w:rPr>
      </w:pPr>
      <w:bookmarkStart w:id="81" w:name="_CTVL00121094576dcae4f258cc9a4173bd317c9"/>
      <w:r w:rsidRPr="00507DB2">
        <w:rPr>
          <w:rFonts w:asciiTheme="majorBidi" w:hAnsiTheme="majorBidi" w:cstheme="majorBidi"/>
          <w:sz w:val="24"/>
          <w:szCs w:val="24"/>
          <w:lang w:val="de-DE"/>
        </w:rPr>
        <w:t>Winters, S. (1996).</w:t>
      </w:r>
      <w:bookmarkEnd w:id="81"/>
      <w:r w:rsidRPr="00507DB2">
        <w:rPr>
          <w:rFonts w:asciiTheme="majorBidi" w:hAnsiTheme="majorBidi" w:cstheme="majorBidi"/>
          <w:sz w:val="24"/>
          <w:szCs w:val="24"/>
          <w:lang w:val="de-DE"/>
        </w:rPr>
        <w:t xml:space="preserve"> </w:t>
      </w:r>
      <w:r w:rsidRPr="00507DB2">
        <w:rPr>
          <w:rFonts w:asciiTheme="majorBidi" w:hAnsiTheme="majorBidi" w:cstheme="majorBidi"/>
          <w:i/>
          <w:sz w:val="24"/>
          <w:szCs w:val="24"/>
          <w:lang w:val="de-DE"/>
        </w:rPr>
        <w:t xml:space="preserve">Die kollektive Vorsorge für den Pflegefall im Alter: Eine Untersuchung am Beispiel der gesetzlichen Pflegeversicherung in den Niederlanden </w:t>
      </w:r>
      <w:r w:rsidRPr="00507DB2">
        <w:rPr>
          <w:rFonts w:asciiTheme="majorBidi" w:hAnsiTheme="majorBidi" w:cstheme="majorBidi"/>
          <w:sz w:val="24"/>
          <w:szCs w:val="24"/>
          <w:lang w:val="de-DE"/>
        </w:rPr>
        <w:t xml:space="preserve">(1st, New ed.). </w:t>
      </w:r>
      <w:r w:rsidRPr="00507DB2">
        <w:rPr>
          <w:rFonts w:asciiTheme="majorBidi" w:hAnsiTheme="majorBidi" w:cstheme="majorBidi"/>
          <w:i/>
          <w:sz w:val="24"/>
          <w:szCs w:val="24"/>
          <w:lang w:val="de-DE"/>
        </w:rPr>
        <w:t>Finanzwissenschaftliche Schriften: Vol. 73</w:t>
      </w:r>
      <w:r w:rsidRPr="00507DB2">
        <w:rPr>
          <w:rFonts w:asciiTheme="majorBidi" w:hAnsiTheme="majorBidi" w:cstheme="majorBidi"/>
          <w:sz w:val="24"/>
          <w:szCs w:val="24"/>
          <w:lang w:val="de-DE"/>
        </w:rPr>
        <w:t xml:space="preserve">. Frankfurt a.M.: Peter Lang GmbH, Internationaler Verlag der Wissenschaften. </w:t>
      </w:r>
    </w:p>
    <w:p w14:paraId="474A97FE" w14:textId="77777777" w:rsidR="00F63F5D" w:rsidRPr="00507DB2" w:rsidRDefault="00F63F5D" w:rsidP="00F63F5D">
      <w:pPr>
        <w:pStyle w:val="CitaviBibliographyEntry"/>
        <w:rPr>
          <w:rFonts w:asciiTheme="majorBidi" w:hAnsiTheme="majorBidi" w:cstheme="majorBidi"/>
          <w:sz w:val="24"/>
          <w:szCs w:val="24"/>
          <w:lang w:val="de-DE"/>
        </w:rPr>
      </w:pPr>
      <w:bookmarkStart w:id="82" w:name="_CTVL001dd054d52255e4ac9ace69407e8135408"/>
      <w:r w:rsidRPr="00507DB2">
        <w:rPr>
          <w:rFonts w:asciiTheme="majorBidi" w:hAnsiTheme="majorBidi" w:cstheme="majorBidi"/>
          <w:sz w:val="24"/>
          <w:szCs w:val="24"/>
          <w:lang w:val="de-DE"/>
        </w:rPr>
        <w:t>Winters, S. (1999). Pflegesicherung in den Niederlanden. In R. Eisen &amp; H.-C. Mager (Eds.),</w:t>
      </w:r>
      <w:bookmarkEnd w:id="82"/>
      <w:r w:rsidRPr="00507DB2">
        <w:rPr>
          <w:rFonts w:asciiTheme="majorBidi" w:hAnsiTheme="majorBidi" w:cstheme="majorBidi"/>
          <w:sz w:val="24"/>
          <w:szCs w:val="24"/>
          <w:lang w:val="de-DE"/>
        </w:rPr>
        <w:t xml:space="preserve"> </w:t>
      </w:r>
      <w:r w:rsidRPr="00507DB2">
        <w:rPr>
          <w:rFonts w:asciiTheme="majorBidi" w:hAnsiTheme="majorBidi" w:cstheme="majorBidi"/>
          <w:i/>
          <w:sz w:val="24"/>
          <w:szCs w:val="24"/>
          <w:lang w:val="de-DE"/>
        </w:rPr>
        <w:t xml:space="preserve">Pflegebedürftigkeit und Pflegesicherung in ausgewählten Ländern </w:t>
      </w:r>
      <w:r w:rsidRPr="00507DB2">
        <w:rPr>
          <w:rFonts w:asciiTheme="majorBidi" w:hAnsiTheme="majorBidi" w:cstheme="majorBidi"/>
          <w:sz w:val="24"/>
          <w:szCs w:val="24"/>
          <w:lang w:val="de-DE"/>
        </w:rPr>
        <w:t>(pp. 309–322). Oplanden: Leske + Budrich.</w:t>
      </w:r>
    </w:p>
    <w:p w14:paraId="68F520EB" w14:textId="24FB4435" w:rsidR="002B4B80" w:rsidRPr="00507DB2" w:rsidRDefault="00F63F5D" w:rsidP="00507DB2">
      <w:pPr>
        <w:pStyle w:val="CitaviBibliographyEntry"/>
        <w:rPr>
          <w:rFonts w:asciiTheme="majorBidi" w:hAnsiTheme="majorBidi" w:cstheme="majorBidi"/>
          <w:sz w:val="24"/>
          <w:szCs w:val="24"/>
          <w:lang w:val="de-DE"/>
        </w:rPr>
      </w:pPr>
      <w:bookmarkStart w:id="83" w:name="_CTVL001a6fd6755307642529bd05ac8bc43355b"/>
      <w:r w:rsidRPr="00507DB2">
        <w:rPr>
          <w:rFonts w:asciiTheme="majorBidi" w:hAnsiTheme="majorBidi" w:cstheme="majorBidi"/>
          <w:sz w:val="24"/>
          <w:szCs w:val="24"/>
          <w:lang w:val="de-DE"/>
        </w:rPr>
        <w:t xml:space="preserve">Zorguerzekeraars Nederland (n.d.). Zorgenkantoren. Retrieved from </w:t>
      </w:r>
      <w:bookmarkEnd w:id="83"/>
      <w:r w:rsidR="00671558" w:rsidRPr="00507DB2">
        <w:rPr>
          <w:rFonts w:asciiTheme="majorBidi" w:hAnsiTheme="majorBidi" w:cstheme="majorBidi"/>
          <w:sz w:val="24"/>
          <w:szCs w:val="24"/>
          <w:lang w:val="de-DE"/>
        </w:rPr>
        <w:fldChar w:fldCharType="begin"/>
      </w:r>
      <w:r w:rsidR="00671558" w:rsidRPr="00507DB2">
        <w:rPr>
          <w:rFonts w:asciiTheme="majorBidi" w:hAnsiTheme="majorBidi" w:cstheme="majorBidi"/>
          <w:sz w:val="24"/>
          <w:szCs w:val="24"/>
          <w:lang w:val="de-DE"/>
        </w:rPr>
        <w:instrText xml:space="preserve"> HYPERLINK "https://www.zn.nl/350584833/Zorgkantoren" </w:instrText>
      </w:r>
      <w:r w:rsidR="00671558" w:rsidRPr="00507DB2">
        <w:rPr>
          <w:rFonts w:asciiTheme="majorBidi" w:hAnsiTheme="majorBidi" w:cstheme="majorBidi"/>
          <w:sz w:val="24"/>
          <w:szCs w:val="24"/>
          <w:lang w:val="de-DE"/>
        </w:rPr>
        <w:fldChar w:fldCharType="separate"/>
      </w:r>
      <w:r w:rsidR="00671558" w:rsidRPr="00507DB2">
        <w:rPr>
          <w:rStyle w:val="Hyperlink"/>
          <w:rFonts w:asciiTheme="majorBidi" w:hAnsiTheme="majorBidi" w:cstheme="majorBidi"/>
          <w:sz w:val="24"/>
          <w:szCs w:val="24"/>
          <w:lang w:val="de-DE"/>
        </w:rPr>
        <w:t>https://www.zn.nl/350584833/Zorgkantoren</w:t>
      </w:r>
      <w:r w:rsidR="00671558" w:rsidRPr="00507DB2">
        <w:rPr>
          <w:rFonts w:asciiTheme="majorBidi" w:hAnsiTheme="majorBidi" w:cstheme="majorBidi"/>
          <w:sz w:val="24"/>
          <w:szCs w:val="24"/>
          <w:lang w:val="de-DE"/>
        </w:rPr>
        <w:fldChar w:fldCharType="end"/>
      </w:r>
      <w:bookmarkStart w:id="84" w:name="_GoBack"/>
      <w:bookmarkEnd w:id="84"/>
    </w:p>
    <w:sectPr w:rsidR="002B4B80" w:rsidRPr="00507DB2" w:rsidSect="00F8555C">
      <w:footerReference w:type="default" r:id="rId58"/>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6321B" w14:textId="77777777" w:rsidR="00BB0898" w:rsidRDefault="00BB0898" w:rsidP="00FF407A">
      <w:pPr>
        <w:spacing w:after="0" w:line="240" w:lineRule="auto"/>
      </w:pPr>
      <w:r>
        <w:separator/>
      </w:r>
    </w:p>
  </w:endnote>
  <w:endnote w:type="continuationSeparator" w:id="0">
    <w:p w14:paraId="613B59E9" w14:textId="77777777" w:rsidR="00BB0898" w:rsidRDefault="00BB0898" w:rsidP="00FF4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7209481"/>
      <w:docPartObj>
        <w:docPartGallery w:val="Page Numbers (Bottom of Page)"/>
        <w:docPartUnique/>
      </w:docPartObj>
    </w:sdtPr>
    <w:sdtEndPr/>
    <w:sdtContent>
      <w:p w14:paraId="70A60C8D" w14:textId="0343002E" w:rsidR="00FF407A" w:rsidRDefault="00FF407A">
        <w:pPr>
          <w:pStyle w:val="Fuzeile"/>
          <w:jc w:val="right"/>
        </w:pPr>
        <w:r w:rsidRPr="00FF407A">
          <w:rPr>
            <w:rFonts w:asciiTheme="majorBidi" w:hAnsiTheme="majorBidi" w:cstheme="majorBidi"/>
            <w:sz w:val="24"/>
            <w:szCs w:val="24"/>
          </w:rPr>
          <w:fldChar w:fldCharType="begin"/>
        </w:r>
        <w:r w:rsidRPr="00FF407A">
          <w:rPr>
            <w:rFonts w:asciiTheme="majorBidi" w:hAnsiTheme="majorBidi" w:cstheme="majorBidi"/>
            <w:sz w:val="24"/>
            <w:szCs w:val="24"/>
          </w:rPr>
          <w:instrText>PAGE   \* MERGEFORMAT</w:instrText>
        </w:r>
        <w:r w:rsidRPr="00FF407A">
          <w:rPr>
            <w:rFonts w:asciiTheme="majorBidi" w:hAnsiTheme="majorBidi" w:cstheme="majorBidi"/>
            <w:sz w:val="24"/>
            <w:szCs w:val="24"/>
          </w:rPr>
          <w:fldChar w:fldCharType="separate"/>
        </w:r>
        <w:r w:rsidRPr="00FF407A">
          <w:rPr>
            <w:rFonts w:asciiTheme="majorBidi" w:hAnsiTheme="majorBidi" w:cstheme="majorBidi"/>
            <w:sz w:val="24"/>
            <w:szCs w:val="24"/>
            <w:lang w:val="de-DE"/>
          </w:rPr>
          <w:t>2</w:t>
        </w:r>
        <w:r w:rsidRPr="00FF407A">
          <w:rPr>
            <w:rFonts w:asciiTheme="majorBidi" w:hAnsiTheme="majorBidi" w:cstheme="majorBidi"/>
            <w:sz w:val="24"/>
            <w:szCs w:val="24"/>
          </w:rPr>
          <w:fldChar w:fldCharType="end"/>
        </w:r>
      </w:p>
    </w:sdtContent>
  </w:sdt>
  <w:p w14:paraId="2D286399" w14:textId="77777777" w:rsidR="00FF407A" w:rsidRDefault="00FF407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ECA0C" w14:textId="77777777" w:rsidR="00BB0898" w:rsidRDefault="00BB0898" w:rsidP="00FF407A">
      <w:pPr>
        <w:spacing w:after="0" w:line="240" w:lineRule="auto"/>
      </w:pPr>
      <w:r>
        <w:separator/>
      </w:r>
    </w:p>
  </w:footnote>
  <w:footnote w:type="continuationSeparator" w:id="0">
    <w:p w14:paraId="52FD2646" w14:textId="77777777" w:rsidR="00BB0898" w:rsidRDefault="00BB0898" w:rsidP="00FF40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F2ACD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41000D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803268E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39140B1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952A077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34B3C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A4C39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9A82A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2081F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2BCCF3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2DCC1D29"/>
    <w:multiLevelType w:val="hybridMultilevel"/>
    <w:tmpl w:val="03784A90"/>
    <w:lvl w:ilvl="0" w:tplc="D09C75AE">
      <w:numFmt w:val="bullet"/>
      <w:lvlText w:val=""/>
      <w:lvlJc w:val="left"/>
      <w:pPr>
        <w:ind w:left="720" w:hanging="360"/>
      </w:pPr>
      <w:rPr>
        <w:rFonts w:ascii="Wingdings" w:eastAsiaTheme="minorEastAsia"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7206B"/>
    <w:multiLevelType w:val="hybridMultilevel"/>
    <w:tmpl w:val="2C006966"/>
    <w:lvl w:ilvl="0" w:tplc="AFB66D3C">
      <w:numFmt w:val="bullet"/>
      <w:lvlText w:val="-"/>
      <w:lvlJc w:val="left"/>
      <w:pPr>
        <w:ind w:left="502" w:hanging="360"/>
      </w:pPr>
      <w:rPr>
        <w:rFonts w:ascii="Calibri" w:eastAsiaTheme="minorEastAsia" w:hAnsi="Calibri" w:cs="Calibri"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2" w15:restartNumberingAfterBreak="0">
    <w:nsid w:val="72351FC2"/>
    <w:multiLevelType w:val="hybridMultilevel"/>
    <w:tmpl w:val="3CA25C94"/>
    <w:lvl w:ilvl="0" w:tplc="4F7CBE18">
      <w:numFmt w:val="bullet"/>
      <w:lvlText w:val=""/>
      <w:lvlJc w:val="left"/>
      <w:pPr>
        <w:ind w:left="720" w:hanging="360"/>
      </w:pPr>
      <w:rPr>
        <w:rFonts w:ascii="Wingdings" w:eastAsiaTheme="minorEastAsia"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0"/>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55C"/>
    <w:rsid w:val="000034DD"/>
    <w:rsid w:val="000075B4"/>
    <w:rsid w:val="00012E21"/>
    <w:rsid w:val="000218B9"/>
    <w:rsid w:val="000425DF"/>
    <w:rsid w:val="000462C4"/>
    <w:rsid w:val="00052B4D"/>
    <w:rsid w:val="00053404"/>
    <w:rsid w:val="000542D8"/>
    <w:rsid w:val="00066FBD"/>
    <w:rsid w:val="00067A87"/>
    <w:rsid w:val="00071542"/>
    <w:rsid w:val="00087753"/>
    <w:rsid w:val="000A2894"/>
    <w:rsid w:val="000A5741"/>
    <w:rsid w:val="000B5212"/>
    <w:rsid w:val="000B5ED8"/>
    <w:rsid w:val="000D3F9A"/>
    <w:rsid w:val="000D41FE"/>
    <w:rsid w:val="000D7BF8"/>
    <w:rsid w:val="000E1C67"/>
    <w:rsid w:val="000E5129"/>
    <w:rsid w:val="00117601"/>
    <w:rsid w:val="00121EC6"/>
    <w:rsid w:val="0014466D"/>
    <w:rsid w:val="001503BA"/>
    <w:rsid w:val="00175B3A"/>
    <w:rsid w:val="00175FE0"/>
    <w:rsid w:val="001923BD"/>
    <w:rsid w:val="001A763C"/>
    <w:rsid w:val="001D303F"/>
    <w:rsid w:val="00203EE6"/>
    <w:rsid w:val="00233A1E"/>
    <w:rsid w:val="00242C36"/>
    <w:rsid w:val="002436C9"/>
    <w:rsid w:val="00260061"/>
    <w:rsid w:val="00273902"/>
    <w:rsid w:val="00277725"/>
    <w:rsid w:val="0028504C"/>
    <w:rsid w:val="00287BD4"/>
    <w:rsid w:val="002B4B80"/>
    <w:rsid w:val="002C7105"/>
    <w:rsid w:val="002D15FC"/>
    <w:rsid w:val="002D2341"/>
    <w:rsid w:val="002D7CCC"/>
    <w:rsid w:val="002E740A"/>
    <w:rsid w:val="002F0BF9"/>
    <w:rsid w:val="003117BB"/>
    <w:rsid w:val="00315AEB"/>
    <w:rsid w:val="00321CD3"/>
    <w:rsid w:val="00327010"/>
    <w:rsid w:val="00344335"/>
    <w:rsid w:val="00347568"/>
    <w:rsid w:val="003526A2"/>
    <w:rsid w:val="00364FB0"/>
    <w:rsid w:val="00387868"/>
    <w:rsid w:val="003A11FC"/>
    <w:rsid w:val="003B1020"/>
    <w:rsid w:val="003C2931"/>
    <w:rsid w:val="003D160C"/>
    <w:rsid w:val="003D3F94"/>
    <w:rsid w:val="003D3FCC"/>
    <w:rsid w:val="003E7BF1"/>
    <w:rsid w:val="003F331A"/>
    <w:rsid w:val="003F5FEB"/>
    <w:rsid w:val="004020BB"/>
    <w:rsid w:val="00402114"/>
    <w:rsid w:val="00412FBA"/>
    <w:rsid w:val="004274BD"/>
    <w:rsid w:val="004308C8"/>
    <w:rsid w:val="00442EB6"/>
    <w:rsid w:val="00452328"/>
    <w:rsid w:val="00452712"/>
    <w:rsid w:val="004816A2"/>
    <w:rsid w:val="00493552"/>
    <w:rsid w:val="00495D4A"/>
    <w:rsid w:val="004A2572"/>
    <w:rsid w:val="004B31CA"/>
    <w:rsid w:val="004B64A9"/>
    <w:rsid w:val="004D7A64"/>
    <w:rsid w:val="004E7902"/>
    <w:rsid w:val="004F4D7C"/>
    <w:rsid w:val="00501A98"/>
    <w:rsid w:val="00507DB2"/>
    <w:rsid w:val="00511A9E"/>
    <w:rsid w:val="00521A78"/>
    <w:rsid w:val="0052333A"/>
    <w:rsid w:val="00536AC2"/>
    <w:rsid w:val="00556061"/>
    <w:rsid w:val="00557342"/>
    <w:rsid w:val="005607D0"/>
    <w:rsid w:val="00563D15"/>
    <w:rsid w:val="00567E07"/>
    <w:rsid w:val="00576898"/>
    <w:rsid w:val="00586C8C"/>
    <w:rsid w:val="005A0947"/>
    <w:rsid w:val="005B03B4"/>
    <w:rsid w:val="005C616D"/>
    <w:rsid w:val="005D2EBA"/>
    <w:rsid w:val="005D620F"/>
    <w:rsid w:val="005E5218"/>
    <w:rsid w:val="005F603A"/>
    <w:rsid w:val="00603755"/>
    <w:rsid w:val="006241BE"/>
    <w:rsid w:val="00635DAB"/>
    <w:rsid w:val="00671558"/>
    <w:rsid w:val="00671D1E"/>
    <w:rsid w:val="0067260C"/>
    <w:rsid w:val="00675DAA"/>
    <w:rsid w:val="00686119"/>
    <w:rsid w:val="006A37BB"/>
    <w:rsid w:val="006B0AF7"/>
    <w:rsid w:val="006B3247"/>
    <w:rsid w:val="006B5FE8"/>
    <w:rsid w:val="006B78DD"/>
    <w:rsid w:val="006F1DDF"/>
    <w:rsid w:val="0070023B"/>
    <w:rsid w:val="00703E09"/>
    <w:rsid w:val="007044DE"/>
    <w:rsid w:val="007147DF"/>
    <w:rsid w:val="00722B6A"/>
    <w:rsid w:val="00726708"/>
    <w:rsid w:val="00735FA2"/>
    <w:rsid w:val="00740BAF"/>
    <w:rsid w:val="00746C62"/>
    <w:rsid w:val="00770978"/>
    <w:rsid w:val="007818F5"/>
    <w:rsid w:val="007A0473"/>
    <w:rsid w:val="008030BF"/>
    <w:rsid w:val="008036C3"/>
    <w:rsid w:val="00803C4A"/>
    <w:rsid w:val="008204BD"/>
    <w:rsid w:val="00830E8F"/>
    <w:rsid w:val="0085339D"/>
    <w:rsid w:val="00863758"/>
    <w:rsid w:val="00877D25"/>
    <w:rsid w:val="00886075"/>
    <w:rsid w:val="008A2034"/>
    <w:rsid w:val="008C2314"/>
    <w:rsid w:val="008C3258"/>
    <w:rsid w:val="008C6195"/>
    <w:rsid w:val="008E0EA9"/>
    <w:rsid w:val="00917C27"/>
    <w:rsid w:val="00925CC7"/>
    <w:rsid w:val="00935C60"/>
    <w:rsid w:val="009A4B0B"/>
    <w:rsid w:val="009B31A1"/>
    <w:rsid w:val="009B4A8C"/>
    <w:rsid w:val="009D69F5"/>
    <w:rsid w:val="009F7C55"/>
    <w:rsid w:val="00A14265"/>
    <w:rsid w:val="00A326DA"/>
    <w:rsid w:val="00A4415A"/>
    <w:rsid w:val="00A44174"/>
    <w:rsid w:val="00A90014"/>
    <w:rsid w:val="00AD5E33"/>
    <w:rsid w:val="00B031E3"/>
    <w:rsid w:val="00B135C7"/>
    <w:rsid w:val="00B1367E"/>
    <w:rsid w:val="00B274C8"/>
    <w:rsid w:val="00B336D3"/>
    <w:rsid w:val="00B72E4A"/>
    <w:rsid w:val="00B7450F"/>
    <w:rsid w:val="00B82A89"/>
    <w:rsid w:val="00B8469F"/>
    <w:rsid w:val="00BB0898"/>
    <w:rsid w:val="00BB3FEE"/>
    <w:rsid w:val="00BB5103"/>
    <w:rsid w:val="00BC4D21"/>
    <w:rsid w:val="00BC543F"/>
    <w:rsid w:val="00BD581B"/>
    <w:rsid w:val="00BD6E6F"/>
    <w:rsid w:val="00BE1B2A"/>
    <w:rsid w:val="00BF2096"/>
    <w:rsid w:val="00BF257F"/>
    <w:rsid w:val="00BF68B3"/>
    <w:rsid w:val="00BF708C"/>
    <w:rsid w:val="00C06885"/>
    <w:rsid w:val="00C10A2C"/>
    <w:rsid w:val="00C373CB"/>
    <w:rsid w:val="00C6168E"/>
    <w:rsid w:val="00C702B8"/>
    <w:rsid w:val="00C84B10"/>
    <w:rsid w:val="00C95C8A"/>
    <w:rsid w:val="00C97955"/>
    <w:rsid w:val="00CB4FA3"/>
    <w:rsid w:val="00CC4C98"/>
    <w:rsid w:val="00CE3B78"/>
    <w:rsid w:val="00CE6965"/>
    <w:rsid w:val="00CF260C"/>
    <w:rsid w:val="00D150B0"/>
    <w:rsid w:val="00D16E39"/>
    <w:rsid w:val="00D17C5D"/>
    <w:rsid w:val="00D2333B"/>
    <w:rsid w:val="00D66B6B"/>
    <w:rsid w:val="00D75C39"/>
    <w:rsid w:val="00D85422"/>
    <w:rsid w:val="00DB47BD"/>
    <w:rsid w:val="00DB532F"/>
    <w:rsid w:val="00DC7365"/>
    <w:rsid w:val="00DD17F1"/>
    <w:rsid w:val="00DD2461"/>
    <w:rsid w:val="00DD6E0B"/>
    <w:rsid w:val="00E11CDC"/>
    <w:rsid w:val="00E14924"/>
    <w:rsid w:val="00E211CC"/>
    <w:rsid w:val="00E25F42"/>
    <w:rsid w:val="00E41386"/>
    <w:rsid w:val="00E4334B"/>
    <w:rsid w:val="00E4556E"/>
    <w:rsid w:val="00E621F7"/>
    <w:rsid w:val="00E70A0C"/>
    <w:rsid w:val="00E84156"/>
    <w:rsid w:val="00E86260"/>
    <w:rsid w:val="00E90101"/>
    <w:rsid w:val="00EA20D5"/>
    <w:rsid w:val="00EA3A7A"/>
    <w:rsid w:val="00EA6FA9"/>
    <w:rsid w:val="00EC4B1E"/>
    <w:rsid w:val="00EC6FF8"/>
    <w:rsid w:val="00EF0A72"/>
    <w:rsid w:val="00F17FD9"/>
    <w:rsid w:val="00F366F0"/>
    <w:rsid w:val="00F42767"/>
    <w:rsid w:val="00F63F5D"/>
    <w:rsid w:val="00F655E3"/>
    <w:rsid w:val="00F84D9F"/>
    <w:rsid w:val="00F8555C"/>
    <w:rsid w:val="00F93334"/>
    <w:rsid w:val="00FA624A"/>
    <w:rsid w:val="00FA6529"/>
    <w:rsid w:val="00FB23A0"/>
    <w:rsid w:val="00FB56F6"/>
    <w:rsid w:val="00FF407A"/>
    <w:rsid w:val="00FF4C1C"/>
    <w:rsid w:val="00FF70AB"/>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B6EE1"/>
  <w15:chartTrackingRefBased/>
  <w15:docId w15:val="{A6BF0C59-9E6D-4F4E-8E0F-225390EE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noProof/>
    </w:rPr>
  </w:style>
  <w:style w:type="paragraph" w:styleId="berschrift1">
    <w:name w:val="heading 1"/>
    <w:basedOn w:val="Standard"/>
    <w:next w:val="Standard"/>
    <w:link w:val="berschrift1Zchn"/>
    <w:uiPriority w:val="9"/>
    <w:qFormat/>
    <w:rsid w:val="00E433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E433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E4334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E4334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E4334B"/>
    <w:pPr>
      <w:keepNext/>
      <w:keepLines/>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E4334B"/>
    <w:pPr>
      <w:keepNext/>
      <w:keepLines/>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E4334B"/>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E4334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4334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Wissenschafttext">
    <w:name w:val="Wissenschaft text"/>
    <w:basedOn w:val="Standard"/>
    <w:link w:val="WissenschafttextZchn"/>
    <w:qFormat/>
    <w:rsid w:val="00344335"/>
    <w:pPr>
      <w:pBdr>
        <w:top w:val="none" w:sz="4" w:space="0" w:color="000000"/>
        <w:left w:val="none" w:sz="4" w:space="0" w:color="000000"/>
        <w:bottom w:val="none" w:sz="4" w:space="0" w:color="000000"/>
        <w:right w:val="none" w:sz="4" w:space="0" w:color="000000"/>
        <w:between w:val="none" w:sz="4" w:space="0" w:color="000000"/>
      </w:pBdr>
      <w:spacing w:line="360" w:lineRule="auto"/>
      <w:jc w:val="both"/>
    </w:pPr>
    <w:rPr>
      <w:rFonts w:ascii="Times New Roman" w:hAnsi="Times New Roman"/>
      <w:noProof w:val="0"/>
      <w:sz w:val="24"/>
    </w:rPr>
  </w:style>
  <w:style w:type="character" w:customStyle="1" w:styleId="WissenschafttextZchn">
    <w:name w:val="Wissenschaft text Zchn"/>
    <w:basedOn w:val="Absatz-Standardschriftart"/>
    <w:link w:val="Wissenschafttext"/>
    <w:rsid w:val="00344335"/>
    <w:rPr>
      <w:rFonts w:ascii="Times New Roman" w:hAnsi="Times New Roman"/>
      <w:sz w:val="24"/>
    </w:rPr>
  </w:style>
  <w:style w:type="table" w:styleId="Tabellenraster">
    <w:name w:val="Table Grid"/>
    <w:basedOn w:val="NormaleTabelle"/>
    <w:uiPriority w:val="39"/>
    <w:rsid w:val="00F85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925CC7"/>
    <w:rPr>
      <w:sz w:val="16"/>
      <w:szCs w:val="16"/>
    </w:rPr>
  </w:style>
  <w:style w:type="paragraph" w:styleId="Kommentartext">
    <w:name w:val="annotation text"/>
    <w:basedOn w:val="Standard"/>
    <w:link w:val="KommentartextZchn"/>
    <w:uiPriority w:val="99"/>
    <w:semiHidden/>
    <w:unhideWhenUsed/>
    <w:rsid w:val="00925CC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25CC7"/>
    <w:rPr>
      <w:noProof/>
      <w:sz w:val="20"/>
      <w:szCs w:val="20"/>
    </w:rPr>
  </w:style>
  <w:style w:type="paragraph" w:styleId="Kommentarthema">
    <w:name w:val="annotation subject"/>
    <w:basedOn w:val="Kommentartext"/>
    <w:next w:val="Kommentartext"/>
    <w:link w:val="KommentarthemaZchn"/>
    <w:uiPriority w:val="99"/>
    <w:semiHidden/>
    <w:unhideWhenUsed/>
    <w:rsid w:val="00925CC7"/>
    <w:rPr>
      <w:b/>
      <w:bCs/>
    </w:rPr>
  </w:style>
  <w:style w:type="character" w:customStyle="1" w:styleId="KommentarthemaZchn">
    <w:name w:val="Kommentarthema Zchn"/>
    <w:basedOn w:val="KommentartextZchn"/>
    <w:link w:val="Kommentarthema"/>
    <w:uiPriority w:val="99"/>
    <w:semiHidden/>
    <w:rsid w:val="00925CC7"/>
    <w:rPr>
      <w:b/>
      <w:bCs/>
      <w:noProof/>
      <w:sz w:val="20"/>
      <w:szCs w:val="20"/>
    </w:rPr>
  </w:style>
  <w:style w:type="paragraph" w:styleId="Sprechblasentext">
    <w:name w:val="Balloon Text"/>
    <w:basedOn w:val="Standard"/>
    <w:link w:val="SprechblasentextZchn"/>
    <w:uiPriority w:val="99"/>
    <w:semiHidden/>
    <w:unhideWhenUsed/>
    <w:rsid w:val="00925CC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25CC7"/>
    <w:rPr>
      <w:rFonts w:ascii="Segoe UI" w:hAnsi="Segoe UI" w:cs="Segoe UI"/>
      <w:noProof/>
      <w:sz w:val="18"/>
      <w:szCs w:val="18"/>
    </w:rPr>
  </w:style>
  <w:style w:type="paragraph" w:styleId="Listenabsatz">
    <w:name w:val="List Paragraph"/>
    <w:basedOn w:val="Standard"/>
    <w:uiPriority w:val="34"/>
    <w:qFormat/>
    <w:rsid w:val="000D41FE"/>
    <w:pPr>
      <w:ind w:left="720"/>
      <w:contextualSpacing/>
    </w:pPr>
  </w:style>
  <w:style w:type="table" w:customStyle="1" w:styleId="Tabellenraster1">
    <w:name w:val="Tabellenraster1"/>
    <w:basedOn w:val="NormaleTabelle"/>
    <w:next w:val="Tabellenraster"/>
    <w:uiPriority w:val="39"/>
    <w:rsid w:val="004B31CA"/>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de-DE"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Absatz-Standardschriftart"/>
    <w:uiPriority w:val="99"/>
    <w:unhideWhenUsed/>
    <w:rsid w:val="004F4D7C"/>
    <w:rPr>
      <w:color w:val="0563C1" w:themeColor="hyperlink"/>
      <w:u w:val="single"/>
    </w:rPr>
  </w:style>
  <w:style w:type="character" w:styleId="NichtaufgelsteErwhnung">
    <w:name w:val="Unresolved Mention"/>
    <w:basedOn w:val="Absatz-Standardschriftart"/>
    <w:uiPriority w:val="99"/>
    <w:semiHidden/>
    <w:unhideWhenUsed/>
    <w:rsid w:val="004F4D7C"/>
    <w:rPr>
      <w:color w:val="605E5C"/>
      <w:shd w:val="clear" w:color="auto" w:fill="E1DFDD"/>
    </w:rPr>
  </w:style>
  <w:style w:type="character" w:customStyle="1" w:styleId="berschrift1Zchn">
    <w:name w:val="Überschrift 1 Zchn"/>
    <w:basedOn w:val="Absatz-Standardschriftart"/>
    <w:link w:val="berschrift1"/>
    <w:uiPriority w:val="9"/>
    <w:rsid w:val="00E4334B"/>
    <w:rPr>
      <w:rFonts w:asciiTheme="majorHAnsi" w:eastAsiaTheme="majorEastAsia" w:hAnsiTheme="majorHAnsi" w:cstheme="majorBidi"/>
      <w:noProof/>
      <w:color w:val="2F5496" w:themeColor="accent1" w:themeShade="BF"/>
      <w:sz w:val="32"/>
      <w:szCs w:val="32"/>
    </w:rPr>
  </w:style>
  <w:style w:type="paragraph" w:styleId="Inhaltsverzeichnisberschrift">
    <w:name w:val="TOC Heading"/>
    <w:basedOn w:val="berschrift1"/>
    <w:next w:val="Standard"/>
    <w:uiPriority w:val="39"/>
    <w:semiHidden/>
    <w:unhideWhenUsed/>
    <w:qFormat/>
    <w:rsid w:val="00E4334B"/>
    <w:pPr>
      <w:outlineLvl w:val="9"/>
    </w:pPr>
  </w:style>
  <w:style w:type="paragraph" w:styleId="Literaturverzeichnis">
    <w:name w:val="Bibliography"/>
    <w:basedOn w:val="Standard"/>
    <w:next w:val="Standard"/>
    <w:uiPriority w:val="37"/>
    <w:semiHidden/>
    <w:unhideWhenUsed/>
    <w:rsid w:val="00E4334B"/>
  </w:style>
  <w:style w:type="character" w:styleId="Buchtitel">
    <w:name w:val="Book Title"/>
    <w:basedOn w:val="Absatz-Standardschriftart"/>
    <w:uiPriority w:val="33"/>
    <w:qFormat/>
    <w:rsid w:val="00E4334B"/>
    <w:rPr>
      <w:b/>
      <w:bCs/>
      <w:i/>
      <w:iCs/>
      <w:spacing w:val="5"/>
    </w:rPr>
  </w:style>
  <w:style w:type="character" w:styleId="IntensiverVerweis">
    <w:name w:val="Intense Reference"/>
    <w:basedOn w:val="Absatz-Standardschriftart"/>
    <w:uiPriority w:val="32"/>
    <w:qFormat/>
    <w:rsid w:val="00E4334B"/>
    <w:rPr>
      <w:b/>
      <w:bCs/>
      <w:smallCaps/>
      <w:color w:val="4472C4" w:themeColor="accent1"/>
      <w:spacing w:val="5"/>
    </w:rPr>
  </w:style>
  <w:style w:type="character" w:styleId="SchwacherVerweis">
    <w:name w:val="Subtle Reference"/>
    <w:basedOn w:val="Absatz-Standardschriftart"/>
    <w:uiPriority w:val="31"/>
    <w:qFormat/>
    <w:rsid w:val="00E4334B"/>
    <w:rPr>
      <w:smallCaps/>
      <w:color w:val="5A5A5A" w:themeColor="text1" w:themeTint="A5"/>
    </w:rPr>
  </w:style>
  <w:style w:type="character" w:styleId="IntensiveHervorhebung">
    <w:name w:val="Intense Emphasis"/>
    <w:basedOn w:val="Absatz-Standardschriftart"/>
    <w:uiPriority w:val="21"/>
    <w:qFormat/>
    <w:rsid w:val="00E4334B"/>
    <w:rPr>
      <w:i/>
      <w:iCs/>
      <w:color w:val="4472C4" w:themeColor="accent1"/>
    </w:rPr>
  </w:style>
  <w:style w:type="character" w:styleId="SchwacheHervorhebung">
    <w:name w:val="Subtle Emphasis"/>
    <w:basedOn w:val="Absatz-Standardschriftart"/>
    <w:uiPriority w:val="19"/>
    <w:qFormat/>
    <w:rsid w:val="00E4334B"/>
    <w:rPr>
      <w:i/>
      <w:iCs/>
      <w:color w:val="404040" w:themeColor="text1" w:themeTint="BF"/>
    </w:rPr>
  </w:style>
  <w:style w:type="paragraph" w:styleId="IntensivesZitat">
    <w:name w:val="Intense Quote"/>
    <w:basedOn w:val="Standard"/>
    <w:next w:val="Standard"/>
    <w:link w:val="IntensivesZitatZchn"/>
    <w:uiPriority w:val="30"/>
    <w:qFormat/>
    <w:rsid w:val="00E4334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E4334B"/>
    <w:rPr>
      <w:i/>
      <w:iCs/>
      <w:noProof/>
      <w:color w:val="4472C4" w:themeColor="accent1"/>
    </w:rPr>
  </w:style>
  <w:style w:type="paragraph" w:styleId="Zitat">
    <w:name w:val="Quote"/>
    <w:basedOn w:val="Standard"/>
    <w:next w:val="Standard"/>
    <w:link w:val="ZitatZchn"/>
    <w:uiPriority w:val="29"/>
    <w:qFormat/>
    <w:rsid w:val="00E4334B"/>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E4334B"/>
    <w:rPr>
      <w:i/>
      <w:iCs/>
      <w:noProof/>
      <w:color w:val="404040" w:themeColor="text1" w:themeTint="BF"/>
    </w:rPr>
  </w:style>
  <w:style w:type="table" w:styleId="MittlereListe1-Akzent1">
    <w:name w:val="Medium List 1 Accent 1"/>
    <w:basedOn w:val="NormaleTabelle"/>
    <w:uiPriority w:val="65"/>
    <w:semiHidden/>
    <w:unhideWhenUsed/>
    <w:rsid w:val="00E4334B"/>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ittlereSchattierung2-Akzent1">
    <w:name w:val="Medium Shading 2 Accent 1"/>
    <w:basedOn w:val="NormaleTabelle"/>
    <w:uiPriority w:val="64"/>
    <w:semiHidden/>
    <w:unhideWhenUsed/>
    <w:rsid w:val="00E4334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Akzent1">
    <w:name w:val="Medium Shading 1 Accent 1"/>
    <w:basedOn w:val="NormaleTabelle"/>
    <w:uiPriority w:val="63"/>
    <w:semiHidden/>
    <w:unhideWhenUsed/>
    <w:rsid w:val="00E4334B"/>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E4334B"/>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HelleListe-Akzent1">
    <w:name w:val="Light List Accent 1"/>
    <w:basedOn w:val="NormaleTabelle"/>
    <w:uiPriority w:val="61"/>
    <w:semiHidden/>
    <w:unhideWhenUsed/>
    <w:rsid w:val="00E4334B"/>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HelleSchattierung-Akzent1">
    <w:name w:val="Light Shading Accent 1"/>
    <w:basedOn w:val="NormaleTabelle"/>
    <w:uiPriority w:val="60"/>
    <w:semiHidden/>
    <w:unhideWhenUsed/>
    <w:rsid w:val="00E4334B"/>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FarbigesRaster">
    <w:name w:val="Colorful Grid"/>
    <w:basedOn w:val="NormaleTabelle"/>
    <w:uiPriority w:val="73"/>
    <w:semiHidden/>
    <w:unhideWhenUsed/>
    <w:rsid w:val="00E4334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E4334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E4334B"/>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E4334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E4334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E4334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E4334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E4334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E4334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E4334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
    <w:name w:val="Medium Shading 1"/>
    <w:basedOn w:val="NormaleTabelle"/>
    <w:uiPriority w:val="63"/>
    <w:semiHidden/>
    <w:unhideWhenUsed/>
    <w:rsid w:val="00E4334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E4334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E4334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E4334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einLeerraum">
    <w:name w:val="No Spacing"/>
    <w:uiPriority w:val="1"/>
    <w:qFormat/>
    <w:rsid w:val="00E4334B"/>
    <w:pPr>
      <w:spacing w:after="0" w:line="240" w:lineRule="auto"/>
    </w:pPr>
    <w:rPr>
      <w:noProof/>
    </w:rPr>
  </w:style>
  <w:style w:type="character" w:styleId="HTMLVariable">
    <w:name w:val="HTML Variable"/>
    <w:basedOn w:val="Absatz-Standardschriftart"/>
    <w:uiPriority w:val="99"/>
    <w:semiHidden/>
    <w:unhideWhenUsed/>
    <w:rsid w:val="00E4334B"/>
    <w:rPr>
      <w:i/>
      <w:iCs/>
    </w:rPr>
  </w:style>
  <w:style w:type="character" w:styleId="HTMLSchreibmaschine">
    <w:name w:val="HTML Typewriter"/>
    <w:basedOn w:val="Absatz-Standardschriftart"/>
    <w:uiPriority w:val="99"/>
    <w:semiHidden/>
    <w:unhideWhenUsed/>
    <w:rsid w:val="00E4334B"/>
    <w:rPr>
      <w:rFonts w:ascii="Consolas" w:hAnsi="Consolas"/>
      <w:sz w:val="20"/>
      <w:szCs w:val="20"/>
    </w:rPr>
  </w:style>
  <w:style w:type="character" w:styleId="HTMLBeispiel">
    <w:name w:val="HTML Sample"/>
    <w:basedOn w:val="Absatz-Standardschriftart"/>
    <w:uiPriority w:val="99"/>
    <w:semiHidden/>
    <w:unhideWhenUsed/>
    <w:rsid w:val="00E4334B"/>
    <w:rPr>
      <w:rFonts w:ascii="Consolas" w:hAnsi="Consolas"/>
      <w:sz w:val="24"/>
      <w:szCs w:val="24"/>
    </w:rPr>
  </w:style>
  <w:style w:type="paragraph" w:styleId="HTMLVorformatiert">
    <w:name w:val="HTML Preformatted"/>
    <w:basedOn w:val="Standard"/>
    <w:link w:val="HTMLVorformatiertZchn"/>
    <w:uiPriority w:val="99"/>
    <w:semiHidden/>
    <w:unhideWhenUsed/>
    <w:rsid w:val="00E4334B"/>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E4334B"/>
    <w:rPr>
      <w:rFonts w:ascii="Consolas" w:hAnsi="Consolas"/>
      <w:noProof/>
      <w:sz w:val="20"/>
      <w:szCs w:val="20"/>
    </w:rPr>
  </w:style>
  <w:style w:type="character" w:styleId="HTMLTastatur">
    <w:name w:val="HTML Keyboard"/>
    <w:basedOn w:val="Absatz-Standardschriftart"/>
    <w:uiPriority w:val="99"/>
    <w:semiHidden/>
    <w:unhideWhenUsed/>
    <w:rsid w:val="00E4334B"/>
    <w:rPr>
      <w:rFonts w:ascii="Consolas" w:hAnsi="Consolas"/>
      <w:sz w:val="20"/>
      <w:szCs w:val="20"/>
    </w:rPr>
  </w:style>
  <w:style w:type="character" w:styleId="HTMLDefinition">
    <w:name w:val="HTML Definition"/>
    <w:basedOn w:val="Absatz-Standardschriftart"/>
    <w:uiPriority w:val="99"/>
    <w:semiHidden/>
    <w:unhideWhenUsed/>
    <w:rsid w:val="00E4334B"/>
    <w:rPr>
      <w:i/>
      <w:iCs/>
    </w:rPr>
  </w:style>
  <w:style w:type="character" w:styleId="HTMLCode">
    <w:name w:val="HTML Code"/>
    <w:basedOn w:val="Absatz-Standardschriftart"/>
    <w:uiPriority w:val="99"/>
    <w:semiHidden/>
    <w:unhideWhenUsed/>
    <w:rsid w:val="00E4334B"/>
    <w:rPr>
      <w:rFonts w:ascii="Consolas" w:hAnsi="Consolas"/>
      <w:sz w:val="20"/>
      <w:szCs w:val="20"/>
    </w:rPr>
  </w:style>
  <w:style w:type="character" w:styleId="HTMLZitat">
    <w:name w:val="HTML Cite"/>
    <w:basedOn w:val="Absatz-Standardschriftart"/>
    <w:uiPriority w:val="99"/>
    <w:semiHidden/>
    <w:unhideWhenUsed/>
    <w:rsid w:val="00E4334B"/>
    <w:rPr>
      <w:i/>
      <w:iCs/>
    </w:rPr>
  </w:style>
  <w:style w:type="paragraph" w:styleId="HTMLAdresse">
    <w:name w:val="HTML Address"/>
    <w:basedOn w:val="Standard"/>
    <w:link w:val="HTMLAdresseZchn"/>
    <w:uiPriority w:val="99"/>
    <w:semiHidden/>
    <w:unhideWhenUsed/>
    <w:rsid w:val="00E4334B"/>
    <w:pPr>
      <w:spacing w:after="0" w:line="240" w:lineRule="auto"/>
    </w:pPr>
    <w:rPr>
      <w:i/>
      <w:iCs/>
    </w:rPr>
  </w:style>
  <w:style w:type="character" w:customStyle="1" w:styleId="HTMLAdresseZchn">
    <w:name w:val="HTML Adresse Zchn"/>
    <w:basedOn w:val="Absatz-Standardschriftart"/>
    <w:link w:val="HTMLAdresse"/>
    <w:uiPriority w:val="99"/>
    <w:semiHidden/>
    <w:rsid w:val="00E4334B"/>
    <w:rPr>
      <w:i/>
      <w:iCs/>
      <w:noProof/>
    </w:rPr>
  </w:style>
  <w:style w:type="character" w:styleId="HTMLAkronym">
    <w:name w:val="HTML Acronym"/>
    <w:basedOn w:val="Absatz-Standardschriftart"/>
    <w:uiPriority w:val="99"/>
    <w:semiHidden/>
    <w:unhideWhenUsed/>
    <w:rsid w:val="00E4334B"/>
  </w:style>
  <w:style w:type="paragraph" w:styleId="StandardWeb">
    <w:name w:val="Normal (Web)"/>
    <w:basedOn w:val="Standard"/>
    <w:uiPriority w:val="99"/>
    <w:semiHidden/>
    <w:unhideWhenUsed/>
    <w:rsid w:val="00E4334B"/>
    <w:rPr>
      <w:rFonts w:ascii="Times New Roman" w:hAnsi="Times New Roman" w:cs="Times New Roman"/>
      <w:sz w:val="24"/>
      <w:szCs w:val="24"/>
    </w:rPr>
  </w:style>
  <w:style w:type="paragraph" w:styleId="NurText">
    <w:name w:val="Plain Text"/>
    <w:basedOn w:val="Standard"/>
    <w:link w:val="NurTextZchn"/>
    <w:uiPriority w:val="99"/>
    <w:semiHidden/>
    <w:unhideWhenUsed/>
    <w:rsid w:val="00E4334B"/>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E4334B"/>
    <w:rPr>
      <w:rFonts w:ascii="Consolas" w:hAnsi="Consolas"/>
      <w:noProof/>
      <w:sz w:val="21"/>
      <w:szCs w:val="21"/>
    </w:rPr>
  </w:style>
  <w:style w:type="paragraph" w:styleId="Dokumentstruktur">
    <w:name w:val="Document Map"/>
    <w:basedOn w:val="Standard"/>
    <w:link w:val="DokumentstrukturZchn"/>
    <w:uiPriority w:val="99"/>
    <w:semiHidden/>
    <w:unhideWhenUsed/>
    <w:rsid w:val="00E4334B"/>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E4334B"/>
    <w:rPr>
      <w:rFonts w:ascii="Segoe UI" w:hAnsi="Segoe UI" w:cs="Segoe UI"/>
      <w:noProof/>
      <w:sz w:val="16"/>
      <w:szCs w:val="16"/>
    </w:rPr>
  </w:style>
  <w:style w:type="character" w:styleId="Hervorhebung">
    <w:name w:val="Emphasis"/>
    <w:basedOn w:val="Absatz-Standardschriftart"/>
    <w:uiPriority w:val="20"/>
    <w:qFormat/>
    <w:rsid w:val="00E4334B"/>
    <w:rPr>
      <w:i/>
      <w:iCs/>
    </w:rPr>
  </w:style>
  <w:style w:type="character" w:styleId="Fett">
    <w:name w:val="Strong"/>
    <w:basedOn w:val="Absatz-Standardschriftart"/>
    <w:uiPriority w:val="22"/>
    <w:qFormat/>
    <w:rsid w:val="00E4334B"/>
    <w:rPr>
      <w:b/>
      <w:bCs/>
    </w:rPr>
  </w:style>
  <w:style w:type="character" w:styleId="BesuchterLink">
    <w:name w:val="FollowedHyperlink"/>
    <w:basedOn w:val="Absatz-Standardschriftart"/>
    <w:uiPriority w:val="99"/>
    <w:semiHidden/>
    <w:unhideWhenUsed/>
    <w:rsid w:val="00E4334B"/>
    <w:rPr>
      <w:color w:val="954F72" w:themeColor="followedHyperlink"/>
      <w:u w:val="single"/>
    </w:rPr>
  </w:style>
  <w:style w:type="paragraph" w:styleId="Blocktext">
    <w:name w:val="Block Text"/>
    <w:basedOn w:val="Standard"/>
    <w:uiPriority w:val="99"/>
    <w:semiHidden/>
    <w:unhideWhenUsed/>
    <w:rsid w:val="00E4334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Textkrper-Einzug3">
    <w:name w:val="Body Text Indent 3"/>
    <w:basedOn w:val="Standard"/>
    <w:link w:val="Textkrper-Einzug3Zchn"/>
    <w:uiPriority w:val="99"/>
    <w:semiHidden/>
    <w:unhideWhenUsed/>
    <w:rsid w:val="00E4334B"/>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E4334B"/>
    <w:rPr>
      <w:noProof/>
      <w:sz w:val="16"/>
      <w:szCs w:val="16"/>
    </w:rPr>
  </w:style>
  <w:style w:type="paragraph" w:styleId="Textkrper-Einzug2">
    <w:name w:val="Body Text Indent 2"/>
    <w:basedOn w:val="Standard"/>
    <w:link w:val="Textkrper-Einzug2Zchn"/>
    <w:uiPriority w:val="99"/>
    <w:semiHidden/>
    <w:unhideWhenUsed/>
    <w:rsid w:val="00E4334B"/>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E4334B"/>
    <w:rPr>
      <w:noProof/>
    </w:rPr>
  </w:style>
  <w:style w:type="paragraph" w:styleId="Textkrper3">
    <w:name w:val="Body Text 3"/>
    <w:basedOn w:val="Standard"/>
    <w:link w:val="Textkrper3Zchn"/>
    <w:uiPriority w:val="99"/>
    <w:semiHidden/>
    <w:unhideWhenUsed/>
    <w:rsid w:val="00E4334B"/>
    <w:pPr>
      <w:spacing w:after="120"/>
    </w:pPr>
    <w:rPr>
      <w:sz w:val="16"/>
      <w:szCs w:val="16"/>
    </w:rPr>
  </w:style>
  <w:style w:type="character" w:customStyle="1" w:styleId="Textkrper3Zchn">
    <w:name w:val="Textkörper 3 Zchn"/>
    <w:basedOn w:val="Absatz-Standardschriftart"/>
    <w:link w:val="Textkrper3"/>
    <w:uiPriority w:val="99"/>
    <w:semiHidden/>
    <w:rsid w:val="00E4334B"/>
    <w:rPr>
      <w:noProof/>
      <w:sz w:val="16"/>
      <w:szCs w:val="16"/>
    </w:rPr>
  </w:style>
  <w:style w:type="paragraph" w:styleId="Textkrper2">
    <w:name w:val="Body Text 2"/>
    <w:basedOn w:val="Standard"/>
    <w:link w:val="Textkrper2Zchn"/>
    <w:uiPriority w:val="99"/>
    <w:semiHidden/>
    <w:unhideWhenUsed/>
    <w:rsid w:val="00E4334B"/>
    <w:pPr>
      <w:spacing w:after="120" w:line="480" w:lineRule="auto"/>
    </w:pPr>
  </w:style>
  <w:style w:type="character" w:customStyle="1" w:styleId="Textkrper2Zchn">
    <w:name w:val="Textkörper 2 Zchn"/>
    <w:basedOn w:val="Absatz-Standardschriftart"/>
    <w:link w:val="Textkrper2"/>
    <w:uiPriority w:val="99"/>
    <w:semiHidden/>
    <w:rsid w:val="00E4334B"/>
    <w:rPr>
      <w:noProof/>
    </w:rPr>
  </w:style>
  <w:style w:type="paragraph" w:styleId="Fu-Endnotenberschrift">
    <w:name w:val="Note Heading"/>
    <w:basedOn w:val="Standard"/>
    <w:next w:val="Standard"/>
    <w:link w:val="Fu-EndnotenberschriftZchn"/>
    <w:uiPriority w:val="99"/>
    <w:semiHidden/>
    <w:unhideWhenUsed/>
    <w:rsid w:val="00E4334B"/>
    <w:pPr>
      <w:spacing w:after="0" w:line="240" w:lineRule="auto"/>
    </w:pPr>
  </w:style>
  <w:style w:type="character" w:customStyle="1" w:styleId="Fu-EndnotenberschriftZchn">
    <w:name w:val="Fuß/-Endnotenüberschrift Zchn"/>
    <w:basedOn w:val="Absatz-Standardschriftart"/>
    <w:link w:val="Fu-Endnotenberschrift"/>
    <w:uiPriority w:val="99"/>
    <w:semiHidden/>
    <w:rsid w:val="00E4334B"/>
    <w:rPr>
      <w:noProof/>
    </w:rPr>
  </w:style>
  <w:style w:type="paragraph" w:styleId="Textkrper-Zeileneinzug">
    <w:name w:val="Body Text Indent"/>
    <w:basedOn w:val="Standard"/>
    <w:link w:val="Textkrper-ZeileneinzugZchn"/>
    <w:uiPriority w:val="99"/>
    <w:semiHidden/>
    <w:unhideWhenUsed/>
    <w:rsid w:val="00E4334B"/>
    <w:pPr>
      <w:spacing w:after="120"/>
      <w:ind w:left="283"/>
    </w:pPr>
  </w:style>
  <w:style w:type="character" w:customStyle="1" w:styleId="Textkrper-ZeileneinzugZchn">
    <w:name w:val="Textkörper-Zeileneinzug Zchn"/>
    <w:basedOn w:val="Absatz-Standardschriftart"/>
    <w:link w:val="Textkrper-Zeileneinzug"/>
    <w:uiPriority w:val="99"/>
    <w:semiHidden/>
    <w:rsid w:val="00E4334B"/>
    <w:rPr>
      <w:noProof/>
    </w:rPr>
  </w:style>
  <w:style w:type="paragraph" w:styleId="Textkrper-Erstzeileneinzug2">
    <w:name w:val="Body Text First Indent 2"/>
    <w:basedOn w:val="Textkrper-Zeileneinzug"/>
    <w:link w:val="Textkrper-Erstzeileneinzug2Zchn"/>
    <w:uiPriority w:val="99"/>
    <w:semiHidden/>
    <w:unhideWhenUsed/>
    <w:rsid w:val="00E4334B"/>
    <w:pPr>
      <w:spacing w:after="16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E4334B"/>
    <w:rPr>
      <w:noProof/>
    </w:rPr>
  </w:style>
  <w:style w:type="paragraph" w:styleId="Textkrper">
    <w:name w:val="Body Text"/>
    <w:basedOn w:val="Standard"/>
    <w:link w:val="TextkrperZchn"/>
    <w:uiPriority w:val="99"/>
    <w:semiHidden/>
    <w:unhideWhenUsed/>
    <w:rsid w:val="00E4334B"/>
    <w:pPr>
      <w:spacing w:after="120"/>
    </w:pPr>
  </w:style>
  <w:style w:type="character" w:customStyle="1" w:styleId="TextkrperZchn">
    <w:name w:val="Textkörper Zchn"/>
    <w:basedOn w:val="Absatz-Standardschriftart"/>
    <w:link w:val="Textkrper"/>
    <w:uiPriority w:val="99"/>
    <w:semiHidden/>
    <w:rsid w:val="00E4334B"/>
    <w:rPr>
      <w:noProof/>
    </w:rPr>
  </w:style>
  <w:style w:type="paragraph" w:styleId="Textkrper-Erstzeileneinzug">
    <w:name w:val="Body Text First Indent"/>
    <w:basedOn w:val="Textkrper"/>
    <w:link w:val="Textkrper-ErstzeileneinzugZchn"/>
    <w:uiPriority w:val="99"/>
    <w:semiHidden/>
    <w:unhideWhenUsed/>
    <w:rsid w:val="00E4334B"/>
    <w:pPr>
      <w:spacing w:after="160"/>
      <w:ind w:firstLine="360"/>
    </w:pPr>
  </w:style>
  <w:style w:type="character" w:customStyle="1" w:styleId="Textkrper-ErstzeileneinzugZchn">
    <w:name w:val="Textkörper-Erstzeileneinzug Zchn"/>
    <w:basedOn w:val="TextkrperZchn"/>
    <w:link w:val="Textkrper-Erstzeileneinzug"/>
    <w:uiPriority w:val="99"/>
    <w:semiHidden/>
    <w:rsid w:val="00E4334B"/>
    <w:rPr>
      <w:noProof/>
    </w:rPr>
  </w:style>
  <w:style w:type="paragraph" w:styleId="Datum">
    <w:name w:val="Date"/>
    <w:basedOn w:val="Standard"/>
    <w:next w:val="Standard"/>
    <w:link w:val="DatumZchn"/>
    <w:uiPriority w:val="99"/>
    <w:semiHidden/>
    <w:unhideWhenUsed/>
    <w:rsid w:val="00E4334B"/>
  </w:style>
  <w:style w:type="character" w:customStyle="1" w:styleId="DatumZchn">
    <w:name w:val="Datum Zchn"/>
    <w:basedOn w:val="Absatz-Standardschriftart"/>
    <w:link w:val="Datum"/>
    <w:uiPriority w:val="99"/>
    <w:semiHidden/>
    <w:rsid w:val="00E4334B"/>
    <w:rPr>
      <w:noProof/>
    </w:rPr>
  </w:style>
  <w:style w:type="paragraph" w:styleId="Anrede">
    <w:name w:val="Salutation"/>
    <w:basedOn w:val="Standard"/>
    <w:next w:val="Standard"/>
    <w:link w:val="AnredeZchn"/>
    <w:uiPriority w:val="99"/>
    <w:semiHidden/>
    <w:unhideWhenUsed/>
    <w:rsid w:val="00E4334B"/>
  </w:style>
  <w:style w:type="character" w:customStyle="1" w:styleId="AnredeZchn">
    <w:name w:val="Anrede Zchn"/>
    <w:basedOn w:val="Absatz-Standardschriftart"/>
    <w:link w:val="Anrede"/>
    <w:uiPriority w:val="99"/>
    <w:semiHidden/>
    <w:rsid w:val="00E4334B"/>
    <w:rPr>
      <w:noProof/>
    </w:rPr>
  </w:style>
  <w:style w:type="paragraph" w:styleId="Untertitel">
    <w:name w:val="Subtitle"/>
    <w:basedOn w:val="Standard"/>
    <w:next w:val="Standard"/>
    <w:link w:val="UntertitelZchn"/>
    <w:uiPriority w:val="11"/>
    <w:qFormat/>
    <w:rsid w:val="00E4334B"/>
    <w:pPr>
      <w:numPr>
        <w:ilvl w:val="1"/>
      </w:numPr>
    </w:pPr>
    <w:rPr>
      <w:color w:val="5A5A5A" w:themeColor="text1" w:themeTint="A5"/>
      <w:spacing w:val="15"/>
    </w:rPr>
  </w:style>
  <w:style w:type="character" w:customStyle="1" w:styleId="UntertitelZchn">
    <w:name w:val="Untertitel Zchn"/>
    <w:basedOn w:val="Absatz-Standardschriftart"/>
    <w:link w:val="Untertitel"/>
    <w:uiPriority w:val="11"/>
    <w:rsid w:val="00E4334B"/>
    <w:rPr>
      <w:noProof/>
      <w:color w:val="5A5A5A" w:themeColor="text1" w:themeTint="A5"/>
      <w:spacing w:val="15"/>
    </w:rPr>
  </w:style>
  <w:style w:type="paragraph" w:styleId="Nachrichtenkopf">
    <w:name w:val="Message Header"/>
    <w:basedOn w:val="Standard"/>
    <w:link w:val="NachrichtenkopfZchn"/>
    <w:uiPriority w:val="99"/>
    <w:semiHidden/>
    <w:unhideWhenUsed/>
    <w:rsid w:val="00E4334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E4334B"/>
    <w:rPr>
      <w:rFonts w:asciiTheme="majorHAnsi" w:eastAsiaTheme="majorEastAsia" w:hAnsiTheme="majorHAnsi" w:cstheme="majorBidi"/>
      <w:noProof/>
      <w:sz w:val="24"/>
      <w:szCs w:val="24"/>
      <w:shd w:val="pct20" w:color="auto" w:fill="auto"/>
    </w:rPr>
  </w:style>
  <w:style w:type="paragraph" w:styleId="Listenfortsetzung5">
    <w:name w:val="List Continue 5"/>
    <w:basedOn w:val="Standard"/>
    <w:uiPriority w:val="99"/>
    <w:semiHidden/>
    <w:unhideWhenUsed/>
    <w:rsid w:val="00E4334B"/>
    <w:pPr>
      <w:spacing w:after="120"/>
      <w:ind w:left="1415"/>
      <w:contextualSpacing/>
    </w:pPr>
  </w:style>
  <w:style w:type="paragraph" w:styleId="Listenfortsetzung4">
    <w:name w:val="List Continue 4"/>
    <w:basedOn w:val="Standard"/>
    <w:uiPriority w:val="99"/>
    <w:semiHidden/>
    <w:unhideWhenUsed/>
    <w:rsid w:val="00E4334B"/>
    <w:pPr>
      <w:spacing w:after="120"/>
      <w:ind w:left="1132"/>
      <w:contextualSpacing/>
    </w:pPr>
  </w:style>
  <w:style w:type="paragraph" w:styleId="Listenfortsetzung3">
    <w:name w:val="List Continue 3"/>
    <w:basedOn w:val="Standard"/>
    <w:uiPriority w:val="99"/>
    <w:semiHidden/>
    <w:unhideWhenUsed/>
    <w:rsid w:val="00E4334B"/>
    <w:pPr>
      <w:spacing w:after="120"/>
      <w:ind w:left="849"/>
      <w:contextualSpacing/>
    </w:pPr>
  </w:style>
  <w:style w:type="paragraph" w:styleId="Listenfortsetzung2">
    <w:name w:val="List Continue 2"/>
    <w:basedOn w:val="Standard"/>
    <w:uiPriority w:val="99"/>
    <w:semiHidden/>
    <w:unhideWhenUsed/>
    <w:rsid w:val="00E4334B"/>
    <w:pPr>
      <w:spacing w:after="120"/>
      <w:ind w:left="566"/>
      <w:contextualSpacing/>
    </w:pPr>
  </w:style>
  <w:style w:type="paragraph" w:styleId="Listenfortsetzung">
    <w:name w:val="List Continue"/>
    <w:basedOn w:val="Standard"/>
    <w:uiPriority w:val="99"/>
    <w:semiHidden/>
    <w:unhideWhenUsed/>
    <w:rsid w:val="00E4334B"/>
    <w:pPr>
      <w:spacing w:after="120"/>
      <w:ind w:left="283"/>
      <w:contextualSpacing/>
    </w:pPr>
  </w:style>
  <w:style w:type="paragraph" w:styleId="Unterschrift">
    <w:name w:val="Signature"/>
    <w:basedOn w:val="Standard"/>
    <w:link w:val="UnterschriftZchn"/>
    <w:uiPriority w:val="99"/>
    <w:semiHidden/>
    <w:unhideWhenUsed/>
    <w:rsid w:val="00E4334B"/>
    <w:pPr>
      <w:spacing w:after="0" w:line="240" w:lineRule="auto"/>
      <w:ind w:left="4252"/>
    </w:pPr>
  </w:style>
  <w:style w:type="character" w:customStyle="1" w:styleId="UnterschriftZchn">
    <w:name w:val="Unterschrift Zchn"/>
    <w:basedOn w:val="Absatz-Standardschriftart"/>
    <w:link w:val="Unterschrift"/>
    <w:uiPriority w:val="99"/>
    <w:semiHidden/>
    <w:rsid w:val="00E4334B"/>
    <w:rPr>
      <w:noProof/>
    </w:rPr>
  </w:style>
  <w:style w:type="paragraph" w:styleId="Gruformel">
    <w:name w:val="Closing"/>
    <w:basedOn w:val="Standard"/>
    <w:link w:val="GruformelZchn"/>
    <w:uiPriority w:val="99"/>
    <w:semiHidden/>
    <w:unhideWhenUsed/>
    <w:rsid w:val="00E4334B"/>
    <w:pPr>
      <w:spacing w:after="0" w:line="240" w:lineRule="auto"/>
      <w:ind w:left="4252"/>
    </w:pPr>
  </w:style>
  <w:style w:type="character" w:customStyle="1" w:styleId="GruformelZchn">
    <w:name w:val="Grußformel Zchn"/>
    <w:basedOn w:val="Absatz-Standardschriftart"/>
    <w:link w:val="Gruformel"/>
    <w:uiPriority w:val="99"/>
    <w:semiHidden/>
    <w:rsid w:val="00E4334B"/>
    <w:rPr>
      <w:noProof/>
    </w:rPr>
  </w:style>
  <w:style w:type="paragraph" w:styleId="Titel">
    <w:name w:val="Title"/>
    <w:basedOn w:val="Standard"/>
    <w:next w:val="Standard"/>
    <w:link w:val="TitelZchn"/>
    <w:uiPriority w:val="10"/>
    <w:qFormat/>
    <w:rsid w:val="00E433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4334B"/>
    <w:rPr>
      <w:rFonts w:asciiTheme="majorHAnsi" w:eastAsiaTheme="majorEastAsia" w:hAnsiTheme="majorHAnsi" w:cstheme="majorBidi"/>
      <w:noProof/>
      <w:spacing w:val="-10"/>
      <w:kern w:val="28"/>
      <w:sz w:val="56"/>
      <w:szCs w:val="56"/>
    </w:rPr>
  </w:style>
  <w:style w:type="paragraph" w:styleId="Listennummer5">
    <w:name w:val="List Number 5"/>
    <w:basedOn w:val="Standard"/>
    <w:uiPriority w:val="99"/>
    <w:semiHidden/>
    <w:unhideWhenUsed/>
    <w:rsid w:val="00E4334B"/>
    <w:pPr>
      <w:numPr>
        <w:numId w:val="4"/>
      </w:numPr>
      <w:contextualSpacing/>
    </w:pPr>
  </w:style>
  <w:style w:type="paragraph" w:styleId="Listennummer4">
    <w:name w:val="List Number 4"/>
    <w:basedOn w:val="Standard"/>
    <w:uiPriority w:val="99"/>
    <w:semiHidden/>
    <w:unhideWhenUsed/>
    <w:rsid w:val="00E4334B"/>
    <w:pPr>
      <w:numPr>
        <w:numId w:val="5"/>
      </w:numPr>
      <w:contextualSpacing/>
    </w:pPr>
  </w:style>
  <w:style w:type="paragraph" w:styleId="Listennummer3">
    <w:name w:val="List Number 3"/>
    <w:basedOn w:val="Standard"/>
    <w:uiPriority w:val="99"/>
    <w:semiHidden/>
    <w:unhideWhenUsed/>
    <w:rsid w:val="00E4334B"/>
    <w:pPr>
      <w:numPr>
        <w:numId w:val="6"/>
      </w:numPr>
      <w:contextualSpacing/>
    </w:pPr>
  </w:style>
  <w:style w:type="paragraph" w:styleId="Listennummer2">
    <w:name w:val="List Number 2"/>
    <w:basedOn w:val="Standard"/>
    <w:uiPriority w:val="99"/>
    <w:semiHidden/>
    <w:unhideWhenUsed/>
    <w:rsid w:val="00E4334B"/>
    <w:pPr>
      <w:numPr>
        <w:numId w:val="7"/>
      </w:numPr>
      <w:contextualSpacing/>
    </w:pPr>
  </w:style>
  <w:style w:type="paragraph" w:styleId="Aufzhlungszeichen5">
    <w:name w:val="List Bullet 5"/>
    <w:basedOn w:val="Standard"/>
    <w:uiPriority w:val="99"/>
    <w:semiHidden/>
    <w:unhideWhenUsed/>
    <w:rsid w:val="00E4334B"/>
    <w:pPr>
      <w:numPr>
        <w:numId w:val="8"/>
      </w:numPr>
      <w:contextualSpacing/>
    </w:pPr>
  </w:style>
  <w:style w:type="paragraph" w:styleId="Aufzhlungszeichen4">
    <w:name w:val="List Bullet 4"/>
    <w:basedOn w:val="Standard"/>
    <w:uiPriority w:val="99"/>
    <w:semiHidden/>
    <w:unhideWhenUsed/>
    <w:rsid w:val="00E4334B"/>
    <w:pPr>
      <w:numPr>
        <w:numId w:val="9"/>
      </w:numPr>
      <w:contextualSpacing/>
    </w:pPr>
  </w:style>
  <w:style w:type="paragraph" w:styleId="Aufzhlungszeichen3">
    <w:name w:val="List Bullet 3"/>
    <w:basedOn w:val="Standard"/>
    <w:uiPriority w:val="99"/>
    <w:semiHidden/>
    <w:unhideWhenUsed/>
    <w:rsid w:val="00E4334B"/>
    <w:pPr>
      <w:numPr>
        <w:numId w:val="10"/>
      </w:numPr>
      <w:contextualSpacing/>
    </w:pPr>
  </w:style>
  <w:style w:type="paragraph" w:styleId="Aufzhlungszeichen2">
    <w:name w:val="List Bullet 2"/>
    <w:basedOn w:val="Standard"/>
    <w:uiPriority w:val="99"/>
    <w:semiHidden/>
    <w:unhideWhenUsed/>
    <w:rsid w:val="00E4334B"/>
    <w:pPr>
      <w:numPr>
        <w:numId w:val="11"/>
      </w:numPr>
      <w:contextualSpacing/>
    </w:pPr>
  </w:style>
  <w:style w:type="paragraph" w:styleId="Liste5">
    <w:name w:val="List 5"/>
    <w:basedOn w:val="Standard"/>
    <w:uiPriority w:val="99"/>
    <w:semiHidden/>
    <w:unhideWhenUsed/>
    <w:rsid w:val="00E4334B"/>
    <w:pPr>
      <w:ind w:left="1415" w:hanging="283"/>
      <w:contextualSpacing/>
    </w:pPr>
  </w:style>
  <w:style w:type="paragraph" w:styleId="Liste4">
    <w:name w:val="List 4"/>
    <w:basedOn w:val="Standard"/>
    <w:uiPriority w:val="99"/>
    <w:semiHidden/>
    <w:unhideWhenUsed/>
    <w:rsid w:val="00E4334B"/>
    <w:pPr>
      <w:ind w:left="1132" w:hanging="283"/>
      <w:contextualSpacing/>
    </w:pPr>
  </w:style>
  <w:style w:type="paragraph" w:styleId="Liste3">
    <w:name w:val="List 3"/>
    <w:basedOn w:val="Standard"/>
    <w:uiPriority w:val="99"/>
    <w:semiHidden/>
    <w:unhideWhenUsed/>
    <w:rsid w:val="00E4334B"/>
    <w:pPr>
      <w:ind w:left="849" w:hanging="283"/>
      <w:contextualSpacing/>
    </w:pPr>
  </w:style>
  <w:style w:type="paragraph" w:styleId="Liste2">
    <w:name w:val="List 2"/>
    <w:basedOn w:val="Standard"/>
    <w:uiPriority w:val="99"/>
    <w:semiHidden/>
    <w:unhideWhenUsed/>
    <w:rsid w:val="00E4334B"/>
    <w:pPr>
      <w:ind w:left="566" w:hanging="283"/>
      <w:contextualSpacing/>
    </w:pPr>
  </w:style>
  <w:style w:type="paragraph" w:styleId="Listennummer">
    <w:name w:val="List Number"/>
    <w:basedOn w:val="Standard"/>
    <w:uiPriority w:val="99"/>
    <w:semiHidden/>
    <w:unhideWhenUsed/>
    <w:rsid w:val="00E4334B"/>
    <w:pPr>
      <w:numPr>
        <w:numId w:val="12"/>
      </w:numPr>
      <w:contextualSpacing/>
    </w:pPr>
  </w:style>
  <w:style w:type="paragraph" w:styleId="Aufzhlungszeichen">
    <w:name w:val="List Bullet"/>
    <w:basedOn w:val="Standard"/>
    <w:uiPriority w:val="99"/>
    <w:semiHidden/>
    <w:unhideWhenUsed/>
    <w:rsid w:val="00E4334B"/>
    <w:pPr>
      <w:numPr>
        <w:numId w:val="13"/>
      </w:numPr>
      <w:contextualSpacing/>
    </w:pPr>
  </w:style>
  <w:style w:type="paragraph" w:styleId="Liste">
    <w:name w:val="List"/>
    <w:basedOn w:val="Standard"/>
    <w:uiPriority w:val="99"/>
    <w:semiHidden/>
    <w:unhideWhenUsed/>
    <w:rsid w:val="00E4334B"/>
    <w:pPr>
      <w:ind w:left="283" w:hanging="283"/>
      <w:contextualSpacing/>
    </w:pPr>
  </w:style>
  <w:style w:type="paragraph" w:styleId="RGV-berschrift">
    <w:name w:val="toa heading"/>
    <w:basedOn w:val="Standard"/>
    <w:next w:val="Standard"/>
    <w:uiPriority w:val="99"/>
    <w:semiHidden/>
    <w:unhideWhenUsed/>
    <w:rsid w:val="00E4334B"/>
    <w:pPr>
      <w:spacing w:before="120"/>
    </w:pPr>
    <w:rPr>
      <w:rFonts w:asciiTheme="majorHAnsi" w:eastAsiaTheme="majorEastAsia" w:hAnsiTheme="majorHAnsi" w:cstheme="majorBidi"/>
      <w:b/>
      <w:bCs/>
      <w:sz w:val="24"/>
      <w:szCs w:val="24"/>
    </w:rPr>
  </w:style>
  <w:style w:type="paragraph" w:styleId="Makrotext">
    <w:name w:val="macro"/>
    <w:link w:val="MakrotextZchn"/>
    <w:uiPriority w:val="99"/>
    <w:semiHidden/>
    <w:unhideWhenUsed/>
    <w:rsid w:val="00E4334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noProof/>
      <w:sz w:val="20"/>
      <w:szCs w:val="20"/>
    </w:rPr>
  </w:style>
  <w:style w:type="character" w:customStyle="1" w:styleId="MakrotextZchn">
    <w:name w:val="Makrotext Zchn"/>
    <w:basedOn w:val="Absatz-Standardschriftart"/>
    <w:link w:val="Makrotext"/>
    <w:uiPriority w:val="99"/>
    <w:semiHidden/>
    <w:rsid w:val="00E4334B"/>
    <w:rPr>
      <w:rFonts w:ascii="Consolas" w:hAnsi="Consolas"/>
      <w:noProof/>
      <w:sz w:val="20"/>
      <w:szCs w:val="20"/>
    </w:rPr>
  </w:style>
  <w:style w:type="paragraph" w:styleId="Rechtsgrundlagenverzeichnis">
    <w:name w:val="table of authorities"/>
    <w:basedOn w:val="Standard"/>
    <w:next w:val="Standard"/>
    <w:uiPriority w:val="99"/>
    <w:semiHidden/>
    <w:unhideWhenUsed/>
    <w:rsid w:val="00E4334B"/>
    <w:pPr>
      <w:spacing w:after="0"/>
      <w:ind w:left="220" w:hanging="220"/>
    </w:pPr>
  </w:style>
  <w:style w:type="paragraph" w:styleId="Endnotentext">
    <w:name w:val="endnote text"/>
    <w:basedOn w:val="Standard"/>
    <w:link w:val="EndnotentextZchn"/>
    <w:uiPriority w:val="99"/>
    <w:semiHidden/>
    <w:unhideWhenUsed/>
    <w:rsid w:val="00E4334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E4334B"/>
    <w:rPr>
      <w:noProof/>
      <w:sz w:val="20"/>
      <w:szCs w:val="20"/>
    </w:rPr>
  </w:style>
  <w:style w:type="character" w:styleId="Endnotenzeichen">
    <w:name w:val="endnote reference"/>
    <w:basedOn w:val="Absatz-Standardschriftart"/>
    <w:uiPriority w:val="99"/>
    <w:semiHidden/>
    <w:unhideWhenUsed/>
    <w:rsid w:val="00E4334B"/>
    <w:rPr>
      <w:vertAlign w:val="superscript"/>
    </w:rPr>
  </w:style>
  <w:style w:type="character" w:styleId="Seitenzahl">
    <w:name w:val="page number"/>
    <w:basedOn w:val="Absatz-Standardschriftart"/>
    <w:uiPriority w:val="99"/>
    <w:semiHidden/>
    <w:unhideWhenUsed/>
    <w:rsid w:val="00E4334B"/>
  </w:style>
  <w:style w:type="character" w:styleId="Zeilennummer">
    <w:name w:val="line number"/>
    <w:basedOn w:val="Absatz-Standardschriftart"/>
    <w:uiPriority w:val="99"/>
    <w:semiHidden/>
    <w:unhideWhenUsed/>
    <w:rsid w:val="00E4334B"/>
  </w:style>
  <w:style w:type="character" w:styleId="Funotenzeichen">
    <w:name w:val="footnote reference"/>
    <w:basedOn w:val="Absatz-Standardschriftart"/>
    <w:uiPriority w:val="99"/>
    <w:semiHidden/>
    <w:unhideWhenUsed/>
    <w:rsid w:val="00E4334B"/>
    <w:rPr>
      <w:vertAlign w:val="superscript"/>
    </w:rPr>
  </w:style>
  <w:style w:type="paragraph" w:styleId="Umschlagabsenderadresse">
    <w:name w:val="envelope return"/>
    <w:basedOn w:val="Standard"/>
    <w:uiPriority w:val="99"/>
    <w:semiHidden/>
    <w:unhideWhenUsed/>
    <w:rsid w:val="00E4334B"/>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E4334B"/>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bbildungsverzeichnis">
    <w:name w:val="table of figures"/>
    <w:basedOn w:val="Standard"/>
    <w:next w:val="Standard"/>
    <w:uiPriority w:val="99"/>
    <w:semiHidden/>
    <w:unhideWhenUsed/>
    <w:rsid w:val="00E4334B"/>
    <w:pPr>
      <w:spacing w:after="0"/>
    </w:pPr>
  </w:style>
  <w:style w:type="paragraph" w:styleId="Beschriftung">
    <w:name w:val="caption"/>
    <w:basedOn w:val="Standard"/>
    <w:next w:val="Standard"/>
    <w:uiPriority w:val="35"/>
    <w:semiHidden/>
    <w:unhideWhenUsed/>
    <w:qFormat/>
    <w:rsid w:val="00E4334B"/>
    <w:pPr>
      <w:spacing w:after="200" w:line="240" w:lineRule="auto"/>
    </w:pPr>
    <w:rPr>
      <w:i/>
      <w:iCs/>
      <w:color w:val="44546A" w:themeColor="text2"/>
      <w:sz w:val="18"/>
      <w:szCs w:val="18"/>
    </w:rPr>
  </w:style>
  <w:style w:type="paragraph" w:styleId="Index1">
    <w:name w:val="index 1"/>
    <w:basedOn w:val="Standard"/>
    <w:next w:val="Standard"/>
    <w:autoRedefine/>
    <w:uiPriority w:val="99"/>
    <w:semiHidden/>
    <w:unhideWhenUsed/>
    <w:rsid w:val="00E4334B"/>
    <w:pPr>
      <w:spacing w:after="0" w:line="240" w:lineRule="auto"/>
      <w:ind w:left="220" w:hanging="220"/>
    </w:pPr>
  </w:style>
  <w:style w:type="paragraph" w:styleId="Indexberschrift">
    <w:name w:val="index heading"/>
    <w:basedOn w:val="Standard"/>
    <w:next w:val="Index1"/>
    <w:uiPriority w:val="99"/>
    <w:semiHidden/>
    <w:unhideWhenUsed/>
    <w:rsid w:val="00E4334B"/>
    <w:rPr>
      <w:rFonts w:asciiTheme="majorHAnsi" w:eastAsiaTheme="majorEastAsia" w:hAnsiTheme="majorHAnsi" w:cstheme="majorBidi"/>
      <w:b/>
      <w:bCs/>
    </w:rPr>
  </w:style>
  <w:style w:type="paragraph" w:styleId="Fuzeile">
    <w:name w:val="footer"/>
    <w:basedOn w:val="Standard"/>
    <w:link w:val="FuzeileZchn"/>
    <w:uiPriority w:val="99"/>
    <w:unhideWhenUsed/>
    <w:rsid w:val="00E4334B"/>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E4334B"/>
    <w:rPr>
      <w:noProof/>
    </w:rPr>
  </w:style>
  <w:style w:type="paragraph" w:styleId="Kopfzeile">
    <w:name w:val="header"/>
    <w:basedOn w:val="Standard"/>
    <w:link w:val="KopfzeileZchn"/>
    <w:uiPriority w:val="99"/>
    <w:unhideWhenUsed/>
    <w:rsid w:val="00E4334B"/>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E4334B"/>
    <w:rPr>
      <w:noProof/>
    </w:rPr>
  </w:style>
  <w:style w:type="paragraph" w:styleId="Funotentext">
    <w:name w:val="footnote text"/>
    <w:basedOn w:val="Standard"/>
    <w:link w:val="FunotentextZchn"/>
    <w:uiPriority w:val="99"/>
    <w:semiHidden/>
    <w:unhideWhenUsed/>
    <w:rsid w:val="00E4334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4334B"/>
    <w:rPr>
      <w:noProof/>
      <w:sz w:val="20"/>
      <w:szCs w:val="20"/>
    </w:rPr>
  </w:style>
  <w:style w:type="paragraph" w:styleId="Standardeinzug">
    <w:name w:val="Normal Indent"/>
    <w:basedOn w:val="Standard"/>
    <w:uiPriority w:val="99"/>
    <w:semiHidden/>
    <w:unhideWhenUsed/>
    <w:rsid w:val="00E4334B"/>
    <w:pPr>
      <w:ind w:left="720"/>
    </w:pPr>
  </w:style>
  <w:style w:type="paragraph" w:styleId="Verzeichnis9">
    <w:name w:val="toc 9"/>
    <w:basedOn w:val="Standard"/>
    <w:next w:val="Standard"/>
    <w:autoRedefine/>
    <w:uiPriority w:val="39"/>
    <w:semiHidden/>
    <w:unhideWhenUsed/>
    <w:rsid w:val="00E4334B"/>
    <w:pPr>
      <w:spacing w:after="100"/>
      <w:ind w:left="1760"/>
    </w:pPr>
  </w:style>
  <w:style w:type="paragraph" w:styleId="Verzeichnis8">
    <w:name w:val="toc 8"/>
    <w:basedOn w:val="Standard"/>
    <w:next w:val="Standard"/>
    <w:autoRedefine/>
    <w:uiPriority w:val="39"/>
    <w:semiHidden/>
    <w:unhideWhenUsed/>
    <w:rsid w:val="00E4334B"/>
    <w:pPr>
      <w:spacing w:after="100"/>
      <w:ind w:left="1540"/>
    </w:pPr>
  </w:style>
  <w:style w:type="paragraph" w:styleId="Verzeichnis7">
    <w:name w:val="toc 7"/>
    <w:basedOn w:val="Standard"/>
    <w:next w:val="Standard"/>
    <w:autoRedefine/>
    <w:uiPriority w:val="39"/>
    <w:semiHidden/>
    <w:unhideWhenUsed/>
    <w:rsid w:val="00E4334B"/>
    <w:pPr>
      <w:spacing w:after="100"/>
      <w:ind w:left="1320"/>
    </w:pPr>
  </w:style>
  <w:style w:type="paragraph" w:styleId="Verzeichnis6">
    <w:name w:val="toc 6"/>
    <w:basedOn w:val="Standard"/>
    <w:next w:val="Standard"/>
    <w:autoRedefine/>
    <w:uiPriority w:val="39"/>
    <w:semiHidden/>
    <w:unhideWhenUsed/>
    <w:rsid w:val="00E4334B"/>
    <w:pPr>
      <w:spacing w:after="100"/>
      <w:ind w:left="1100"/>
    </w:pPr>
  </w:style>
  <w:style w:type="paragraph" w:styleId="Verzeichnis5">
    <w:name w:val="toc 5"/>
    <w:basedOn w:val="Standard"/>
    <w:next w:val="Standard"/>
    <w:autoRedefine/>
    <w:uiPriority w:val="39"/>
    <w:semiHidden/>
    <w:unhideWhenUsed/>
    <w:rsid w:val="00E4334B"/>
    <w:pPr>
      <w:spacing w:after="100"/>
      <w:ind w:left="880"/>
    </w:pPr>
  </w:style>
  <w:style w:type="paragraph" w:styleId="Verzeichnis4">
    <w:name w:val="toc 4"/>
    <w:basedOn w:val="Standard"/>
    <w:next w:val="Standard"/>
    <w:autoRedefine/>
    <w:uiPriority w:val="39"/>
    <w:semiHidden/>
    <w:unhideWhenUsed/>
    <w:rsid w:val="00E4334B"/>
    <w:pPr>
      <w:spacing w:after="100"/>
      <w:ind w:left="660"/>
    </w:pPr>
  </w:style>
  <w:style w:type="paragraph" w:styleId="Verzeichnis3">
    <w:name w:val="toc 3"/>
    <w:basedOn w:val="Standard"/>
    <w:next w:val="Standard"/>
    <w:autoRedefine/>
    <w:uiPriority w:val="39"/>
    <w:semiHidden/>
    <w:unhideWhenUsed/>
    <w:rsid w:val="00E4334B"/>
    <w:pPr>
      <w:spacing w:after="100"/>
      <w:ind w:left="440"/>
    </w:pPr>
  </w:style>
  <w:style w:type="paragraph" w:styleId="Verzeichnis2">
    <w:name w:val="toc 2"/>
    <w:basedOn w:val="Standard"/>
    <w:next w:val="Standard"/>
    <w:autoRedefine/>
    <w:uiPriority w:val="39"/>
    <w:semiHidden/>
    <w:unhideWhenUsed/>
    <w:rsid w:val="00E4334B"/>
    <w:pPr>
      <w:spacing w:after="100"/>
      <w:ind w:left="220"/>
    </w:pPr>
  </w:style>
  <w:style w:type="paragraph" w:styleId="Verzeichnis1">
    <w:name w:val="toc 1"/>
    <w:basedOn w:val="Standard"/>
    <w:next w:val="Standard"/>
    <w:autoRedefine/>
    <w:uiPriority w:val="39"/>
    <w:semiHidden/>
    <w:unhideWhenUsed/>
    <w:rsid w:val="00E4334B"/>
    <w:pPr>
      <w:spacing w:after="100"/>
    </w:pPr>
  </w:style>
  <w:style w:type="paragraph" w:styleId="Index9">
    <w:name w:val="index 9"/>
    <w:basedOn w:val="Standard"/>
    <w:next w:val="Standard"/>
    <w:autoRedefine/>
    <w:uiPriority w:val="99"/>
    <w:semiHidden/>
    <w:unhideWhenUsed/>
    <w:rsid w:val="00E4334B"/>
    <w:pPr>
      <w:spacing w:after="0" w:line="240" w:lineRule="auto"/>
      <w:ind w:left="1980" w:hanging="220"/>
    </w:pPr>
  </w:style>
  <w:style w:type="paragraph" w:styleId="Index8">
    <w:name w:val="index 8"/>
    <w:basedOn w:val="Standard"/>
    <w:next w:val="Standard"/>
    <w:autoRedefine/>
    <w:uiPriority w:val="99"/>
    <w:semiHidden/>
    <w:unhideWhenUsed/>
    <w:rsid w:val="00E4334B"/>
    <w:pPr>
      <w:spacing w:after="0" w:line="240" w:lineRule="auto"/>
      <w:ind w:left="1760" w:hanging="220"/>
    </w:pPr>
  </w:style>
  <w:style w:type="paragraph" w:styleId="Index7">
    <w:name w:val="index 7"/>
    <w:basedOn w:val="Standard"/>
    <w:next w:val="Standard"/>
    <w:autoRedefine/>
    <w:uiPriority w:val="99"/>
    <w:semiHidden/>
    <w:unhideWhenUsed/>
    <w:rsid w:val="00E4334B"/>
    <w:pPr>
      <w:spacing w:after="0" w:line="240" w:lineRule="auto"/>
      <w:ind w:left="1540" w:hanging="220"/>
    </w:pPr>
  </w:style>
  <w:style w:type="paragraph" w:styleId="Index6">
    <w:name w:val="index 6"/>
    <w:basedOn w:val="Standard"/>
    <w:next w:val="Standard"/>
    <w:autoRedefine/>
    <w:uiPriority w:val="99"/>
    <w:semiHidden/>
    <w:unhideWhenUsed/>
    <w:rsid w:val="00E4334B"/>
    <w:pPr>
      <w:spacing w:after="0" w:line="240" w:lineRule="auto"/>
      <w:ind w:left="1320" w:hanging="220"/>
    </w:pPr>
  </w:style>
  <w:style w:type="paragraph" w:styleId="Index5">
    <w:name w:val="index 5"/>
    <w:basedOn w:val="Standard"/>
    <w:next w:val="Standard"/>
    <w:autoRedefine/>
    <w:uiPriority w:val="99"/>
    <w:semiHidden/>
    <w:unhideWhenUsed/>
    <w:rsid w:val="00E4334B"/>
    <w:pPr>
      <w:spacing w:after="0" w:line="240" w:lineRule="auto"/>
      <w:ind w:left="1100" w:hanging="220"/>
    </w:pPr>
  </w:style>
  <w:style w:type="paragraph" w:styleId="Index4">
    <w:name w:val="index 4"/>
    <w:basedOn w:val="Standard"/>
    <w:next w:val="Standard"/>
    <w:autoRedefine/>
    <w:uiPriority w:val="99"/>
    <w:semiHidden/>
    <w:unhideWhenUsed/>
    <w:rsid w:val="00E4334B"/>
    <w:pPr>
      <w:spacing w:after="0" w:line="240" w:lineRule="auto"/>
      <w:ind w:left="880" w:hanging="220"/>
    </w:pPr>
  </w:style>
  <w:style w:type="paragraph" w:styleId="Index3">
    <w:name w:val="index 3"/>
    <w:basedOn w:val="Standard"/>
    <w:next w:val="Standard"/>
    <w:autoRedefine/>
    <w:uiPriority w:val="99"/>
    <w:semiHidden/>
    <w:unhideWhenUsed/>
    <w:rsid w:val="00E4334B"/>
    <w:pPr>
      <w:spacing w:after="0" w:line="240" w:lineRule="auto"/>
      <w:ind w:left="660" w:hanging="220"/>
    </w:pPr>
  </w:style>
  <w:style w:type="paragraph" w:styleId="Index2">
    <w:name w:val="index 2"/>
    <w:basedOn w:val="Standard"/>
    <w:next w:val="Standard"/>
    <w:autoRedefine/>
    <w:uiPriority w:val="99"/>
    <w:semiHidden/>
    <w:unhideWhenUsed/>
    <w:rsid w:val="00E4334B"/>
    <w:pPr>
      <w:spacing w:after="0" w:line="240" w:lineRule="auto"/>
      <w:ind w:left="440" w:hanging="220"/>
    </w:pPr>
  </w:style>
  <w:style w:type="character" w:customStyle="1" w:styleId="berschrift9Zchn">
    <w:name w:val="Überschrift 9 Zchn"/>
    <w:basedOn w:val="Absatz-Standardschriftart"/>
    <w:link w:val="berschrift9"/>
    <w:uiPriority w:val="9"/>
    <w:semiHidden/>
    <w:rsid w:val="00E4334B"/>
    <w:rPr>
      <w:rFonts w:asciiTheme="majorHAnsi" w:eastAsiaTheme="majorEastAsia" w:hAnsiTheme="majorHAnsi" w:cstheme="majorBidi"/>
      <w:i/>
      <w:iCs/>
      <w:noProof/>
      <w:color w:val="272727" w:themeColor="text1" w:themeTint="D8"/>
      <w:sz w:val="21"/>
      <w:szCs w:val="21"/>
    </w:rPr>
  </w:style>
  <w:style w:type="character" w:customStyle="1" w:styleId="berschrift8Zchn">
    <w:name w:val="Überschrift 8 Zchn"/>
    <w:basedOn w:val="Absatz-Standardschriftart"/>
    <w:link w:val="berschrift8"/>
    <w:uiPriority w:val="9"/>
    <w:semiHidden/>
    <w:rsid w:val="00E4334B"/>
    <w:rPr>
      <w:rFonts w:asciiTheme="majorHAnsi" w:eastAsiaTheme="majorEastAsia" w:hAnsiTheme="majorHAnsi" w:cstheme="majorBidi"/>
      <w:noProof/>
      <w:color w:val="272727" w:themeColor="text1" w:themeTint="D8"/>
      <w:sz w:val="21"/>
      <w:szCs w:val="21"/>
    </w:rPr>
  </w:style>
  <w:style w:type="character" w:customStyle="1" w:styleId="berschrift7Zchn">
    <w:name w:val="Überschrift 7 Zchn"/>
    <w:basedOn w:val="Absatz-Standardschriftart"/>
    <w:link w:val="berschrift7"/>
    <w:uiPriority w:val="9"/>
    <w:semiHidden/>
    <w:rsid w:val="00E4334B"/>
    <w:rPr>
      <w:rFonts w:asciiTheme="majorHAnsi" w:eastAsiaTheme="majorEastAsia" w:hAnsiTheme="majorHAnsi" w:cstheme="majorBidi"/>
      <w:i/>
      <w:iCs/>
      <w:noProof/>
      <w:color w:val="1F3763" w:themeColor="accent1" w:themeShade="7F"/>
    </w:rPr>
  </w:style>
  <w:style w:type="character" w:customStyle="1" w:styleId="berschrift6Zchn">
    <w:name w:val="Überschrift 6 Zchn"/>
    <w:basedOn w:val="Absatz-Standardschriftart"/>
    <w:link w:val="berschrift6"/>
    <w:uiPriority w:val="9"/>
    <w:semiHidden/>
    <w:rsid w:val="00E4334B"/>
    <w:rPr>
      <w:rFonts w:asciiTheme="majorHAnsi" w:eastAsiaTheme="majorEastAsia" w:hAnsiTheme="majorHAnsi" w:cstheme="majorBidi"/>
      <w:noProof/>
      <w:color w:val="1F3763" w:themeColor="accent1" w:themeShade="7F"/>
    </w:rPr>
  </w:style>
  <w:style w:type="character" w:customStyle="1" w:styleId="berschrift5Zchn">
    <w:name w:val="Überschrift 5 Zchn"/>
    <w:basedOn w:val="Absatz-Standardschriftart"/>
    <w:link w:val="berschrift5"/>
    <w:uiPriority w:val="9"/>
    <w:semiHidden/>
    <w:rsid w:val="00E4334B"/>
    <w:rPr>
      <w:rFonts w:asciiTheme="majorHAnsi" w:eastAsiaTheme="majorEastAsia" w:hAnsiTheme="majorHAnsi" w:cstheme="majorBidi"/>
      <w:noProof/>
      <w:color w:val="2F5496" w:themeColor="accent1" w:themeShade="BF"/>
    </w:rPr>
  </w:style>
  <w:style w:type="character" w:customStyle="1" w:styleId="berschrift4Zchn">
    <w:name w:val="Überschrift 4 Zchn"/>
    <w:basedOn w:val="Absatz-Standardschriftart"/>
    <w:link w:val="berschrift4"/>
    <w:uiPriority w:val="9"/>
    <w:semiHidden/>
    <w:rsid w:val="00E4334B"/>
    <w:rPr>
      <w:rFonts w:asciiTheme="majorHAnsi" w:eastAsiaTheme="majorEastAsia" w:hAnsiTheme="majorHAnsi" w:cstheme="majorBidi"/>
      <w:i/>
      <w:iCs/>
      <w:noProof/>
      <w:color w:val="2F5496" w:themeColor="accent1" w:themeShade="BF"/>
    </w:rPr>
  </w:style>
  <w:style w:type="character" w:customStyle="1" w:styleId="berschrift3Zchn">
    <w:name w:val="Überschrift 3 Zchn"/>
    <w:basedOn w:val="Absatz-Standardschriftart"/>
    <w:link w:val="berschrift3"/>
    <w:uiPriority w:val="9"/>
    <w:semiHidden/>
    <w:rsid w:val="00E4334B"/>
    <w:rPr>
      <w:rFonts w:asciiTheme="majorHAnsi" w:eastAsiaTheme="majorEastAsia" w:hAnsiTheme="majorHAnsi" w:cstheme="majorBidi"/>
      <w:noProof/>
      <w:color w:val="1F3763" w:themeColor="accent1" w:themeShade="7F"/>
      <w:sz w:val="24"/>
      <w:szCs w:val="24"/>
    </w:rPr>
  </w:style>
  <w:style w:type="character" w:customStyle="1" w:styleId="berschrift2Zchn">
    <w:name w:val="Überschrift 2 Zchn"/>
    <w:basedOn w:val="Absatz-Standardschriftart"/>
    <w:link w:val="berschrift2"/>
    <w:uiPriority w:val="9"/>
    <w:semiHidden/>
    <w:rsid w:val="00E4334B"/>
    <w:rPr>
      <w:rFonts w:asciiTheme="majorHAnsi" w:eastAsiaTheme="majorEastAsia" w:hAnsiTheme="majorHAnsi" w:cstheme="majorBidi"/>
      <w:noProof/>
      <w:color w:val="2F5496" w:themeColor="accent1" w:themeShade="BF"/>
      <w:sz w:val="26"/>
      <w:szCs w:val="26"/>
    </w:rPr>
  </w:style>
  <w:style w:type="character" w:styleId="Platzhaltertext">
    <w:name w:val="Placeholder Text"/>
    <w:basedOn w:val="Absatz-Standardschriftart"/>
    <w:uiPriority w:val="99"/>
    <w:semiHidden/>
    <w:rsid w:val="00E4334B"/>
    <w:rPr>
      <w:color w:val="808080"/>
    </w:rPr>
  </w:style>
  <w:style w:type="paragraph" w:customStyle="1" w:styleId="CitaviBibliographyEntry">
    <w:name w:val="Citavi Bibliography Entry"/>
    <w:basedOn w:val="Standard"/>
    <w:link w:val="CitaviBibliographyEntryZchn"/>
    <w:uiPriority w:val="99"/>
    <w:rsid w:val="00E4334B"/>
    <w:pPr>
      <w:tabs>
        <w:tab w:val="left" w:pos="283"/>
      </w:tabs>
      <w:spacing w:after="60"/>
      <w:ind w:left="283" w:hanging="283"/>
    </w:pPr>
  </w:style>
  <w:style w:type="character" w:customStyle="1" w:styleId="CitaviBibliographyEntryZchn">
    <w:name w:val="Citavi Bibliography Entry Zchn"/>
    <w:basedOn w:val="Absatz-Standardschriftart"/>
    <w:link w:val="CitaviBibliographyEntry"/>
    <w:uiPriority w:val="99"/>
    <w:rsid w:val="00E4334B"/>
    <w:rPr>
      <w:noProof/>
    </w:rPr>
  </w:style>
  <w:style w:type="paragraph" w:customStyle="1" w:styleId="CitaviBibliographyHeading">
    <w:name w:val="Citavi Bibliography Heading"/>
    <w:basedOn w:val="berschrift1"/>
    <w:link w:val="CitaviBibliographyHeadingZchn"/>
    <w:uiPriority w:val="99"/>
    <w:rsid w:val="00E4334B"/>
  </w:style>
  <w:style w:type="character" w:customStyle="1" w:styleId="CitaviBibliographyHeadingZchn">
    <w:name w:val="Citavi Bibliography Heading Zchn"/>
    <w:basedOn w:val="Absatz-Standardschriftart"/>
    <w:link w:val="CitaviBibliographyHeading"/>
    <w:uiPriority w:val="99"/>
    <w:rsid w:val="00E4334B"/>
    <w:rPr>
      <w:rFonts w:asciiTheme="majorHAnsi" w:eastAsiaTheme="majorEastAsia" w:hAnsiTheme="majorHAnsi" w:cstheme="majorBidi"/>
      <w:noProof/>
      <w:color w:val="2F5496" w:themeColor="accent1" w:themeShade="BF"/>
      <w:sz w:val="32"/>
      <w:szCs w:val="32"/>
    </w:rPr>
  </w:style>
  <w:style w:type="paragraph" w:customStyle="1" w:styleId="CitaviChapterBibliographyHeading">
    <w:name w:val="Citavi Chapter Bibliography Heading"/>
    <w:basedOn w:val="berschrift2"/>
    <w:link w:val="CitaviChapterBibliographyHeadingZchn"/>
    <w:uiPriority w:val="99"/>
    <w:rsid w:val="00E4334B"/>
  </w:style>
  <w:style w:type="character" w:customStyle="1" w:styleId="CitaviChapterBibliographyHeadingZchn">
    <w:name w:val="Citavi Chapter Bibliography Heading Zchn"/>
    <w:basedOn w:val="Absatz-Standardschriftart"/>
    <w:link w:val="CitaviChapterBibliographyHeading"/>
    <w:uiPriority w:val="99"/>
    <w:rsid w:val="00E4334B"/>
    <w:rPr>
      <w:rFonts w:asciiTheme="majorHAnsi" w:eastAsiaTheme="majorEastAsia" w:hAnsiTheme="majorHAnsi" w:cstheme="majorBidi"/>
      <w:noProof/>
      <w:color w:val="2F5496" w:themeColor="accent1" w:themeShade="BF"/>
      <w:sz w:val="26"/>
      <w:szCs w:val="26"/>
    </w:rPr>
  </w:style>
  <w:style w:type="paragraph" w:customStyle="1" w:styleId="CitaviBibliographySubheading1">
    <w:name w:val="Citavi Bibliography Subheading 1"/>
    <w:basedOn w:val="berschrift2"/>
    <w:link w:val="CitaviBibliographySubheading1Zchn"/>
    <w:uiPriority w:val="99"/>
    <w:rsid w:val="00E4334B"/>
    <w:pPr>
      <w:spacing w:line="240" w:lineRule="auto"/>
      <w:outlineLvl w:val="9"/>
    </w:pPr>
    <w:rPr>
      <w:rFonts w:ascii="Calibri" w:hAnsi="Calibri" w:cs="Calibri"/>
      <w:noProof w:val="0"/>
      <w:color w:val="000000"/>
      <w:lang w:val="en-GB"/>
    </w:rPr>
  </w:style>
  <w:style w:type="character" w:customStyle="1" w:styleId="CitaviBibliographySubheading1Zchn">
    <w:name w:val="Citavi Bibliography Subheading 1 Zchn"/>
    <w:basedOn w:val="Absatz-Standardschriftart"/>
    <w:link w:val="CitaviBibliographySubheading1"/>
    <w:uiPriority w:val="99"/>
    <w:rsid w:val="00E4334B"/>
    <w:rPr>
      <w:rFonts w:ascii="Calibri" w:eastAsiaTheme="majorEastAsia" w:hAnsi="Calibri" w:cs="Calibri"/>
      <w:color w:val="000000"/>
      <w:sz w:val="26"/>
      <w:szCs w:val="26"/>
      <w:lang w:val="en-GB"/>
    </w:rPr>
  </w:style>
  <w:style w:type="paragraph" w:customStyle="1" w:styleId="CitaviBibliographySubheading2">
    <w:name w:val="Citavi Bibliography Subheading 2"/>
    <w:basedOn w:val="berschrift3"/>
    <w:link w:val="CitaviBibliographySubheading2Zchn"/>
    <w:uiPriority w:val="99"/>
    <w:rsid w:val="00E4334B"/>
    <w:pPr>
      <w:spacing w:line="240" w:lineRule="auto"/>
      <w:outlineLvl w:val="9"/>
    </w:pPr>
    <w:rPr>
      <w:rFonts w:ascii="Calibri" w:hAnsi="Calibri" w:cs="Calibri"/>
      <w:noProof w:val="0"/>
      <w:color w:val="000000"/>
      <w:lang w:val="en-GB"/>
    </w:rPr>
  </w:style>
  <w:style w:type="character" w:customStyle="1" w:styleId="CitaviBibliographySubheading2Zchn">
    <w:name w:val="Citavi Bibliography Subheading 2 Zchn"/>
    <w:basedOn w:val="Absatz-Standardschriftart"/>
    <w:link w:val="CitaviBibliographySubheading2"/>
    <w:uiPriority w:val="99"/>
    <w:rsid w:val="00E4334B"/>
    <w:rPr>
      <w:rFonts w:ascii="Calibri" w:eastAsiaTheme="majorEastAsia" w:hAnsi="Calibri" w:cs="Calibri"/>
      <w:color w:val="000000"/>
      <w:sz w:val="24"/>
      <w:szCs w:val="24"/>
      <w:lang w:val="en-GB"/>
    </w:rPr>
  </w:style>
  <w:style w:type="paragraph" w:customStyle="1" w:styleId="CitaviBibliographySubheading3">
    <w:name w:val="Citavi Bibliography Subheading 3"/>
    <w:basedOn w:val="berschrift4"/>
    <w:link w:val="CitaviBibliographySubheading3Zchn"/>
    <w:uiPriority w:val="99"/>
    <w:rsid w:val="00E4334B"/>
    <w:pPr>
      <w:spacing w:line="240" w:lineRule="auto"/>
      <w:outlineLvl w:val="9"/>
    </w:pPr>
    <w:rPr>
      <w:rFonts w:ascii="Calibri" w:hAnsi="Calibri" w:cs="Calibri"/>
      <w:noProof w:val="0"/>
      <w:color w:val="000000"/>
      <w:lang w:val="en-GB"/>
    </w:rPr>
  </w:style>
  <w:style w:type="character" w:customStyle="1" w:styleId="CitaviBibliographySubheading3Zchn">
    <w:name w:val="Citavi Bibliography Subheading 3 Zchn"/>
    <w:basedOn w:val="Absatz-Standardschriftart"/>
    <w:link w:val="CitaviBibliographySubheading3"/>
    <w:uiPriority w:val="99"/>
    <w:rsid w:val="00E4334B"/>
    <w:rPr>
      <w:rFonts w:ascii="Calibri" w:eastAsiaTheme="majorEastAsia" w:hAnsi="Calibri" w:cs="Calibri"/>
      <w:i/>
      <w:iCs/>
      <w:color w:val="000000"/>
      <w:lang w:val="en-GB"/>
    </w:rPr>
  </w:style>
  <w:style w:type="paragraph" w:customStyle="1" w:styleId="CitaviBibliographySubheading4">
    <w:name w:val="Citavi Bibliography Subheading 4"/>
    <w:basedOn w:val="berschrift5"/>
    <w:link w:val="CitaviBibliographySubheading4Zchn"/>
    <w:uiPriority w:val="99"/>
    <w:rsid w:val="00E4334B"/>
    <w:pPr>
      <w:spacing w:line="240" w:lineRule="auto"/>
      <w:outlineLvl w:val="9"/>
    </w:pPr>
    <w:rPr>
      <w:rFonts w:ascii="Calibri" w:hAnsi="Calibri" w:cs="Calibri"/>
      <w:noProof w:val="0"/>
      <w:color w:val="000000"/>
      <w:lang w:val="en-GB"/>
    </w:rPr>
  </w:style>
  <w:style w:type="character" w:customStyle="1" w:styleId="CitaviBibliographySubheading4Zchn">
    <w:name w:val="Citavi Bibliography Subheading 4 Zchn"/>
    <w:basedOn w:val="Absatz-Standardschriftart"/>
    <w:link w:val="CitaviBibliographySubheading4"/>
    <w:uiPriority w:val="99"/>
    <w:rsid w:val="00E4334B"/>
    <w:rPr>
      <w:rFonts w:ascii="Calibri" w:eastAsiaTheme="majorEastAsia" w:hAnsi="Calibri" w:cs="Calibri"/>
      <w:color w:val="000000"/>
      <w:lang w:val="en-GB"/>
    </w:rPr>
  </w:style>
  <w:style w:type="paragraph" w:customStyle="1" w:styleId="CitaviBibliographySubheading5">
    <w:name w:val="Citavi Bibliography Subheading 5"/>
    <w:basedOn w:val="berschrift6"/>
    <w:link w:val="CitaviBibliographySubheading5Zchn"/>
    <w:uiPriority w:val="99"/>
    <w:rsid w:val="00E4334B"/>
    <w:pPr>
      <w:spacing w:line="240" w:lineRule="auto"/>
      <w:outlineLvl w:val="9"/>
    </w:pPr>
    <w:rPr>
      <w:rFonts w:ascii="Calibri" w:hAnsi="Calibri" w:cs="Calibri"/>
      <w:noProof w:val="0"/>
      <w:color w:val="000000"/>
      <w:lang w:val="en-GB"/>
    </w:rPr>
  </w:style>
  <w:style w:type="character" w:customStyle="1" w:styleId="CitaviBibliographySubheading5Zchn">
    <w:name w:val="Citavi Bibliography Subheading 5 Zchn"/>
    <w:basedOn w:val="Absatz-Standardschriftart"/>
    <w:link w:val="CitaviBibliographySubheading5"/>
    <w:uiPriority w:val="99"/>
    <w:rsid w:val="00E4334B"/>
    <w:rPr>
      <w:rFonts w:ascii="Calibri" w:eastAsiaTheme="majorEastAsia" w:hAnsi="Calibri" w:cs="Calibri"/>
      <w:color w:val="000000"/>
      <w:lang w:val="en-GB"/>
    </w:rPr>
  </w:style>
  <w:style w:type="paragraph" w:customStyle="1" w:styleId="CitaviBibliographySubheading6">
    <w:name w:val="Citavi Bibliography Subheading 6"/>
    <w:basedOn w:val="berschrift7"/>
    <w:link w:val="CitaviBibliographySubheading6Zchn"/>
    <w:uiPriority w:val="99"/>
    <w:rsid w:val="00E4334B"/>
    <w:pPr>
      <w:spacing w:line="240" w:lineRule="auto"/>
      <w:outlineLvl w:val="9"/>
    </w:pPr>
    <w:rPr>
      <w:rFonts w:ascii="Calibri" w:hAnsi="Calibri" w:cs="Calibri"/>
      <w:noProof w:val="0"/>
      <w:color w:val="000000"/>
      <w:lang w:val="en-GB"/>
    </w:rPr>
  </w:style>
  <w:style w:type="character" w:customStyle="1" w:styleId="CitaviBibliographySubheading6Zchn">
    <w:name w:val="Citavi Bibliography Subheading 6 Zchn"/>
    <w:basedOn w:val="Absatz-Standardschriftart"/>
    <w:link w:val="CitaviBibliographySubheading6"/>
    <w:uiPriority w:val="99"/>
    <w:rsid w:val="00E4334B"/>
    <w:rPr>
      <w:rFonts w:ascii="Calibri" w:eastAsiaTheme="majorEastAsia" w:hAnsi="Calibri" w:cs="Calibri"/>
      <w:i/>
      <w:iCs/>
      <w:color w:val="000000"/>
      <w:lang w:val="en-GB"/>
    </w:rPr>
  </w:style>
  <w:style w:type="paragraph" w:customStyle="1" w:styleId="CitaviBibliographySubheading7">
    <w:name w:val="Citavi Bibliography Subheading 7"/>
    <w:basedOn w:val="berschrift8"/>
    <w:link w:val="CitaviBibliographySubheading7Zchn"/>
    <w:uiPriority w:val="99"/>
    <w:rsid w:val="00E4334B"/>
    <w:pPr>
      <w:spacing w:line="240" w:lineRule="auto"/>
      <w:outlineLvl w:val="9"/>
    </w:pPr>
    <w:rPr>
      <w:rFonts w:ascii="Calibri" w:hAnsi="Calibri" w:cs="Calibri"/>
      <w:noProof w:val="0"/>
      <w:color w:val="000000"/>
      <w:lang w:val="en-GB"/>
    </w:rPr>
  </w:style>
  <w:style w:type="character" w:customStyle="1" w:styleId="CitaviBibliographySubheading7Zchn">
    <w:name w:val="Citavi Bibliography Subheading 7 Zchn"/>
    <w:basedOn w:val="Absatz-Standardschriftart"/>
    <w:link w:val="CitaviBibliographySubheading7"/>
    <w:uiPriority w:val="99"/>
    <w:rsid w:val="00E4334B"/>
    <w:rPr>
      <w:rFonts w:ascii="Calibri" w:eastAsiaTheme="majorEastAsia" w:hAnsi="Calibri" w:cs="Calibri"/>
      <w:color w:val="000000"/>
      <w:sz w:val="21"/>
      <w:szCs w:val="21"/>
      <w:lang w:val="en-GB"/>
    </w:rPr>
  </w:style>
  <w:style w:type="paragraph" w:customStyle="1" w:styleId="CitaviBibliographySubheading8">
    <w:name w:val="Citavi Bibliography Subheading 8"/>
    <w:basedOn w:val="berschrift9"/>
    <w:link w:val="CitaviBibliographySubheading8Zchn"/>
    <w:uiPriority w:val="99"/>
    <w:rsid w:val="00E4334B"/>
    <w:pPr>
      <w:spacing w:line="240" w:lineRule="auto"/>
      <w:outlineLvl w:val="9"/>
    </w:pPr>
    <w:rPr>
      <w:rFonts w:ascii="Calibri" w:hAnsi="Calibri" w:cs="Calibri"/>
      <w:noProof w:val="0"/>
      <w:color w:val="000000"/>
      <w:lang w:val="en-GB"/>
    </w:rPr>
  </w:style>
  <w:style w:type="character" w:customStyle="1" w:styleId="CitaviBibliographySubheading8Zchn">
    <w:name w:val="Citavi Bibliography Subheading 8 Zchn"/>
    <w:basedOn w:val="Absatz-Standardschriftart"/>
    <w:link w:val="CitaviBibliographySubheading8"/>
    <w:uiPriority w:val="99"/>
    <w:rsid w:val="00E4334B"/>
    <w:rPr>
      <w:rFonts w:ascii="Calibri" w:eastAsiaTheme="majorEastAsia" w:hAnsi="Calibri" w:cs="Calibri"/>
      <w:i/>
      <w:iCs/>
      <w:color w:val="000000"/>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373628">
      <w:bodyDiv w:val="1"/>
      <w:marLeft w:val="0"/>
      <w:marRight w:val="0"/>
      <w:marTop w:val="0"/>
      <w:marBottom w:val="0"/>
      <w:divBdr>
        <w:top w:val="none" w:sz="0" w:space="0" w:color="auto"/>
        <w:left w:val="none" w:sz="0" w:space="0" w:color="auto"/>
        <w:bottom w:val="none" w:sz="0" w:space="0" w:color="auto"/>
        <w:right w:val="none" w:sz="0" w:space="0" w:color="auto"/>
      </w:divBdr>
    </w:div>
    <w:div w:id="364602093">
      <w:bodyDiv w:val="1"/>
      <w:marLeft w:val="0"/>
      <w:marRight w:val="0"/>
      <w:marTop w:val="0"/>
      <w:marBottom w:val="0"/>
      <w:divBdr>
        <w:top w:val="none" w:sz="0" w:space="0" w:color="auto"/>
        <w:left w:val="none" w:sz="0" w:space="0" w:color="auto"/>
        <w:bottom w:val="none" w:sz="0" w:space="0" w:color="auto"/>
        <w:right w:val="none" w:sz="0" w:space="0" w:color="auto"/>
      </w:divBdr>
    </w:div>
    <w:div w:id="459495358">
      <w:bodyDiv w:val="1"/>
      <w:marLeft w:val="0"/>
      <w:marRight w:val="0"/>
      <w:marTop w:val="0"/>
      <w:marBottom w:val="0"/>
      <w:divBdr>
        <w:top w:val="none" w:sz="0" w:space="0" w:color="auto"/>
        <w:left w:val="none" w:sz="0" w:space="0" w:color="auto"/>
        <w:bottom w:val="none" w:sz="0" w:space="0" w:color="auto"/>
        <w:right w:val="none" w:sz="0" w:space="0" w:color="auto"/>
      </w:divBdr>
    </w:div>
    <w:div w:id="589319092">
      <w:bodyDiv w:val="1"/>
      <w:marLeft w:val="0"/>
      <w:marRight w:val="0"/>
      <w:marTop w:val="0"/>
      <w:marBottom w:val="0"/>
      <w:divBdr>
        <w:top w:val="none" w:sz="0" w:space="0" w:color="auto"/>
        <w:left w:val="none" w:sz="0" w:space="0" w:color="auto"/>
        <w:bottom w:val="none" w:sz="0" w:space="0" w:color="auto"/>
        <w:right w:val="none" w:sz="0" w:space="0" w:color="auto"/>
      </w:divBdr>
    </w:div>
    <w:div w:id="1248081207">
      <w:bodyDiv w:val="1"/>
      <w:marLeft w:val="0"/>
      <w:marRight w:val="0"/>
      <w:marTop w:val="0"/>
      <w:marBottom w:val="0"/>
      <w:divBdr>
        <w:top w:val="none" w:sz="0" w:space="0" w:color="auto"/>
        <w:left w:val="none" w:sz="0" w:space="0" w:color="auto"/>
        <w:bottom w:val="none" w:sz="0" w:space="0" w:color="auto"/>
        <w:right w:val="none" w:sz="0" w:space="0" w:color="auto"/>
      </w:divBdr>
    </w:div>
    <w:div w:id="1337607792">
      <w:bodyDiv w:val="1"/>
      <w:marLeft w:val="0"/>
      <w:marRight w:val="0"/>
      <w:marTop w:val="0"/>
      <w:marBottom w:val="0"/>
      <w:divBdr>
        <w:top w:val="none" w:sz="0" w:space="0" w:color="auto"/>
        <w:left w:val="none" w:sz="0" w:space="0" w:color="auto"/>
        <w:bottom w:val="none" w:sz="0" w:space="0" w:color="auto"/>
        <w:right w:val="none" w:sz="0" w:space="0" w:color="auto"/>
      </w:divBdr>
    </w:div>
    <w:div w:id="156428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iz.nl/over-ciz/governance" TargetMode="External"/><Relationship Id="rId18" Type="http://schemas.openxmlformats.org/officeDocument/2006/relationships/hyperlink" Target="https://ec.europa.eu/info/sites/default/files/file_import/joint-report_nl_en_2.pdf" TargetMode="External"/><Relationship Id="rId26" Type="http://schemas.openxmlformats.org/officeDocument/2006/relationships/hyperlink" Target="https://doi.org/10.1142/9789813236158_0005" TargetMode="External"/><Relationship Id="rId39" Type="http://schemas.openxmlformats.org/officeDocument/2006/relationships/hyperlink" Target="https://doi.org/10.1787/19901291" TargetMode="External"/><Relationship Id="rId21" Type="http://schemas.openxmlformats.org/officeDocument/2006/relationships/hyperlink" Target="https://adva.org/wp-content/uploads/2019/03/Care-Deficit-EN.pdf" TargetMode="External"/><Relationship Id="rId34" Type="http://schemas.openxmlformats.org/officeDocument/2006/relationships/hyperlink" Target="https://www.mhlw.go.jp/english/policy/care-welfare/care-welfare-elderly/dl/ltcis_2017_e.pdf" TargetMode="External"/><Relationship Id="rId42" Type="http://schemas.openxmlformats.org/officeDocument/2006/relationships/hyperlink" Target="https://www.oecd.org/luxembourg/47877835.pdf" TargetMode="External"/><Relationship Id="rId47" Type="http://schemas.openxmlformats.org/officeDocument/2006/relationships/hyperlink" Target="https://www.barmer.de/blob/170372/9186b971babc3f80267fc329d65f8e5e/data/dl-pflegereport-komplett.pdf" TargetMode="External"/><Relationship Id="rId50" Type="http://schemas.openxmlformats.org/officeDocument/2006/relationships/hyperlink" Target="https://doi.org/10.1111/j.1467-9515.2010.00721.x" TargetMode="External"/><Relationship Id="rId55" Type="http://schemas.openxmlformats.org/officeDocument/2006/relationships/hyperlink" Target="https://www.jica.go.jp/english/our_work/thematic_issues/social/c8h0vm0000f4pxgh-att/insurance.pdf" TargetMode="External"/><Relationship Id="rId7" Type="http://schemas.openxmlformats.org/officeDocument/2006/relationships/hyperlink" Target="https://doi.org/10.1111/hsc.12563" TargetMode="External"/><Relationship Id="rId2" Type="http://schemas.openxmlformats.org/officeDocument/2006/relationships/styles" Target="styles.xml"/><Relationship Id="rId16" Type="http://schemas.openxmlformats.org/officeDocument/2006/relationships/hyperlink" Target="https://doi.org/10.1111/spol.12092" TargetMode="External"/><Relationship Id="rId29" Type="http://schemas.openxmlformats.org/officeDocument/2006/relationships/hyperlink" Target="https://extranet.who.int/kobe_centre/en/project-details/pricesetting2" TargetMode="External"/><Relationship Id="rId11" Type="http://schemas.openxmlformats.org/officeDocument/2006/relationships/hyperlink" Target="https://www.bundesgesundheitsministerium.de/fileadmin/Dateien/3_Downloads/Statistiken/Pflegeversicherung/Finanzentwicklung/2020_Finanzentwicklung-der-sozialen-Pflegeversicherung_bf.pdf" TargetMode="External"/><Relationship Id="rId24" Type="http://schemas.openxmlformats.org/officeDocument/2006/relationships/hyperlink" Target="https://doi.org/10.1080/23288604.2017.1345052" TargetMode="External"/><Relationship Id="rId32" Type="http://schemas.openxmlformats.org/officeDocument/2006/relationships/hyperlink" Target="https://igss.gouvernement.lu/dam-assets/publications/bilans-d%C3%A9pendance/bilan-dependance-2013.pdf" TargetMode="External"/><Relationship Id="rId37" Type="http://schemas.openxmlformats.org/officeDocument/2006/relationships/hyperlink" Target="https://www.missoc.org/documents/archive/MISSOC_2002_EN.pdf" TargetMode="External"/><Relationship Id="rId40" Type="http://schemas.openxmlformats.org/officeDocument/2006/relationships/hyperlink" Target="https://www.oecd.org/israel/47877779.pdf" TargetMode="External"/><Relationship Id="rId45" Type="http://schemas.openxmlformats.org/officeDocument/2006/relationships/hyperlink" Target="https://www.ceps.eu/download/publication/?id=7289&amp;pdf=RR%20No%2095%20_ANCIEN_%20Organisation%20of%20Formal%20LTC.pdf" TargetMode="External"/><Relationship Id="rId53" Type="http://schemas.openxmlformats.org/officeDocument/2006/relationships/hyperlink" Target="http://hdl.handle.net/10068/130346" TargetMode="External"/><Relationship Id="rId58" Type="http://schemas.openxmlformats.org/officeDocument/2006/relationships/footer" Target="footer1.xml"/><Relationship Id="rId5" Type="http://schemas.openxmlformats.org/officeDocument/2006/relationships/footnotes" Target="footnotes.xml"/><Relationship Id="rId19" Type="http://schemas.openxmlformats.org/officeDocument/2006/relationships/hyperlink" Target="https://doi.org/10.1300/J031v10n01_05" TargetMode="External"/><Relationship Id="rId4" Type="http://schemas.openxmlformats.org/officeDocument/2006/relationships/webSettings" Target="webSettings.xml"/><Relationship Id="rId9" Type="http://schemas.openxmlformats.org/officeDocument/2006/relationships/hyperlink" Target="https://doi.org/10.1080/08959420.2015.1022101" TargetMode="External"/><Relationship Id="rId14" Type="http://schemas.openxmlformats.org/officeDocument/2006/relationships/hyperlink" Target="https://www.unescap.org/sites/default/files/Long-term%20care%20for%20older%20persons%20in%20the%20Republic%20of%20Korea.pdf" TargetMode="External"/><Relationship Id="rId22" Type="http://schemas.openxmlformats.org/officeDocument/2006/relationships/hyperlink" Target="https://doi.org/10.15171/ijhpm.2019.35" TargetMode="External"/><Relationship Id="rId27" Type="http://schemas.openxmlformats.org/officeDocument/2006/relationships/hyperlink" Target="https://doi.org/10.1016/j.healthpol.2020.11.003" TargetMode="External"/><Relationship Id="rId30" Type="http://schemas.openxmlformats.org/officeDocument/2006/relationships/hyperlink" Target="https://www.aloss.lu/fileadmin/file/aloss/Documents/BLQS/BLQS_19.pdf#pageMode=bookmarks" TargetMode="External"/><Relationship Id="rId35" Type="http://schemas.openxmlformats.org/officeDocument/2006/relationships/hyperlink" Target="https://www.cpb.nl/sites/default/files/publicaties/download/dutch-system-long-term-care.pdf" TargetMode="External"/><Relationship Id="rId43" Type="http://schemas.openxmlformats.org/officeDocument/2006/relationships/hyperlink" Target="https://ec.europa.eu/social/BlobServlet?docId=19858&amp;langId=en" TargetMode="External"/><Relationship Id="rId48" Type="http://schemas.openxmlformats.org/officeDocument/2006/relationships/hyperlink" Target="https://mig.tu-berlin.de/fileadmin/a38331600/2010.publications/2010_HitNiederlande.pdf" TargetMode="External"/><Relationship Id="rId56" Type="http://schemas.openxmlformats.org/officeDocument/2006/relationships/hyperlink" Target="https://doi.org/10.1111/j.1467-9515.2011.00808.x" TargetMode="External"/><Relationship Id="rId8" Type="http://schemas.openxmlformats.org/officeDocument/2006/relationships/hyperlink" Target="http://hdl.handle.net/10419/64809" TargetMode="External"/><Relationship Id="rId51" Type="http://schemas.openxmlformats.org/officeDocument/2006/relationships/hyperlink" Target="https://doi.org/10.1080/19371910903547033" TargetMode="External"/><Relationship Id="rId3" Type="http://schemas.openxmlformats.org/officeDocument/2006/relationships/settings" Target="settings.xml"/><Relationship Id="rId12" Type="http://schemas.openxmlformats.org/officeDocument/2006/relationships/hyperlink" Target="https://doi.org/10.1111/1467-9515.00321" TargetMode="External"/><Relationship Id="rId17" Type="http://schemas.openxmlformats.org/officeDocument/2006/relationships/hyperlink" Target="http://ec.europa.eu/social/BlobServlet?docId=12976&amp;langId=en" TargetMode="External"/><Relationship Id="rId25" Type="http://schemas.openxmlformats.org/officeDocument/2006/relationships/hyperlink" Target="https://ec.europa.eu/social/BlobServlet?docId=19861&amp;langId=en" TargetMode="External"/><Relationship Id="rId33" Type="http://schemas.openxmlformats.org/officeDocument/2006/relationships/hyperlink" Target="https://www.mhlw.go.jp/english/policy/care-welfare/care-welfare-elderly/dl/ltcisj_e.pdf" TargetMode="External"/><Relationship Id="rId38" Type="http://schemas.openxmlformats.org/officeDocument/2006/relationships/hyperlink" Target="https://www.missoc.org/missoc-database/comparative-tables/?y=1047" TargetMode="External"/><Relationship Id="rId46" Type="http://schemas.openxmlformats.org/officeDocument/2006/relationships/hyperlink" Target="https://doi.org/10.1111/j.1467-9515.2010.00722.x" TargetMode="External"/><Relationship Id="rId59" Type="http://schemas.openxmlformats.org/officeDocument/2006/relationships/fontTable" Target="fontTable.xml"/><Relationship Id="rId20" Type="http://schemas.openxmlformats.org/officeDocument/2006/relationships/hyperlink" Target="https://www.cambridge.org/core/books/making-markets-in-the-welfare-state/D7DD02DB50BB0C8A346E21168BD27E3B#fndtn-contents" TargetMode="External"/><Relationship Id="rId41" Type="http://schemas.openxmlformats.org/officeDocument/2006/relationships/hyperlink" Target="https://www.oecd.org/els/health-systems/47877789.pdf" TargetMode="External"/><Relationship Id="rId54" Type="http://schemas.openxmlformats.org/officeDocument/2006/relationships/hyperlink" Target="https://doi.org/10.1111/ijsw.12298"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080/02185385.2012.726422" TargetMode="External"/><Relationship Id="rId23" Type="http://schemas.openxmlformats.org/officeDocument/2006/relationships/hyperlink" Target="https://extranet.who.int/kobe_centre/en/project-details/pricesetting2" TargetMode="External"/><Relationship Id="rId28" Type="http://schemas.openxmlformats.org/officeDocument/2006/relationships/hyperlink" Target="https://eurohealthobservatory.who.int/publications/i/netherlands-health-system-review-2016" TargetMode="External"/><Relationship Id="rId36" Type="http://schemas.openxmlformats.org/officeDocument/2006/relationships/hyperlink" Target="https://www.missoc.org/missoc-database/comparative-tables/results/" TargetMode="External"/><Relationship Id="rId49" Type="http://schemas.openxmlformats.org/officeDocument/2006/relationships/hyperlink" Target="https://www.eldis.org/document/A45258" TargetMode="External"/><Relationship Id="rId57" Type="http://schemas.openxmlformats.org/officeDocument/2006/relationships/hyperlink" Target="https://aspe.hhs.gov/system/files/pdf/73646/5overvie.pdf" TargetMode="External"/><Relationship Id="rId10" Type="http://schemas.openxmlformats.org/officeDocument/2006/relationships/hyperlink" Target="https://www.bundesgesundheitsministerium.de/fileadmin/Dateien/3_Downloads/Statistiken/Pflegeversicherung/Leistungsempfaenger/06-Leistungsempfaenger-der-sozialen-PV-nach-Leistungsarten_2019.xlsx" TargetMode="External"/><Relationship Id="rId31" Type="http://schemas.openxmlformats.org/officeDocument/2006/relationships/hyperlink" Target="https://doi.org/10.1111/polp.12339" TargetMode="External"/><Relationship Id="rId44" Type="http://schemas.openxmlformats.org/officeDocument/2006/relationships/hyperlink" Target="https://doi.org/10.1016/j.healthpol.2015.06.001" TargetMode="External"/><Relationship Id="rId52" Type="http://schemas.openxmlformats.org/officeDocument/2006/relationships/hyperlink" Target="http://ec.europa.eu/social/BlobServlet?docId=12973&amp;langId=en" TargetMode="External"/><Relationship Id="rId60"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9042</Words>
  <Characters>51541</Characters>
  <Application>Microsoft Office Word</Application>
  <DocSecurity>0</DocSecurity>
  <Lines>429</Lines>
  <Paragraphs>120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Fischer</dc:creator>
  <cp:keywords/>
  <dc:description/>
  <cp:lastModifiedBy>Johanna Fischer</cp:lastModifiedBy>
  <cp:revision>4</cp:revision>
  <dcterms:created xsi:type="dcterms:W3CDTF">2021-08-25T13:30:00Z</dcterms:created>
  <dcterms:modified xsi:type="dcterms:W3CDTF">2021-08-25T13:36:00Z</dcterms:modified>
</cp:coreProperties>
</file>