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CE9C" w14:textId="60729301" w:rsidR="00DD7AC2" w:rsidRDefault="00DD7AC2" w:rsidP="00740069">
      <w:pPr>
        <w:spacing w:after="0" w:line="240" w:lineRule="auto"/>
        <w:rPr>
          <w:b/>
          <w:bCs/>
          <w:sz w:val="24"/>
          <w:szCs w:val="24"/>
        </w:rPr>
      </w:pPr>
    </w:p>
    <w:p w14:paraId="7E61F3D7" w14:textId="77777777" w:rsidR="002E0F5A" w:rsidRDefault="002E0F5A" w:rsidP="002E0F5A">
      <w:pPr>
        <w:spacing w:after="0" w:line="240" w:lineRule="auto"/>
        <w:jc w:val="center"/>
        <w:rPr>
          <w:b/>
          <w:bCs/>
        </w:rPr>
      </w:pPr>
      <w:r>
        <w:rPr>
          <w:b/>
          <w:bCs/>
        </w:rPr>
        <w:t>APPENDIX 1</w:t>
      </w:r>
    </w:p>
    <w:p w14:paraId="17D352BF" w14:textId="312DA22C" w:rsidR="005870B7" w:rsidRDefault="002E0F5A" w:rsidP="002E0F5A">
      <w:pPr>
        <w:spacing w:after="0" w:line="240" w:lineRule="auto"/>
        <w:jc w:val="center"/>
        <w:rPr>
          <w:b/>
          <w:bCs/>
        </w:rPr>
      </w:pPr>
      <w:r w:rsidRPr="007A7F7C">
        <w:rPr>
          <w:b/>
          <w:bCs/>
        </w:rPr>
        <w:t xml:space="preserve">STATE </w:t>
      </w:r>
      <w:r w:rsidR="009938E8">
        <w:rPr>
          <w:b/>
          <w:bCs/>
        </w:rPr>
        <w:t>DEPARTMENTS OF TRANSPORTATION</w:t>
      </w:r>
      <w:r w:rsidRPr="007A7F7C">
        <w:rPr>
          <w:b/>
          <w:bCs/>
        </w:rPr>
        <w:t xml:space="preserve"> SURVEY</w:t>
      </w:r>
    </w:p>
    <w:p w14:paraId="2750C93B" w14:textId="3C3A2901" w:rsidR="005870B7" w:rsidRPr="007A7F7C" w:rsidRDefault="005870B7" w:rsidP="002E0F5A">
      <w:pPr>
        <w:spacing w:after="0" w:line="240" w:lineRule="auto"/>
        <w:jc w:val="center"/>
        <w:rPr>
          <w:b/>
          <w:bCs/>
        </w:rPr>
      </w:pPr>
      <w:r>
        <w:rPr>
          <w:b/>
          <w:bCs/>
        </w:rPr>
        <w:t xml:space="preserve">CRM BUDGETS AND </w:t>
      </w:r>
      <w:r w:rsidR="0075674D">
        <w:rPr>
          <w:b/>
          <w:bCs/>
        </w:rPr>
        <w:t>FULL TIME STAFFING</w:t>
      </w:r>
    </w:p>
    <w:p w14:paraId="09B1A50A" w14:textId="77777777" w:rsidR="002E0F5A" w:rsidRDefault="002E0F5A" w:rsidP="002E0F5A"/>
    <w:p w14:paraId="621AA331" w14:textId="32E5EA3D" w:rsidR="00782B04" w:rsidRDefault="00782B04" w:rsidP="002E0F5A">
      <w:r>
        <w:t>A</w:t>
      </w:r>
      <w:r w:rsidR="002E0F5A">
        <w:t xml:space="preserve"> survey questionnaire </w:t>
      </w:r>
      <w:r>
        <w:t xml:space="preserve">was sent </w:t>
      </w:r>
      <w:r w:rsidR="002E0F5A">
        <w:t xml:space="preserve">to </w:t>
      </w:r>
      <w:r w:rsidR="008D5D50">
        <w:t>2</w:t>
      </w:r>
      <w:r w:rsidR="00A732E2">
        <w:t>8</w:t>
      </w:r>
      <w:r w:rsidR="009938E8">
        <w:t xml:space="preserve"> state Departments of Transportation (DOT</w:t>
      </w:r>
      <w:r w:rsidR="003D0834">
        <w:t>s</w:t>
      </w:r>
      <w:r w:rsidR="009938E8">
        <w:t xml:space="preserve">) cultural resource managers </w:t>
      </w:r>
      <w:r w:rsidR="002E0F5A">
        <w:t xml:space="preserve">in </w:t>
      </w:r>
      <w:r w:rsidR="008D5D50">
        <w:t xml:space="preserve">September and </w:t>
      </w:r>
      <w:r w:rsidR="002E0F5A">
        <w:t>October 2021</w:t>
      </w:r>
      <w:r w:rsidR="00C91780">
        <w:t xml:space="preserve">, prior to the passage of the </w:t>
      </w:r>
      <w:r w:rsidR="00C91780" w:rsidRPr="00800A4C">
        <w:rPr>
          <w:i/>
          <w:iCs/>
        </w:rPr>
        <w:t>Infrastructure Investment and Jobs Act</w:t>
      </w:r>
      <w:r w:rsidR="00C91780" w:rsidRPr="00800A4C">
        <w:t xml:space="preserve"> (infrastructure bill)</w:t>
      </w:r>
      <w:r w:rsidR="002E0F5A">
        <w:t xml:space="preserve">. </w:t>
      </w:r>
      <w:r w:rsidR="008D5D50">
        <w:t xml:space="preserve">States selected for receiving the survey represent large and small states, and states from different regions of the country. </w:t>
      </w:r>
      <w:r w:rsidR="00A732E2">
        <w:t xml:space="preserve">In addition, these states had regularly responded </w:t>
      </w:r>
      <w:r w:rsidR="00C153EC">
        <w:t xml:space="preserve">in the past </w:t>
      </w:r>
      <w:r w:rsidR="00A732E2">
        <w:t xml:space="preserve">to </w:t>
      </w:r>
      <w:r w:rsidR="00735E39">
        <w:t>National Cooperative Highway Research Program</w:t>
      </w:r>
      <w:r w:rsidR="00735E39">
        <w:rPr>
          <w:rStyle w:val="FootnoteReference"/>
        </w:rPr>
        <w:footnoteReference w:id="1"/>
      </w:r>
      <w:r w:rsidR="00735E39">
        <w:t xml:space="preserve"> (NCHRP) </w:t>
      </w:r>
      <w:r w:rsidR="00A732E2">
        <w:t xml:space="preserve">surveys on historic preservation issues </w:t>
      </w:r>
      <w:r>
        <w:t xml:space="preserve">in transportation. The junior author of this paper </w:t>
      </w:r>
      <w:r w:rsidR="00735E39">
        <w:t>served as the Principal Investigator for many of these NCHRP s</w:t>
      </w:r>
      <w:r>
        <w:t xml:space="preserve">urveys </w:t>
      </w:r>
      <w:r w:rsidR="00735E39">
        <w:t>and associated studies</w:t>
      </w:r>
      <w:r w:rsidR="00A732E2">
        <w:t xml:space="preserve">. </w:t>
      </w:r>
    </w:p>
    <w:p w14:paraId="2BB64CB0" w14:textId="6EAE4404" w:rsidR="00E632D3" w:rsidRDefault="00894807" w:rsidP="002E0F5A">
      <w:r>
        <w:t>The survey questions on</w:t>
      </w:r>
      <w:r w:rsidR="00C91780">
        <w:t xml:space="preserve"> state DOT</w:t>
      </w:r>
      <w:r>
        <w:t xml:space="preserve"> FY</w:t>
      </w:r>
      <w:r w:rsidR="008D4E92">
        <w:rPr>
          <w:rStyle w:val="FootnoteReference"/>
        </w:rPr>
        <w:footnoteReference w:id="2"/>
      </w:r>
      <w:r>
        <w:t xml:space="preserve"> 2022 and FY 2023 funding were as follows</w:t>
      </w:r>
      <w:r w:rsidR="00E632D3">
        <w:t>:</w:t>
      </w:r>
    </w:p>
    <w:p w14:paraId="11FE3A2D" w14:textId="7FE25338" w:rsidR="00E632D3" w:rsidRDefault="00E632D3" w:rsidP="00E632D3">
      <w:pPr>
        <w:pStyle w:val="ListParagraph"/>
        <w:numPr>
          <w:ilvl w:val="0"/>
          <w:numId w:val="9"/>
        </w:numPr>
      </w:pPr>
      <w:r>
        <w:t xml:space="preserve">What is your current CRM-related budget – FY 2022? </w:t>
      </w:r>
      <w:bookmarkStart w:id="0" w:name="_Hlk82941246"/>
      <w:r>
        <w:t xml:space="preserve">How much do you think will go to your CRM contractors (dollar amount and/or percentage)? </w:t>
      </w:r>
      <w:bookmarkEnd w:id="0"/>
      <w:r>
        <w:t>How much of contracted work will go to archaeological work (dollar amount and/or percentage)?</w:t>
      </w:r>
    </w:p>
    <w:p w14:paraId="72ABB83C" w14:textId="77777777" w:rsidR="00E632D3" w:rsidRDefault="00E632D3" w:rsidP="00E632D3">
      <w:pPr>
        <w:pStyle w:val="ListParagraph"/>
        <w:numPr>
          <w:ilvl w:val="0"/>
          <w:numId w:val="9"/>
        </w:numPr>
      </w:pPr>
      <w:bookmarkStart w:id="1" w:name="_Hlk82938043"/>
      <w:r>
        <w:t>With the possible passage of the infrastructure bill currently being considered by Congress, how much do think your CRM- related budget would increase next year (FY 2023) – in dollars or in percentage?</w:t>
      </w:r>
      <w:r w:rsidRPr="00647269">
        <w:t xml:space="preserve"> </w:t>
      </w:r>
    </w:p>
    <w:bookmarkEnd w:id="1"/>
    <w:p w14:paraId="6C0B8D12" w14:textId="3D2B5B01" w:rsidR="003D0834" w:rsidRDefault="003D0834" w:rsidP="002E0F5A">
      <w:r>
        <w:t xml:space="preserve">The survey also asked for the number of </w:t>
      </w:r>
      <w:r w:rsidR="00BF0F48">
        <w:t xml:space="preserve">current </w:t>
      </w:r>
      <w:r>
        <w:t>internal CRM staff FTEs.</w:t>
      </w:r>
    </w:p>
    <w:p w14:paraId="04D0DF34" w14:textId="38B81328" w:rsidR="00B045B7" w:rsidRPr="00800A4C" w:rsidRDefault="00B045B7" w:rsidP="00B045B7">
      <w:pPr>
        <w:pStyle w:val="Default"/>
        <w:spacing w:after="160" w:line="259" w:lineRule="auto"/>
        <w:rPr>
          <w:sz w:val="22"/>
          <w:szCs w:val="22"/>
        </w:rPr>
      </w:pPr>
      <w:r w:rsidRPr="00800A4C">
        <w:rPr>
          <w:sz w:val="22"/>
          <w:szCs w:val="22"/>
        </w:rPr>
        <w:t xml:space="preserve">Twenty (20) DOTs responded to the survey questionnaire, and 11 provided responses to the questions on their FY 2022 cultural resource management (CRM) budgets. None of the latter states were able to provide dollar estimates for their FY 2023 budgets resulting from the passage of the infrastructure bill. </w:t>
      </w:r>
      <w:r>
        <w:rPr>
          <w:sz w:val="22"/>
          <w:szCs w:val="22"/>
        </w:rPr>
        <w:t xml:space="preserve">Four (4) states did </w:t>
      </w:r>
      <w:r w:rsidR="00BF0F48">
        <w:rPr>
          <w:sz w:val="22"/>
          <w:szCs w:val="22"/>
        </w:rPr>
        <w:t xml:space="preserve">provide </w:t>
      </w:r>
      <w:r w:rsidR="009E71B8">
        <w:rPr>
          <w:sz w:val="22"/>
          <w:szCs w:val="22"/>
        </w:rPr>
        <w:t xml:space="preserve">information </w:t>
      </w:r>
      <w:r w:rsidR="00C91780">
        <w:rPr>
          <w:sz w:val="22"/>
          <w:szCs w:val="22"/>
        </w:rPr>
        <w:t xml:space="preserve">on </w:t>
      </w:r>
      <w:r w:rsidR="009E71B8">
        <w:rPr>
          <w:sz w:val="22"/>
          <w:szCs w:val="22"/>
        </w:rPr>
        <w:t xml:space="preserve">how much more their workloads </w:t>
      </w:r>
      <w:r w:rsidR="00C91780">
        <w:rPr>
          <w:sz w:val="22"/>
          <w:szCs w:val="22"/>
        </w:rPr>
        <w:t xml:space="preserve">(internal staff and CRM contractors) </w:t>
      </w:r>
      <w:r w:rsidR="009E71B8">
        <w:rPr>
          <w:sz w:val="22"/>
          <w:szCs w:val="22"/>
        </w:rPr>
        <w:t>might increase as a result of the bill</w:t>
      </w:r>
      <w:r w:rsidR="00BF0F48">
        <w:rPr>
          <w:sz w:val="22"/>
          <w:szCs w:val="22"/>
        </w:rPr>
        <w:t>,</w:t>
      </w:r>
      <w:r w:rsidRPr="00800A4C">
        <w:rPr>
          <w:sz w:val="22"/>
          <w:szCs w:val="22"/>
        </w:rPr>
        <w:t xml:space="preserve"> ranging from 5% to 35%</w:t>
      </w:r>
      <w:r w:rsidR="00C91780">
        <w:rPr>
          <w:sz w:val="22"/>
          <w:szCs w:val="22"/>
        </w:rPr>
        <w:t>;</w:t>
      </w:r>
      <w:r w:rsidRPr="00800A4C">
        <w:rPr>
          <w:sz w:val="22"/>
          <w:szCs w:val="22"/>
        </w:rPr>
        <w:t xml:space="preserve"> </w:t>
      </w:r>
      <w:r>
        <w:rPr>
          <w:sz w:val="22"/>
          <w:szCs w:val="22"/>
        </w:rPr>
        <w:t xml:space="preserve">and </w:t>
      </w:r>
      <w:r w:rsidRPr="00800A4C">
        <w:rPr>
          <w:sz w:val="22"/>
          <w:szCs w:val="22"/>
        </w:rPr>
        <w:t>one DOT stat</w:t>
      </w:r>
      <w:r>
        <w:rPr>
          <w:sz w:val="22"/>
          <w:szCs w:val="22"/>
        </w:rPr>
        <w:t>ed</w:t>
      </w:r>
      <w:r w:rsidRPr="00800A4C">
        <w:rPr>
          <w:sz w:val="22"/>
          <w:szCs w:val="22"/>
        </w:rPr>
        <w:t xml:space="preserve"> they expected no changes in their workload. </w:t>
      </w:r>
    </w:p>
    <w:p w14:paraId="1D4C79D5" w14:textId="289F9630" w:rsidR="00B54569" w:rsidRDefault="00C06E82" w:rsidP="002E0F5A">
      <w:r>
        <w:t xml:space="preserve">The </w:t>
      </w:r>
      <w:r w:rsidR="00021F5A">
        <w:t xml:space="preserve">11 </w:t>
      </w:r>
      <w:r>
        <w:t xml:space="preserve">responses to the </w:t>
      </w:r>
      <w:r w:rsidR="009A4B8F">
        <w:t xml:space="preserve">budgetary </w:t>
      </w:r>
      <w:r>
        <w:t xml:space="preserve">questions </w:t>
      </w:r>
      <w:r w:rsidR="00021F5A">
        <w:t>are</w:t>
      </w:r>
      <w:r>
        <w:t xml:space="preserve"> provided below. </w:t>
      </w:r>
      <w:r w:rsidR="00EB7018">
        <w:t>The state DOT</w:t>
      </w:r>
      <w:r w:rsidR="0032169E">
        <w:t>s</w:t>
      </w:r>
      <w:r w:rsidR="00EB7018">
        <w:t xml:space="preserve"> that did not respond to these questions noted the</w:t>
      </w:r>
      <w:r w:rsidR="0032169E">
        <w:t>ir</w:t>
      </w:r>
      <w:r w:rsidR="00EB7018">
        <w:t xml:space="preserve"> DOTs do not have a separate line item for CRM expenditures but roll CRM costs into overall environmental compliance and project development costs. As a result</w:t>
      </w:r>
      <w:r w:rsidR="00F20554">
        <w:t>,</w:t>
      </w:r>
      <w:r w:rsidR="0032169E">
        <w:t xml:space="preserve"> they </w:t>
      </w:r>
      <w:r w:rsidR="00EB7018">
        <w:t xml:space="preserve">were not in a position to </w:t>
      </w:r>
      <w:r w:rsidR="0032169E">
        <w:t xml:space="preserve">provide </w:t>
      </w:r>
      <w:r w:rsidR="00EB7018">
        <w:t>an estimate.</w:t>
      </w:r>
    </w:p>
    <w:p w14:paraId="1EE51834" w14:textId="1C350D86" w:rsidR="00E632D3" w:rsidRDefault="00021F5A" w:rsidP="002E0F5A">
      <w:r>
        <w:t xml:space="preserve">Following the protocols of NCHRP studies, state DOT responses were kept anonymous so no specific response may be linked to an individual state DOT. </w:t>
      </w:r>
    </w:p>
    <w:p w14:paraId="267E7D62" w14:textId="353FCDE2" w:rsidR="00472115" w:rsidRDefault="00472115" w:rsidP="00740069">
      <w:pPr>
        <w:spacing w:after="0" w:line="240" w:lineRule="auto"/>
        <w:rPr>
          <w:b/>
          <w:bCs/>
          <w:sz w:val="24"/>
          <w:szCs w:val="24"/>
        </w:rPr>
      </w:pPr>
    </w:p>
    <w:p w14:paraId="6BCA2519" w14:textId="44FE33A8" w:rsidR="00A86314" w:rsidRDefault="00A86314" w:rsidP="00740069">
      <w:pPr>
        <w:spacing w:after="0" w:line="240" w:lineRule="auto"/>
        <w:rPr>
          <w:b/>
          <w:bCs/>
          <w:sz w:val="24"/>
          <w:szCs w:val="24"/>
        </w:rPr>
      </w:pPr>
    </w:p>
    <w:p w14:paraId="67108C5F" w14:textId="00E5F846" w:rsidR="00A86314" w:rsidRDefault="00A86314" w:rsidP="00740069">
      <w:pPr>
        <w:spacing w:after="0" w:line="240" w:lineRule="auto"/>
        <w:rPr>
          <w:b/>
          <w:bCs/>
          <w:sz w:val="24"/>
          <w:szCs w:val="24"/>
        </w:rPr>
      </w:pPr>
    </w:p>
    <w:p w14:paraId="11724E27" w14:textId="692CF4E6" w:rsidR="00A86314" w:rsidRDefault="00A86314" w:rsidP="00740069">
      <w:pPr>
        <w:spacing w:after="0" w:line="240" w:lineRule="auto"/>
        <w:rPr>
          <w:b/>
          <w:bCs/>
          <w:sz w:val="24"/>
          <w:szCs w:val="24"/>
        </w:rPr>
      </w:pPr>
    </w:p>
    <w:p w14:paraId="7CBC12E0" w14:textId="562D1283" w:rsidR="00A86314" w:rsidRDefault="00A86314" w:rsidP="00740069">
      <w:pPr>
        <w:spacing w:after="0" w:line="240" w:lineRule="auto"/>
        <w:rPr>
          <w:b/>
          <w:bCs/>
          <w:sz w:val="24"/>
          <w:szCs w:val="24"/>
        </w:rPr>
      </w:pPr>
    </w:p>
    <w:p w14:paraId="1A2BFE3D" w14:textId="24C52B0D" w:rsidR="00A86314" w:rsidRDefault="00A86314" w:rsidP="00740069">
      <w:pPr>
        <w:spacing w:after="0" w:line="240" w:lineRule="auto"/>
        <w:rPr>
          <w:b/>
          <w:bCs/>
          <w:sz w:val="24"/>
          <w:szCs w:val="24"/>
        </w:rPr>
      </w:pPr>
    </w:p>
    <w:p w14:paraId="3B1150BD" w14:textId="77777777" w:rsidR="00A86314" w:rsidRDefault="00A86314" w:rsidP="00740069">
      <w:pPr>
        <w:spacing w:after="0" w:line="240" w:lineRule="auto"/>
        <w:rPr>
          <w:b/>
          <w:bCs/>
          <w:sz w:val="24"/>
          <w:szCs w:val="24"/>
        </w:rPr>
      </w:pPr>
    </w:p>
    <w:tbl>
      <w:tblPr>
        <w:tblStyle w:val="TableGrid"/>
        <w:tblW w:w="7645" w:type="dxa"/>
        <w:tblLook w:val="04A0" w:firstRow="1" w:lastRow="0" w:firstColumn="1" w:lastColumn="0" w:noHBand="0" w:noVBand="1"/>
      </w:tblPr>
      <w:tblGrid>
        <w:gridCol w:w="1065"/>
        <w:gridCol w:w="1330"/>
        <w:gridCol w:w="1330"/>
        <w:gridCol w:w="1357"/>
        <w:gridCol w:w="1218"/>
        <w:gridCol w:w="1345"/>
      </w:tblGrid>
      <w:tr w:rsidR="00E3432B" w14:paraId="79E102B3" w14:textId="77777777" w:rsidTr="00C91780">
        <w:tc>
          <w:tcPr>
            <w:tcW w:w="1065" w:type="dxa"/>
          </w:tcPr>
          <w:p w14:paraId="4C841394" w14:textId="77777777" w:rsidR="00E3432B" w:rsidRPr="005D025B" w:rsidRDefault="00E3432B" w:rsidP="009E346D">
            <w:pPr>
              <w:rPr>
                <w:rFonts w:cstheme="minorHAnsi"/>
                <w:sz w:val="16"/>
                <w:szCs w:val="16"/>
              </w:rPr>
            </w:pPr>
          </w:p>
        </w:tc>
        <w:tc>
          <w:tcPr>
            <w:tcW w:w="1330" w:type="dxa"/>
          </w:tcPr>
          <w:p w14:paraId="01EFFDD2" w14:textId="77777777" w:rsidR="00E3432B" w:rsidRPr="005D025B" w:rsidRDefault="00E3432B" w:rsidP="009E346D">
            <w:pPr>
              <w:rPr>
                <w:rFonts w:cstheme="minorHAnsi"/>
                <w:sz w:val="16"/>
                <w:szCs w:val="16"/>
              </w:rPr>
            </w:pPr>
          </w:p>
        </w:tc>
        <w:tc>
          <w:tcPr>
            <w:tcW w:w="1330" w:type="dxa"/>
          </w:tcPr>
          <w:p w14:paraId="6EE907BA" w14:textId="77777777" w:rsidR="00E3432B" w:rsidRPr="005D025B" w:rsidRDefault="00E3432B" w:rsidP="009E346D">
            <w:pPr>
              <w:rPr>
                <w:rFonts w:cstheme="minorHAnsi"/>
                <w:sz w:val="16"/>
                <w:szCs w:val="16"/>
              </w:rPr>
            </w:pPr>
          </w:p>
        </w:tc>
        <w:tc>
          <w:tcPr>
            <w:tcW w:w="1357" w:type="dxa"/>
          </w:tcPr>
          <w:p w14:paraId="7CDA4B60" w14:textId="77777777" w:rsidR="00E3432B" w:rsidRPr="005D025B" w:rsidRDefault="00E3432B" w:rsidP="009E346D">
            <w:pPr>
              <w:rPr>
                <w:rFonts w:cstheme="minorHAnsi"/>
                <w:sz w:val="16"/>
                <w:szCs w:val="16"/>
              </w:rPr>
            </w:pPr>
          </w:p>
        </w:tc>
        <w:tc>
          <w:tcPr>
            <w:tcW w:w="1218" w:type="dxa"/>
          </w:tcPr>
          <w:p w14:paraId="5D8AACDE" w14:textId="77777777" w:rsidR="00E3432B" w:rsidRPr="005D025B" w:rsidRDefault="00E3432B" w:rsidP="009E346D">
            <w:pPr>
              <w:rPr>
                <w:rFonts w:cstheme="minorHAnsi"/>
                <w:sz w:val="16"/>
                <w:szCs w:val="16"/>
              </w:rPr>
            </w:pPr>
          </w:p>
        </w:tc>
        <w:tc>
          <w:tcPr>
            <w:tcW w:w="1345" w:type="dxa"/>
          </w:tcPr>
          <w:p w14:paraId="2C169864" w14:textId="77777777" w:rsidR="00E3432B" w:rsidRPr="005D025B" w:rsidRDefault="00E3432B" w:rsidP="009E346D">
            <w:pPr>
              <w:rPr>
                <w:rFonts w:cstheme="minorHAnsi"/>
                <w:sz w:val="16"/>
                <w:szCs w:val="16"/>
              </w:rPr>
            </w:pPr>
          </w:p>
        </w:tc>
      </w:tr>
      <w:tr w:rsidR="00E3432B" w:rsidRPr="005D025B" w14:paraId="314D859B" w14:textId="77777777" w:rsidTr="00C91780">
        <w:trPr>
          <w:trHeight w:val="1160"/>
        </w:trPr>
        <w:tc>
          <w:tcPr>
            <w:tcW w:w="1065" w:type="dxa"/>
            <w:hideMark/>
          </w:tcPr>
          <w:p w14:paraId="48318D14" w14:textId="10CF39CA" w:rsidR="00E3432B" w:rsidRPr="00E3432B" w:rsidRDefault="00E3432B" w:rsidP="009E346D">
            <w:pPr>
              <w:jc w:val="center"/>
              <w:rPr>
                <w:rFonts w:eastAsia="Times New Roman" w:cstheme="minorHAnsi"/>
                <w:b/>
                <w:bCs/>
                <w:color w:val="000000"/>
              </w:rPr>
            </w:pPr>
          </w:p>
        </w:tc>
        <w:tc>
          <w:tcPr>
            <w:tcW w:w="1330" w:type="dxa"/>
            <w:hideMark/>
          </w:tcPr>
          <w:p w14:paraId="2FFE2271" w14:textId="77777777" w:rsidR="00E3432B" w:rsidRPr="00E3432B" w:rsidRDefault="00E3432B" w:rsidP="009E346D">
            <w:pPr>
              <w:jc w:val="center"/>
              <w:rPr>
                <w:rFonts w:eastAsia="Times New Roman" w:cstheme="minorHAnsi"/>
                <w:b/>
                <w:bCs/>
                <w:color w:val="000000"/>
              </w:rPr>
            </w:pPr>
            <w:r w:rsidRPr="00E3432B">
              <w:rPr>
                <w:rFonts w:eastAsia="Times New Roman" w:cstheme="minorHAnsi"/>
                <w:b/>
                <w:bCs/>
                <w:color w:val="000000"/>
              </w:rPr>
              <w:t>FY 2022 Total CRM Budget</w:t>
            </w:r>
          </w:p>
        </w:tc>
        <w:tc>
          <w:tcPr>
            <w:tcW w:w="1330" w:type="dxa"/>
            <w:hideMark/>
          </w:tcPr>
          <w:p w14:paraId="437C0B4A" w14:textId="77777777" w:rsidR="00E3432B" w:rsidRPr="00E3432B" w:rsidRDefault="00E3432B" w:rsidP="009E346D">
            <w:pPr>
              <w:jc w:val="center"/>
              <w:rPr>
                <w:rFonts w:eastAsia="Times New Roman" w:cstheme="minorHAnsi"/>
                <w:b/>
                <w:bCs/>
                <w:color w:val="000000"/>
              </w:rPr>
            </w:pPr>
            <w:r w:rsidRPr="00E3432B">
              <w:rPr>
                <w:rFonts w:eastAsia="Times New Roman" w:cstheme="minorHAnsi"/>
                <w:b/>
                <w:bCs/>
                <w:color w:val="000000"/>
              </w:rPr>
              <w:t>FY 2022 Budget to Contractors</w:t>
            </w:r>
          </w:p>
        </w:tc>
        <w:tc>
          <w:tcPr>
            <w:tcW w:w="1357" w:type="dxa"/>
            <w:hideMark/>
          </w:tcPr>
          <w:p w14:paraId="08C9DF3E" w14:textId="77777777" w:rsidR="00E3432B" w:rsidRPr="00E3432B" w:rsidRDefault="00E3432B" w:rsidP="009E346D">
            <w:pPr>
              <w:jc w:val="center"/>
              <w:rPr>
                <w:rFonts w:eastAsia="Times New Roman" w:cstheme="minorHAnsi"/>
                <w:b/>
                <w:bCs/>
                <w:color w:val="000000"/>
              </w:rPr>
            </w:pPr>
            <w:r w:rsidRPr="00E3432B">
              <w:rPr>
                <w:rFonts w:eastAsia="Times New Roman" w:cstheme="minorHAnsi"/>
                <w:b/>
                <w:bCs/>
                <w:color w:val="000000"/>
              </w:rPr>
              <w:t>FY 2022 Budget for Archaeology</w:t>
            </w:r>
          </w:p>
        </w:tc>
        <w:tc>
          <w:tcPr>
            <w:tcW w:w="1218" w:type="dxa"/>
            <w:hideMark/>
          </w:tcPr>
          <w:p w14:paraId="4385FA55" w14:textId="1C4C55C1" w:rsidR="00E3432B" w:rsidRPr="00E3432B" w:rsidRDefault="00E3432B" w:rsidP="009E346D">
            <w:pPr>
              <w:jc w:val="center"/>
              <w:rPr>
                <w:rFonts w:eastAsia="Times New Roman" w:cstheme="minorHAnsi"/>
                <w:b/>
                <w:bCs/>
                <w:color w:val="000000"/>
              </w:rPr>
            </w:pPr>
            <w:r w:rsidRPr="00E3432B">
              <w:rPr>
                <w:rFonts w:eastAsia="Times New Roman" w:cstheme="minorHAnsi"/>
                <w:b/>
                <w:bCs/>
                <w:color w:val="000000"/>
              </w:rPr>
              <w:t>FY 2022 Internal CRM Staff Total Salaries</w:t>
            </w:r>
            <w:r w:rsidR="006D657C">
              <w:rPr>
                <w:rStyle w:val="FootnoteReference"/>
                <w:rFonts w:eastAsia="Times New Roman" w:cstheme="minorHAnsi"/>
                <w:b/>
                <w:bCs/>
                <w:color w:val="000000"/>
              </w:rPr>
              <w:footnoteReference w:id="3"/>
            </w:r>
          </w:p>
        </w:tc>
        <w:tc>
          <w:tcPr>
            <w:tcW w:w="1345" w:type="dxa"/>
            <w:hideMark/>
          </w:tcPr>
          <w:p w14:paraId="05E15A30" w14:textId="5CA9F04B" w:rsidR="00E3432B" w:rsidRPr="00E3432B" w:rsidRDefault="00E3432B" w:rsidP="009E346D">
            <w:pPr>
              <w:jc w:val="center"/>
              <w:rPr>
                <w:rFonts w:eastAsia="Times New Roman" w:cstheme="minorHAnsi"/>
                <w:b/>
                <w:bCs/>
                <w:color w:val="000000"/>
              </w:rPr>
            </w:pPr>
            <w:r w:rsidRPr="00E3432B">
              <w:rPr>
                <w:rFonts w:eastAsia="Times New Roman" w:cstheme="minorHAnsi"/>
                <w:b/>
                <w:bCs/>
                <w:color w:val="000000"/>
              </w:rPr>
              <w:t xml:space="preserve">Number of </w:t>
            </w:r>
            <w:r w:rsidR="00C91780">
              <w:rPr>
                <w:rFonts w:eastAsia="Times New Roman" w:cstheme="minorHAnsi"/>
                <w:b/>
                <w:bCs/>
                <w:color w:val="000000"/>
              </w:rPr>
              <w:t xml:space="preserve">FY </w:t>
            </w:r>
            <w:r w:rsidRPr="00E3432B">
              <w:rPr>
                <w:rFonts w:eastAsia="Times New Roman" w:cstheme="minorHAnsi"/>
                <w:b/>
                <w:bCs/>
                <w:color w:val="000000"/>
              </w:rPr>
              <w:t>2022 FTEs</w:t>
            </w:r>
          </w:p>
        </w:tc>
      </w:tr>
      <w:tr w:rsidR="00E3432B" w:rsidRPr="005D025B" w14:paraId="0E070B92" w14:textId="77777777" w:rsidTr="00C91780">
        <w:trPr>
          <w:trHeight w:val="413"/>
        </w:trPr>
        <w:tc>
          <w:tcPr>
            <w:tcW w:w="1065" w:type="dxa"/>
            <w:noWrap/>
            <w:hideMark/>
          </w:tcPr>
          <w:p w14:paraId="060B5E8F" w14:textId="3C0C1963" w:rsidR="00E3432B" w:rsidRPr="00E3432B" w:rsidRDefault="00A7278D" w:rsidP="009E346D">
            <w:pPr>
              <w:jc w:val="center"/>
              <w:rPr>
                <w:rFonts w:eastAsia="Times New Roman" w:cstheme="minorHAnsi"/>
                <w:color w:val="000000"/>
              </w:rPr>
            </w:pPr>
            <w:r>
              <w:rPr>
                <w:rFonts w:eastAsia="Times New Roman" w:cstheme="minorHAnsi"/>
                <w:color w:val="000000"/>
              </w:rPr>
              <w:t>1</w:t>
            </w:r>
          </w:p>
        </w:tc>
        <w:tc>
          <w:tcPr>
            <w:tcW w:w="1330" w:type="dxa"/>
            <w:hideMark/>
          </w:tcPr>
          <w:p w14:paraId="7D373FDB"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$6,429,845</w:t>
            </w:r>
          </w:p>
        </w:tc>
        <w:tc>
          <w:tcPr>
            <w:tcW w:w="1330" w:type="dxa"/>
            <w:noWrap/>
            <w:hideMark/>
          </w:tcPr>
          <w:p w14:paraId="4B999F55"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$6,000,000</w:t>
            </w:r>
          </w:p>
        </w:tc>
        <w:tc>
          <w:tcPr>
            <w:tcW w:w="1357" w:type="dxa"/>
            <w:noWrap/>
            <w:hideMark/>
          </w:tcPr>
          <w:p w14:paraId="5F825392" w14:textId="77777777" w:rsidR="00E3432B" w:rsidRPr="00E3432B" w:rsidRDefault="00E3432B" w:rsidP="009E346D">
            <w:pPr>
              <w:jc w:val="center"/>
              <w:rPr>
                <w:rFonts w:eastAsia="Times New Roman" w:cstheme="minorHAnsi"/>
                <w:color w:val="000000"/>
              </w:rPr>
            </w:pPr>
          </w:p>
        </w:tc>
        <w:tc>
          <w:tcPr>
            <w:tcW w:w="1218" w:type="dxa"/>
            <w:noWrap/>
            <w:hideMark/>
          </w:tcPr>
          <w:p w14:paraId="25CD041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$429,845</w:t>
            </w:r>
          </w:p>
        </w:tc>
        <w:tc>
          <w:tcPr>
            <w:tcW w:w="1345" w:type="dxa"/>
            <w:noWrap/>
            <w:hideMark/>
          </w:tcPr>
          <w:p w14:paraId="4523EB4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5</w:t>
            </w:r>
          </w:p>
        </w:tc>
      </w:tr>
      <w:tr w:rsidR="00E3432B" w:rsidRPr="005D025B" w14:paraId="03113CCE" w14:textId="77777777" w:rsidTr="00C91780">
        <w:trPr>
          <w:trHeight w:val="440"/>
        </w:trPr>
        <w:tc>
          <w:tcPr>
            <w:tcW w:w="1065" w:type="dxa"/>
            <w:noWrap/>
            <w:hideMark/>
          </w:tcPr>
          <w:p w14:paraId="3F5399A9" w14:textId="3736AD94" w:rsidR="00E3432B" w:rsidRPr="00E3432B" w:rsidRDefault="00A7278D" w:rsidP="009E346D">
            <w:pPr>
              <w:jc w:val="center"/>
              <w:rPr>
                <w:rFonts w:eastAsia="Times New Roman" w:cstheme="minorHAnsi"/>
                <w:color w:val="000000"/>
              </w:rPr>
            </w:pPr>
            <w:r>
              <w:rPr>
                <w:rFonts w:eastAsia="Times New Roman" w:cstheme="minorHAnsi"/>
                <w:color w:val="000000"/>
              </w:rPr>
              <w:t>2</w:t>
            </w:r>
          </w:p>
        </w:tc>
        <w:tc>
          <w:tcPr>
            <w:tcW w:w="1330" w:type="dxa"/>
            <w:noWrap/>
            <w:hideMark/>
          </w:tcPr>
          <w:p w14:paraId="053AB606"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$3,601,783</w:t>
            </w:r>
          </w:p>
        </w:tc>
        <w:tc>
          <w:tcPr>
            <w:tcW w:w="1330" w:type="dxa"/>
            <w:noWrap/>
            <w:hideMark/>
          </w:tcPr>
          <w:p w14:paraId="3865BE8D"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$3,000,000</w:t>
            </w:r>
          </w:p>
        </w:tc>
        <w:tc>
          <w:tcPr>
            <w:tcW w:w="1357" w:type="dxa"/>
            <w:noWrap/>
            <w:hideMark/>
          </w:tcPr>
          <w:p w14:paraId="324BEDCE" w14:textId="77777777" w:rsidR="00E3432B" w:rsidRPr="00E3432B" w:rsidRDefault="00E3432B" w:rsidP="009E346D">
            <w:pPr>
              <w:jc w:val="center"/>
              <w:rPr>
                <w:rFonts w:eastAsia="Times New Roman" w:cstheme="minorHAnsi"/>
                <w:color w:val="000000"/>
              </w:rPr>
            </w:pPr>
          </w:p>
        </w:tc>
        <w:tc>
          <w:tcPr>
            <w:tcW w:w="1218" w:type="dxa"/>
            <w:noWrap/>
            <w:hideMark/>
          </w:tcPr>
          <w:p w14:paraId="25EED5B9"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$601,783</w:t>
            </w:r>
          </w:p>
        </w:tc>
        <w:tc>
          <w:tcPr>
            <w:tcW w:w="1345" w:type="dxa"/>
            <w:noWrap/>
            <w:hideMark/>
          </w:tcPr>
          <w:p w14:paraId="5689E489"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7</w:t>
            </w:r>
          </w:p>
        </w:tc>
      </w:tr>
      <w:tr w:rsidR="00E3432B" w:rsidRPr="005D025B" w14:paraId="4CA7D61A" w14:textId="77777777" w:rsidTr="00C91780">
        <w:trPr>
          <w:trHeight w:val="530"/>
        </w:trPr>
        <w:tc>
          <w:tcPr>
            <w:tcW w:w="1065" w:type="dxa"/>
            <w:noWrap/>
            <w:hideMark/>
          </w:tcPr>
          <w:p w14:paraId="475666EE" w14:textId="47ADCC99" w:rsidR="00E3432B" w:rsidRPr="00E3432B" w:rsidRDefault="00A7278D" w:rsidP="009E346D">
            <w:pPr>
              <w:jc w:val="center"/>
              <w:rPr>
                <w:rFonts w:eastAsia="Times New Roman" w:cstheme="minorHAnsi"/>
                <w:color w:val="000000"/>
              </w:rPr>
            </w:pPr>
            <w:r>
              <w:rPr>
                <w:rFonts w:eastAsia="Times New Roman" w:cstheme="minorHAnsi"/>
                <w:color w:val="000000"/>
              </w:rPr>
              <w:t>3</w:t>
            </w:r>
          </w:p>
        </w:tc>
        <w:tc>
          <w:tcPr>
            <w:tcW w:w="1330" w:type="dxa"/>
            <w:hideMark/>
          </w:tcPr>
          <w:p w14:paraId="58B785DD"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$26,289,535</w:t>
            </w:r>
          </w:p>
        </w:tc>
        <w:tc>
          <w:tcPr>
            <w:tcW w:w="1330" w:type="dxa"/>
            <w:noWrap/>
            <w:hideMark/>
          </w:tcPr>
          <w:p w14:paraId="1397521E"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$25,000,000</w:t>
            </w:r>
          </w:p>
        </w:tc>
        <w:tc>
          <w:tcPr>
            <w:tcW w:w="1357" w:type="dxa"/>
            <w:noWrap/>
            <w:hideMark/>
          </w:tcPr>
          <w:p w14:paraId="2F3612C7" w14:textId="77777777" w:rsidR="00E3432B" w:rsidRPr="00E3432B" w:rsidRDefault="00E3432B" w:rsidP="009E346D">
            <w:pPr>
              <w:jc w:val="center"/>
              <w:rPr>
                <w:rFonts w:eastAsia="Times New Roman" w:cstheme="minorHAnsi"/>
                <w:color w:val="000000"/>
              </w:rPr>
            </w:pPr>
          </w:p>
        </w:tc>
        <w:tc>
          <w:tcPr>
            <w:tcW w:w="1218" w:type="dxa"/>
            <w:noWrap/>
            <w:hideMark/>
          </w:tcPr>
          <w:p w14:paraId="487B39E1"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$1,289,535</w:t>
            </w:r>
          </w:p>
        </w:tc>
        <w:tc>
          <w:tcPr>
            <w:tcW w:w="1345" w:type="dxa"/>
            <w:noWrap/>
            <w:hideMark/>
          </w:tcPr>
          <w:p w14:paraId="3A68418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15</w:t>
            </w:r>
          </w:p>
        </w:tc>
      </w:tr>
      <w:tr w:rsidR="00E3432B" w:rsidRPr="005D025B" w14:paraId="3A4FE320" w14:textId="77777777" w:rsidTr="00C91780">
        <w:trPr>
          <w:trHeight w:val="530"/>
        </w:trPr>
        <w:tc>
          <w:tcPr>
            <w:tcW w:w="1065" w:type="dxa"/>
            <w:noWrap/>
            <w:hideMark/>
          </w:tcPr>
          <w:p w14:paraId="5DCD8467" w14:textId="718EEE82" w:rsidR="00E3432B" w:rsidRPr="00E3432B" w:rsidRDefault="00A7278D" w:rsidP="009E346D">
            <w:pPr>
              <w:jc w:val="center"/>
              <w:rPr>
                <w:rFonts w:eastAsia="Times New Roman" w:cstheme="minorHAnsi"/>
                <w:color w:val="000000"/>
              </w:rPr>
            </w:pPr>
            <w:r>
              <w:rPr>
                <w:rFonts w:eastAsia="Times New Roman" w:cstheme="minorHAnsi"/>
                <w:color w:val="000000"/>
              </w:rPr>
              <w:t>4</w:t>
            </w:r>
          </w:p>
        </w:tc>
        <w:tc>
          <w:tcPr>
            <w:tcW w:w="1330" w:type="dxa"/>
            <w:noWrap/>
            <w:hideMark/>
          </w:tcPr>
          <w:p w14:paraId="305D3EE8"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$757,907</w:t>
            </w:r>
          </w:p>
        </w:tc>
        <w:tc>
          <w:tcPr>
            <w:tcW w:w="1330" w:type="dxa"/>
            <w:noWrap/>
            <w:hideMark/>
          </w:tcPr>
          <w:p w14:paraId="04431BC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$500,000</w:t>
            </w:r>
          </w:p>
        </w:tc>
        <w:tc>
          <w:tcPr>
            <w:tcW w:w="1357" w:type="dxa"/>
            <w:noWrap/>
            <w:hideMark/>
          </w:tcPr>
          <w:p w14:paraId="1D8E794B" w14:textId="77777777" w:rsidR="00E3432B" w:rsidRPr="00E3432B" w:rsidRDefault="00E3432B" w:rsidP="009E346D">
            <w:pPr>
              <w:jc w:val="center"/>
              <w:rPr>
                <w:rFonts w:eastAsia="Times New Roman" w:cstheme="minorHAnsi"/>
                <w:color w:val="000000"/>
              </w:rPr>
            </w:pPr>
          </w:p>
        </w:tc>
        <w:tc>
          <w:tcPr>
            <w:tcW w:w="1218" w:type="dxa"/>
            <w:noWrap/>
            <w:hideMark/>
          </w:tcPr>
          <w:p w14:paraId="7DCFE259"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$257,907</w:t>
            </w:r>
          </w:p>
        </w:tc>
        <w:tc>
          <w:tcPr>
            <w:tcW w:w="1345" w:type="dxa"/>
            <w:noWrap/>
            <w:hideMark/>
          </w:tcPr>
          <w:p w14:paraId="2B2B61B3"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w:t>
            </w:r>
          </w:p>
        </w:tc>
      </w:tr>
      <w:tr w:rsidR="00E3432B" w:rsidRPr="005D025B" w14:paraId="65271389" w14:textId="77777777" w:rsidTr="00C91780">
        <w:trPr>
          <w:trHeight w:val="530"/>
        </w:trPr>
        <w:tc>
          <w:tcPr>
            <w:tcW w:w="1065" w:type="dxa"/>
            <w:noWrap/>
            <w:hideMark/>
          </w:tcPr>
          <w:p w14:paraId="25C906F6" w14:textId="1360E4C5" w:rsidR="00E3432B" w:rsidRPr="00E3432B" w:rsidRDefault="00A7278D" w:rsidP="009E346D">
            <w:pPr>
              <w:jc w:val="center"/>
              <w:rPr>
                <w:rFonts w:eastAsia="Times New Roman" w:cstheme="minorHAnsi"/>
                <w:color w:val="000000"/>
              </w:rPr>
            </w:pPr>
            <w:r>
              <w:rPr>
                <w:rFonts w:eastAsia="Times New Roman" w:cstheme="minorHAnsi"/>
                <w:color w:val="000000"/>
              </w:rPr>
              <w:t>5</w:t>
            </w:r>
          </w:p>
        </w:tc>
        <w:tc>
          <w:tcPr>
            <w:tcW w:w="1330" w:type="dxa"/>
            <w:noWrap/>
            <w:hideMark/>
          </w:tcPr>
          <w:p w14:paraId="2C1CD805"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$2,750,000</w:t>
            </w:r>
          </w:p>
        </w:tc>
        <w:tc>
          <w:tcPr>
            <w:tcW w:w="1330" w:type="dxa"/>
            <w:noWrap/>
            <w:hideMark/>
          </w:tcPr>
          <w:p w14:paraId="69980AA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$2,500,000</w:t>
            </w:r>
          </w:p>
        </w:tc>
        <w:tc>
          <w:tcPr>
            <w:tcW w:w="1357" w:type="dxa"/>
            <w:noWrap/>
            <w:hideMark/>
          </w:tcPr>
          <w:p w14:paraId="08DED7BC" w14:textId="40DF0918" w:rsidR="00E3432B" w:rsidRPr="00E3432B" w:rsidRDefault="00E3432B" w:rsidP="009E346D">
            <w:pPr>
              <w:jc w:val="center"/>
              <w:rPr>
                <w:rFonts w:eastAsia="Times New Roman" w:cstheme="minorHAnsi"/>
                <w:color w:val="000000"/>
              </w:rPr>
            </w:pPr>
            <w:r w:rsidRPr="00E3432B">
              <w:rPr>
                <w:rFonts w:eastAsia="Times New Roman" w:cstheme="minorHAnsi"/>
                <w:color w:val="000000"/>
              </w:rPr>
              <w:t>70%</w:t>
            </w:r>
            <w:r w:rsidR="00E632D3">
              <w:rPr>
                <w:rFonts w:eastAsia="Times New Roman" w:cstheme="minorHAnsi"/>
                <w:color w:val="000000"/>
              </w:rPr>
              <w:t xml:space="preserve"> of total CRM budget</w:t>
            </w:r>
          </w:p>
        </w:tc>
        <w:tc>
          <w:tcPr>
            <w:tcW w:w="1218" w:type="dxa"/>
            <w:noWrap/>
            <w:hideMark/>
          </w:tcPr>
          <w:p w14:paraId="6806F9F2"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$250,000</w:t>
            </w:r>
          </w:p>
        </w:tc>
        <w:tc>
          <w:tcPr>
            <w:tcW w:w="1345" w:type="dxa"/>
            <w:hideMark/>
          </w:tcPr>
          <w:p w14:paraId="6EAFB106"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w:t>
            </w:r>
          </w:p>
        </w:tc>
      </w:tr>
      <w:tr w:rsidR="00E3432B" w:rsidRPr="005D025B" w14:paraId="7B260E95" w14:textId="77777777" w:rsidTr="00C91780">
        <w:trPr>
          <w:trHeight w:val="440"/>
        </w:trPr>
        <w:tc>
          <w:tcPr>
            <w:tcW w:w="1065" w:type="dxa"/>
            <w:noWrap/>
            <w:hideMark/>
          </w:tcPr>
          <w:p w14:paraId="27255F63" w14:textId="073510A4" w:rsidR="00E3432B" w:rsidRPr="00E3432B" w:rsidRDefault="00A7278D" w:rsidP="009E346D">
            <w:pPr>
              <w:jc w:val="center"/>
              <w:rPr>
                <w:rFonts w:eastAsia="Times New Roman" w:cstheme="minorHAnsi"/>
                <w:color w:val="000000"/>
              </w:rPr>
            </w:pPr>
            <w:r>
              <w:rPr>
                <w:rFonts w:eastAsia="Times New Roman" w:cstheme="minorHAnsi"/>
                <w:color w:val="000000"/>
              </w:rPr>
              <w:t>6</w:t>
            </w:r>
          </w:p>
        </w:tc>
        <w:tc>
          <w:tcPr>
            <w:tcW w:w="1330" w:type="dxa"/>
            <w:noWrap/>
            <w:hideMark/>
          </w:tcPr>
          <w:p w14:paraId="5FC93307"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$2,545,659</w:t>
            </w:r>
          </w:p>
        </w:tc>
        <w:tc>
          <w:tcPr>
            <w:tcW w:w="1330" w:type="dxa"/>
            <w:noWrap/>
            <w:hideMark/>
          </w:tcPr>
          <w:p w14:paraId="44B77A1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$1,600,000</w:t>
            </w:r>
          </w:p>
        </w:tc>
        <w:tc>
          <w:tcPr>
            <w:tcW w:w="1357" w:type="dxa"/>
            <w:noWrap/>
            <w:hideMark/>
          </w:tcPr>
          <w:p w14:paraId="4DD4C44A" w14:textId="2552BD52" w:rsidR="00E3432B" w:rsidRPr="00E3432B" w:rsidRDefault="00E3432B" w:rsidP="009E346D">
            <w:pPr>
              <w:jc w:val="center"/>
              <w:rPr>
                <w:rFonts w:eastAsia="Times New Roman" w:cstheme="minorHAnsi"/>
                <w:color w:val="000000"/>
              </w:rPr>
            </w:pPr>
            <w:r w:rsidRPr="00E3432B">
              <w:rPr>
                <w:rFonts w:eastAsia="Times New Roman" w:cstheme="minorHAnsi"/>
                <w:color w:val="000000"/>
              </w:rPr>
              <w:t>60%</w:t>
            </w:r>
            <w:r w:rsidR="00E632D3">
              <w:rPr>
                <w:rFonts w:eastAsia="Times New Roman" w:cstheme="minorHAnsi"/>
                <w:color w:val="000000"/>
              </w:rPr>
              <w:t xml:space="preserve"> of total CRM budget</w:t>
            </w:r>
          </w:p>
        </w:tc>
        <w:tc>
          <w:tcPr>
            <w:tcW w:w="1218" w:type="dxa"/>
            <w:noWrap/>
            <w:hideMark/>
          </w:tcPr>
          <w:p w14:paraId="767B1A3B"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$945,659</w:t>
            </w:r>
          </w:p>
        </w:tc>
        <w:tc>
          <w:tcPr>
            <w:tcW w:w="1345" w:type="dxa"/>
            <w:noWrap/>
            <w:hideMark/>
          </w:tcPr>
          <w:p w14:paraId="6BAA30FB"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11</w:t>
            </w:r>
          </w:p>
        </w:tc>
      </w:tr>
      <w:tr w:rsidR="00E3432B" w:rsidRPr="005D025B" w14:paraId="3D198CAC" w14:textId="77777777" w:rsidTr="00C91780">
        <w:trPr>
          <w:trHeight w:val="710"/>
        </w:trPr>
        <w:tc>
          <w:tcPr>
            <w:tcW w:w="1065" w:type="dxa"/>
            <w:noWrap/>
            <w:hideMark/>
          </w:tcPr>
          <w:p w14:paraId="7E0A5EA4" w14:textId="19CC2A77" w:rsidR="00E3432B" w:rsidRPr="00E3432B" w:rsidRDefault="00A7278D" w:rsidP="009E346D">
            <w:pPr>
              <w:jc w:val="center"/>
              <w:rPr>
                <w:rFonts w:eastAsia="Times New Roman" w:cstheme="minorHAnsi"/>
                <w:color w:val="000000"/>
              </w:rPr>
            </w:pPr>
            <w:r>
              <w:rPr>
                <w:rFonts w:eastAsia="Times New Roman" w:cstheme="minorHAnsi"/>
                <w:color w:val="000000"/>
              </w:rPr>
              <w:t>7</w:t>
            </w:r>
          </w:p>
        </w:tc>
        <w:tc>
          <w:tcPr>
            <w:tcW w:w="1330" w:type="dxa"/>
            <w:noWrap/>
            <w:hideMark/>
          </w:tcPr>
          <w:p w14:paraId="6EDDA4CC"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$1,400,000</w:t>
            </w:r>
          </w:p>
        </w:tc>
        <w:tc>
          <w:tcPr>
            <w:tcW w:w="1330" w:type="dxa"/>
            <w:noWrap/>
            <w:hideMark/>
          </w:tcPr>
          <w:p w14:paraId="4808239D"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$500,000</w:t>
            </w:r>
          </w:p>
        </w:tc>
        <w:tc>
          <w:tcPr>
            <w:tcW w:w="1357" w:type="dxa"/>
            <w:noWrap/>
            <w:hideMark/>
          </w:tcPr>
          <w:p w14:paraId="7B4B2176" w14:textId="469D1FAF" w:rsidR="00E3432B" w:rsidRPr="00E3432B" w:rsidRDefault="00E3432B" w:rsidP="009E346D">
            <w:pPr>
              <w:jc w:val="center"/>
              <w:rPr>
                <w:rFonts w:eastAsia="Times New Roman" w:cstheme="minorHAnsi"/>
                <w:color w:val="000000"/>
              </w:rPr>
            </w:pPr>
            <w:r w:rsidRPr="00E3432B">
              <w:rPr>
                <w:rFonts w:eastAsia="Times New Roman" w:cstheme="minorHAnsi"/>
                <w:color w:val="000000"/>
              </w:rPr>
              <w:t>75%</w:t>
            </w:r>
            <w:r w:rsidR="00E632D3">
              <w:rPr>
                <w:rFonts w:eastAsia="Times New Roman" w:cstheme="minorHAnsi"/>
                <w:color w:val="000000"/>
              </w:rPr>
              <w:t xml:space="preserve"> of total CRM budget</w:t>
            </w:r>
          </w:p>
        </w:tc>
        <w:tc>
          <w:tcPr>
            <w:tcW w:w="1218" w:type="dxa"/>
            <w:noWrap/>
            <w:hideMark/>
          </w:tcPr>
          <w:p w14:paraId="0C4FAD7F"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$900,000</w:t>
            </w:r>
          </w:p>
        </w:tc>
        <w:tc>
          <w:tcPr>
            <w:tcW w:w="1345" w:type="dxa"/>
            <w:noWrap/>
            <w:hideMark/>
          </w:tcPr>
          <w:p w14:paraId="67BF9DE7"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8</w:t>
            </w:r>
          </w:p>
        </w:tc>
      </w:tr>
      <w:tr w:rsidR="00E3432B" w:rsidRPr="005D025B" w14:paraId="50CC524C" w14:textId="77777777" w:rsidTr="00C91780">
        <w:trPr>
          <w:trHeight w:val="530"/>
        </w:trPr>
        <w:tc>
          <w:tcPr>
            <w:tcW w:w="1065" w:type="dxa"/>
            <w:hideMark/>
          </w:tcPr>
          <w:p w14:paraId="18366F97" w14:textId="4885C443" w:rsidR="00E3432B" w:rsidRPr="00E3432B" w:rsidRDefault="00A7278D" w:rsidP="009E346D">
            <w:pPr>
              <w:jc w:val="center"/>
              <w:rPr>
                <w:rFonts w:eastAsia="Times New Roman" w:cstheme="minorHAnsi"/>
                <w:color w:val="000000"/>
              </w:rPr>
            </w:pPr>
            <w:r>
              <w:rPr>
                <w:rFonts w:eastAsia="Times New Roman" w:cstheme="minorHAnsi"/>
                <w:color w:val="000000"/>
              </w:rPr>
              <w:t>8</w:t>
            </w:r>
          </w:p>
        </w:tc>
        <w:tc>
          <w:tcPr>
            <w:tcW w:w="1330" w:type="dxa"/>
            <w:noWrap/>
            <w:hideMark/>
          </w:tcPr>
          <w:p w14:paraId="7B63A3CE"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$3,887,752</w:t>
            </w:r>
          </w:p>
        </w:tc>
        <w:tc>
          <w:tcPr>
            <w:tcW w:w="1330" w:type="dxa"/>
            <w:noWrap/>
            <w:hideMark/>
          </w:tcPr>
          <w:p w14:paraId="38901FA1"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$3,200,000</w:t>
            </w:r>
          </w:p>
        </w:tc>
        <w:tc>
          <w:tcPr>
            <w:tcW w:w="1357" w:type="dxa"/>
            <w:noWrap/>
            <w:hideMark/>
          </w:tcPr>
          <w:p w14:paraId="0C1A3ED4"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$3,000,000</w:t>
            </w:r>
          </w:p>
        </w:tc>
        <w:tc>
          <w:tcPr>
            <w:tcW w:w="1218" w:type="dxa"/>
            <w:noWrap/>
            <w:hideMark/>
          </w:tcPr>
          <w:p w14:paraId="65E90E99"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$687,752</w:t>
            </w:r>
          </w:p>
        </w:tc>
        <w:tc>
          <w:tcPr>
            <w:tcW w:w="1345" w:type="dxa"/>
            <w:noWrap/>
            <w:hideMark/>
          </w:tcPr>
          <w:p w14:paraId="38E1FDA4"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8</w:t>
            </w:r>
          </w:p>
        </w:tc>
      </w:tr>
      <w:tr w:rsidR="00E3432B" w:rsidRPr="005D025B" w14:paraId="7FF6DE95" w14:textId="77777777" w:rsidTr="00C91780">
        <w:trPr>
          <w:trHeight w:val="530"/>
        </w:trPr>
        <w:tc>
          <w:tcPr>
            <w:tcW w:w="1065" w:type="dxa"/>
            <w:noWrap/>
            <w:hideMark/>
          </w:tcPr>
          <w:p w14:paraId="497DFFA8" w14:textId="4EC71E8C" w:rsidR="00E3432B" w:rsidRPr="00E3432B" w:rsidRDefault="00A7278D" w:rsidP="009E346D">
            <w:pPr>
              <w:jc w:val="center"/>
              <w:rPr>
                <w:rFonts w:eastAsia="Times New Roman" w:cstheme="minorHAnsi"/>
                <w:color w:val="000000"/>
              </w:rPr>
            </w:pPr>
            <w:r>
              <w:rPr>
                <w:rFonts w:eastAsia="Times New Roman" w:cstheme="minorHAnsi"/>
                <w:color w:val="000000"/>
              </w:rPr>
              <w:t>9</w:t>
            </w:r>
          </w:p>
        </w:tc>
        <w:tc>
          <w:tcPr>
            <w:tcW w:w="1330" w:type="dxa"/>
            <w:hideMark/>
          </w:tcPr>
          <w:p w14:paraId="01C5A5E7"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$2,421,938</w:t>
            </w:r>
          </w:p>
        </w:tc>
        <w:tc>
          <w:tcPr>
            <w:tcW w:w="1330" w:type="dxa"/>
            <w:noWrap/>
            <w:hideMark/>
          </w:tcPr>
          <w:p w14:paraId="167A488A"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$2,250,000</w:t>
            </w:r>
          </w:p>
        </w:tc>
        <w:tc>
          <w:tcPr>
            <w:tcW w:w="1357" w:type="dxa"/>
            <w:noWrap/>
            <w:hideMark/>
          </w:tcPr>
          <w:p w14:paraId="6C3DA3C2"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$2,000,000</w:t>
            </w:r>
          </w:p>
        </w:tc>
        <w:tc>
          <w:tcPr>
            <w:tcW w:w="1218" w:type="dxa"/>
            <w:noWrap/>
            <w:hideMark/>
          </w:tcPr>
          <w:p w14:paraId="13C04137"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$171,938</w:t>
            </w:r>
          </w:p>
        </w:tc>
        <w:tc>
          <w:tcPr>
            <w:tcW w:w="1345" w:type="dxa"/>
            <w:noWrap/>
            <w:hideMark/>
          </w:tcPr>
          <w:p w14:paraId="519298A5"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2</w:t>
            </w:r>
          </w:p>
        </w:tc>
      </w:tr>
      <w:tr w:rsidR="00E3432B" w:rsidRPr="005D025B" w14:paraId="4EDC2B29" w14:textId="77777777" w:rsidTr="00C91780">
        <w:trPr>
          <w:trHeight w:val="890"/>
        </w:trPr>
        <w:tc>
          <w:tcPr>
            <w:tcW w:w="1065" w:type="dxa"/>
            <w:noWrap/>
            <w:hideMark/>
          </w:tcPr>
          <w:p w14:paraId="3CC608DE" w14:textId="3AB3A7B3" w:rsidR="00E3432B" w:rsidRPr="00E3432B" w:rsidRDefault="00A7278D" w:rsidP="009E346D">
            <w:pPr>
              <w:jc w:val="center"/>
              <w:rPr>
                <w:rFonts w:eastAsia="Times New Roman" w:cstheme="minorHAnsi"/>
                <w:color w:val="000000"/>
              </w:rPr>
            </w:pPr>
            <w:r>
              <w:rPr>
                <w:rFonts w:eastAsia="Times New Roman" w:cstheme="minorHAnsi"/>
                <w:color w:val="000000"/>
              </w:rPr>
              <w:t>10</w:t>
            </w:r>
          </w:p>
        </w:tc>
        <w:tc>
          <w:tcPr>
            <w:tcW w:w="1330" w:type="dxa"/>
            <w:hideMark/>
          </w:tcPr>
          <w:p w14:paraId="144F078A"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$14,500,000</w:t>
            </w:r>
          </w:p>
        </w:tc>
        <w:tc>
          <w:tcPr>
            <w:tcW w:w="1330" w:type="dxa"/>
            <w:noWrap/>
            <w:hideMark/>
          </w:tcPr>
          <w:p w14:paraId="36E0F946"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$13,000,000</w:t>
            </w:r>
          </w:p>
        </w:tc>
        <w:tc>
          <w:tcPr>
            <w:tcW w:w="1357" w:type="dxa"/>
            <w:noWrap/>
            <w:hideMark/>
          </w:tcPr>
          <w:p w14:paraId="6FC7B87C"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$5,000,000</w:t>
            </w:r>
          </w:p>
        </w:tc>
        <w:tc>
          <w:tcPr>
            <w:tcW w:w="1218" w:type="dxa"/>
            <w:noWrap/>
            <w:hideMark/>
          </w:tcPr>
          <w:p w14:paraId="5BFD66E1"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$1,500,000</w:t>
            </w:r>
          </w:p>
        </w:tc>
        <w:tc>
          <w:tcPr>
            <w:tcW w:w="1345" w:type="dxa"/>
            <w:noWrap/>
            <w:hideMark/>
          </w:tcPr>
          <w:p w14:paraId="2360AD11"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19</w:t>
            </w:r>
          </w:p>
        </w:tc>
      </w:tr>
      <w:tr w:rsidR="00E3432B" w:rsidRPr="005D025B" w14:paraId="3C39941D" w14:textId="77777777" w:rsidTr="00C91780">
        <w:trPr>
          <w:trHeight w:val="890"/>
        </w:trPr>
        <w:tc>
          <w:tcPr>
            <w:tcW w:w="1065" w:type="dxa"/>
            <w:noWrap/>
            <w:hideMark/>
          </w:tcPr>
          <w:p w14:paraId="6F709065" w14:textId="2BC1109E" w:rsidR="00E3432B" w:rsidRPr="00E3432B" w:rsidRDefault="00A7278D" w:rsidP="009E346D">
            <w:pPr>
              <w:jc w:val="center"/>
              <w:rPr>
                <w:rFonts w:eastAsia="Times New Roman" w:cstheme="minorHAnsi"/>
                <w:color w:val="000000"/>
              </w:rPr>
            </w:pPr>
            <w:r>
              <w:rPr>
                <w:rFonts w:eastAsia="Times New Roman" w:cstheme="minorHAnsi"/>
                <w:color w:val="000000"/>
              </w:rPr>
              <w:t>11</w:t>
            </w:r>
          </w:p>
        </w:tc>
        <w:tc>
          <w:tcPr>
            <w:tcW w:w="1330" w:type="dxa"/>
            <w:hideMark/>
          </w:tcPr>
          <w:p w14:paraId="4C605DFD"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$5,275,000</w:t>
            </w:r>
          </w:p>
        </w:tc>
        <w:tc>
          <w:tcPr>
            <w:tcW w:w="1330" w:type="dxa"/>
            <w:noWrap/>
            <w:hideMark/>
          </w:tcPr>
          <w:p w14:paraId="280290F2"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$4,000,000</w:t>
            </w:r>
          </w:p>
        </w:tc>
        <w:tc>
          <w:tcPr>
            <w:tcW w:w="1357" w:type="dxa"/>
            <w:noWrap/>
            <w:hideMark/>
          </w:tcPr>
          <w:p w14:paraId="057F6C2F" w14:textId="77777777" w:rsidR="00E3432B" w:rsidRPr="00E3432B" w:rsidRDefault="00E3432B" w:rsidP="009E346D">
            <w:pPr>
              <w:jc w:val="center"/>
              <w:rPr>
                <w:rFonts w:eastAsia="Times New Roman" w:cstheme="minorHAnsi"/>
                <w:color w:val="000000"/>
              </w:rPr>
            </w:pPr>
          </w:p>
        </w:tc>
        <w:tc>
          <w:tcPr>
            <w:tcW w:w="1218" w:type="dxa"/>
            <w:noWrap/>
            <w:hideMark/>
          </w:tcPr>
          <w:p w14:paraId="0465F981"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$1,275,000</w:t>
            </w:r>
          </w:p>
        </w:tc>
        <w:tc>
          <w:tcPr>
            <w:tcW w:w="1345" w:type="dxa"/>
            <w:noWrap/>
            <w:hideMark/>
          </w:tcPr>
          <w:p w14:paraId="572186B4" w14:textId="77777777" w:rsidR="00E3432B" w:rsidRPr="00E3432B" w:rsidRDefault="00E3432B" w:rsidP="009E346D">
            <w:pPr>
              <w:jc w:val="center"/>
              <w:rPr>
                <w:rFonts w:eastAsia="Times New Roman" w:cstheme="minorHAnsi"/>
                <w:color w:val="000000"/>
              </w:rPr>
            </w:pPr>
            <w:r w:rsidRPr="00E3432B">
              <w:rPr>
                <w:rFonts w:eastAsia="Times New Roman" w:cstheme="minorHAnsi"/>
                <w:color w:val="000000"/>
              </w:rPr>
              <w:t>12</w:t>
            </w:r>
          </w:p>
        </w:tc>
      </w:tr>
    </w:tbl>
    <w:p w14:paraId="1451DC6E" w14:textId="23823178" w:rsidR="00E3432B" w:rsidRDefault="00E3432B" w:rsidP="00740069">
      <w:pPr>
        <w:spacing w:after="0" w:line="240" w:lineRule="auto"/>
        <w:rPr>
          <w:b/>
          <w:bCs/>
          <w:sz w:val="24"/>
          <w:szCs w:val="24"/>
        </w:rPr>
      </w:pPr>
    </w:p>
    <w:p w14:paraId="139E52A6" w14:textId="76F9C1D7" w:rsidR="00021F5A" w:rsidRDefault="00274631" w:rsidP="000947A5">
      <w:pPr>
        <w:spacing w:after="0" w:line="240" w:lineRule="auto"/>
      </w:pPr>
      <w:r>
        <w:rPr>
          <w:b/>
          <w:bCs/>
        </w:rPr>
        <w:t>The 20 s</w:t>
      </w:r>
      <w:r w:rsidR="00021F5A" w:rsidRPr="000947A5">
        <w:rPr>
          <w:b/>
          <w:bCs/>
        </w:rPr>
        <w:t>tate DOTs responding to the survey questionnaire:</w:t>
      </w:r>
      <w:r w:rsidR="000947A5">
        <w:t xml:space="preserve"> Alabama, Arizona, Arkansas, California, Georgia, Idaho, Iowa, Kentucky, Maryland, Michigan, Minnesota, Missouri, North Carolina, Ohio, Pennsylvania, Tennessee, Texas, Virginia, Washington State, Wisconsin, </w:t>
      </w:r>
    </w:p>
    <w:p w14:paraId="02A3FD08" w14:textId="682ED11A" w:rsidR="00021F5A" w:rsidRDefault="00021F5A" w:rsidP="00647269"/>
    <w:p w14:paraId="6718D14D" w14:textId="7D4E1BD3" w:rsidR="00021F5A" w:rsidRDefault="00021F5A" w:rsidP="00647269"/>
    <w:sectPr w:rsidR="00021F5A" w:rsidSect="00E10CFC">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96A5" w14:textId="77777777" w:rsidR="000C626D" w:rsidRDefault="000C626D" w:rsidP="00735E39">
      <w:pPr>
        <w:spacing w:after="0" w:line="240" w:lineRule="auto"/>
      </w:pPr>
      <w:r>
        <w:separator/>
      </w:r>
    </w:p>
  </w:endnote>
  <w:endnote w:type="continuationSeparator" w:id="0">
    <w:p w14:paraId="6B162C26" w14:textId="77777777" w:rsidR="000C626D" w:rsidRDefault="000C626D" w:rsidP="0073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75348"/>
      <w:docPartObj>
        <w:docPartGallery w:val="Page Numbers (Bottom of Page)"/>
        <w:docPartUnique/>
      </w:docPartObj>
    </w:sdtPr>
    <w:sdtEndPr>
      <w:rPr>
        <w:noProof/>
      </w:rPr>
    </w:sdtEndPr>
    <w:sdtContent>
      <w:p w14:paraId="0843D15D" w14:textId="6784B4DC" w:rsidR="00483B17" w:rsidRDefault="00483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C5C3D" w14:textId="77777777" w:rsidR="00483B17" w:rsidRDefault="0048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7F20" w14:textId="77777777" w:rsidR="000C626D" w:rsidRDefault="000C626D" w:rsidP="00735E39">
      <w:pPr>
        <w:spacing w:after="0" w:line="240" w:lineRule="auto"/>
      </w:pPr>
      <w:r>
        <w:separator/>
      </w:r>
    </w:p>
  </w:footnote>
  <w:footnote w:type="continuationSeparator" w:id="0">
    <w:p w14:paraId="0F2CE958" w14:textId="77777777" w:rsidR="000C626D" w:rsidRDefault="000C626D" w:rsidP="00735E39">
      <w:pPr>
        <w:spacing w:after="0" w:line="240" w:lineRule="auto"/>
      </w:pPr>
      <w:r>
        <w:continuationSeparator/>
      </w:r>
    </w:p>
  </w:footnote>
  <w:footnote w:id="1">
    <w:p w14:paraId="3040A932" w14:textId="2A0D6268" w:rsidR="00735E39" w:rsidRDefault="00735E39">
      <w:pPr>
        <w:pStyle w:val="FootnoteText"/>
      </w:pPr>
      <w:r>
        <w:rPr>
          <w:rStyle w:val="FootnoteReference"/>
        </w:rPr>
        <w:footnoteRef/>
      </w:r>
      <w:r>
        <w:t xml:space="preserve"> </w:t>
      </w:r>
      <w:hyperlink r:id="rId1" w:history="1">
        <w:r w:rsidRPr="000E1157">
          <w:rPr>
            <w:rStyle w:val="Hyperlink"/>
          </w:rPr>
          <w:t>https://www.trb.org/NCHRP/NCHRP.aspx</w:t>
        </w:r>
      </w:hyperlink>
    </w:p>
  </w:footnote>
  <w:footnote w:id="2">
    <w:p w14:paraId="2E74383A" w14:textId="5BC61E30" w:rsidR="008D4E92" w:rsidRDefault="008D4E92">
      <w:pPr>
        <w:pStyle w:val="FootnoteText"/>
      </w:pPr>
      <w:r>
        <w:rPr>
          <w:rStyle w:val="FootnoteReference"/>
        </w:rPr>
        <w:footnoteRef/>
      </w:r>
      <w:r>
        <w:t xml:space="preserve"> </w:t>
      </w:r>
      <w:r w:rsidR="00907CE2">
        <w:t>The majority of s</w:t>
      </w:r>
      <w:r>
        <w:t>tate DOT fiscal years run from July 1</w:t>
      </w:r>
      <w:r w:rsidRPr="008D4E92">
        <w:rPr>
          <w:vertAlign w:val="superscript"/>
        </w:rPr>
        <w:t>st</w:t>
      </w:r>
      <w:r>
        <w:t xml:space="preserve"> to June 30</w:t>
      </w:r>
      <w:r w:rsidRPr="008D4E92">
        <w:rPr>
          <w:vertAlign w:val="superscript"/>
        </w:rPr>
        <w:t>th</w:t>
      </w:r>
      <w:r>
        <w:t xml:space="preserve"> of the following year.</w:t>
      </w:r>
    </w:p>
  </w:footnote>
  <w:footnote w:id="3">
    <w:p w14:paraId="37829366" w14:textId="157F39B1" w:rsidR="006D657C" w:rsidRDefault="006D657C">
      <w:pPr>
        <w:pStyle w:val="FootnoteText"/>
      </w:pPr>
      <w:r>
        <w:rPr>
          <w:rStyle w:val="FootnoteReference"/>
        </w:rPr>
        <w:footnoteRef/>
      </w:r>
      <w:r>
        <w:t xml:space="preserve"> </w:t>
      </w:r>
      <w:r w:rsidRPr="00C30594">
        <w:t xml:space="preserve">When a DOT did not provide information on internal CRM staff salaries, we multiplied the number of FY 2022 FTEs with the </w:t>
      </w:r>
      <w:r w:rsidR="00C30594" w:rsidRPr="00C30594">
        <w:t>average annual wages and benefits for CRM professionals of $85,969.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203"/>
    <w:multiLevelType w:val="hybridMultilevel"/>
    <w:tmpl w:val="254A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D6220"/>
    <w:multiLevelType w:val="hybridMultilevel"/>
    <w:tmpl w:val="606A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F05C08"/>
    <w:multiLevelType w:val="hybridMultilevel"/>
    <w:tmpl w:val="E13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B576C"/>
    <w:multiLevelType w:val="hybridMultilevel"/>
    <w:tmpl w:val="462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C3AEB"/>
    <w:multiLevelType w:val="hybridMultilevel"/>
    <w:tmpl w:val="F51A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04022"/>
    <w:multiLevelType w:val="hybridMultilevel"/>
    <w:tmpl w:val="22F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B536D"/>
    <w:multiLevelType w:val="hybridMultilevel"/>
    <w:tmpl w:val="91B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776AD"/>
    <w:multiLevelType w:val="hybridMultilevel"/>
    <w:tmpl w:val="4BF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97087"/>
    <w:multiLevelType w:val="hybridMultilevel"/>
    <w:tmpl w:val="915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D6"/>
    <w:rsid w:val="00021F5A"/>
    <w:rsid w:val="000700C8"/>
    <w:rsid w:val="0008072A"/>
    <w:rsid w:val="000947A5"/>
    <w:rsid w:val="000C626D"/>
    <w:rsid w:val="00130727"/>
    <w:rsid w:val="001B0985"/>
    <w:rsid w:val="001E118E"/>
    <w:rsid w:val="00252433"/>
    <w:rsid w:val="00261145"/>
    <w:rsid w:val="00274631"/>
    <w:rsid w:val="002A5093"/>
    <w:rsid w:val="002B1F3C"/>
    <w:rsid w:val="002E0F5A"/>
    <w:rsid w:val="002F0542"/>
    <w:rsid w:val="0032120D"/>
    <w:rsid w:val="0032169E"/>
    <w:rsid w:val="00337956"/>
    <w:rsid w:val="003C4F31"/>
    <w:rsid w:val="003D0834"/>
    <w:rsid w:val="003E3071"/>
    <w:rsid w:val="004620B3"/>
    <w:rsid w:val="00472115"/>
    <w:rsid w:val="00483B17"/>
    <w:rsid w:val="004B6AE9"/>
    <w:rsid w:val="004E1665"/>
    <w:rsid w:val="00507118"/>
    <w:rsid w:val="00540ED0"/>
    <w:rsid w:val="005870B7"/>
    <w:rsid w:val="005C0386"/>
    <w:rsid w:val="005D629A"/>
    <w:rsid w:val="005D7742"/>
    <w:rsid w:val="005E0010"/>
    <w:rsid w:val="005E5CB1"/>
    <w:rsid w:val="005F555C"/>
    <w:rsid w:val="00647269"/>
    <w:rsid w:val="0065217F"/>
    <w:rsid w:val="0066658F"/>
    <w:rsid w:val="006C3AC2"/>
    <w:rsid w:val="006D657C"/>
    <w:rsid w:val="006D72AD"/>
    <w:rsid w:val="00735E39"/>
    <w:rsid w:val="00740069"/>
    <w:rsid w:val="0075674D"/>
    <w:rsid w:val="00782B04"/>
    <w:rsid w:val="00800A4C"/>
    <w:rsid w:val="008676FE"/>
    <w:rsid w:val="008866ED"/>
    <w:rsid w:val="00886903"/>
    <w:rsid w:val="00894807"/>
    <w:rsid w:val="008D4E92"/>
    <w:rsid w:val="008D5782"/>
    <w:rsid w:val="008D5D50"/>
    <w:rsid w:val="00907CE2"/>
    <w:rsid w:val="009938E8"/>
    <w:rsid w:val="009A4B8F"/>
    <w:rsid w:val="009C00D6"/>
    <w:rsid w:val="009E71B8"/>
    <w:rsid w:val="00A01874"/>
    <w:rsid w:val="00A7278D"/>
    <w:rsid w:val="00A732E2"/>
    <w:rsid w:val="00A86314"/>
    <w:rsid w:val="00B045B7"/>
    <w:rsid w:val="00B11FE8"/>
    <w:rsid w:val="00B3466A"/>
    <w:rsid w:val="00B524AB"/>
    <w:rsid w:val="00B54569"/>
    <w:rsid w:val="00B74E15"/>
    <w:rsid w:val="00B96EB9"/>
    <w:rsid w:val="00BB31B5"/>
    <w:rsid w:val="00BC6527"/>
    <w:rsid w:val="00BC726E"/>
    <w:rsid w:val="00BF0F48"/>
    <w:rsid w:val="00C06E82"/>
    <w:rsid w:val="00C153EC"/>
    <w:rsid w:val="00C30594"/>
    <w:rsid w:val="00C41176"/>
    <w:rsid w:val="00C565E2"/>
    <w:rsid w:val="00C65622"/>
    <w:rsid w:val="00C91780"/>
    <w:rsid w:val="00CA08B6"/>
    <w:rsid w:val="00CD569C"/>
    <w:rsid w:val="00D5531F"/>
    <w:rsid w:val="00D66911"/>
    <w:rsid w:val="00D8682D"/>
    <w:rsid w:val="00DA2E71"/>
    <w:rsid w:val="00DB3977"/>
    <w:rsid w:val="00DD7AC2"/>
    <w:rsid w:val="00E10CFC"/>
    <w:rsid w:val="00E3432B"/>
    <w:rsid w:val="00E632D3"/>
    <w:rsid w:val="00E918B6"/>
    <w:rsid w:val="00EA0BE9"/>
    <w:rsid w:val="00EB7018"/>
    <w:rsid w:val="00F078D8"/>
    <w:rsid w:val="00F178E8"/>
    <w:rsid w:val="00F20554"/>
    <w:rsid w:val="00F2742B"/>
    <w:rsid w:val="00F516ED"/>
    <w:rsid w:val="00FA4578"/>
    <w:rsid w:val="00FE5DD6"/>
    <w:rsid w:val="00FE683C"/>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B871"/>
  <w15:chartTrackingRefBased/>
  <w15:docId w15:val="{5F442964-5C0B-4224-B983-BC96764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74"/>
    <w:pPr>
      <w:ind w:left="720"/>
      <w:contextualSpacing/>
    </w:pPr>
  </w:style>
  <w:style w:type="character" w:styleId="Hyperlink">
    <w:name w:val="Hyperlink"/>
    <w:basedOn w:val="DefaultParagraphFont"/>
    <w:uiPriority w:val="99"/>
    <w:unhideWhenUsed/>
    <w:rsid w:val="00DD7AC2"/>
    <w:rPr>
      <w:color w:val="0563C1"/>
      <w:u w:val="single"/>
    </w:rPr>
  </w:style>
  <w:style w:type="character" w:styleId="CommentReference">
    <w:name w:val="annotation reference"/>
    <w:basedOn w:val="DefaultParagraphFont"/>
    <w:uiPriority w:val="99"/>
    <w:semiHidden/>
    <w:unhideWhenUsed/>
    <w:rsid w:val="00FE5DD6"/>
    <w:rPr>
      <w:sz w:val="16"/>
      <w:szCs w:val="16"/>
    </w:rPr>
  </w:style>
  <w:style w:type="paragraph" w:styleId="CommentText">
    <w:name w:val="annotation text"/>
    <w:basedOn w:val="Normal"/>
    <w:link w:val="CommentTextChar"/>
    <w:uiPriority w:val="99"/>
    <w:semiHidden/>
    <w:unhideWhenUsed/>
    <w:rsid w:val="00FE5DD6"/>
    <w:pPr>
      <w:spacing w:line="240" w:lineRule="auto"/>
    </w:pPr>
    <w:rPr>
      <w:sz w:val="20"/>
      <w:szCs w:val="20"/>
    </w:rPr>
  </w:style>
  <w:style w:type="character" w:customStyle="1" w:styleId="CommentTextChar">
    <w:name w:val="Comment Text Char"/>
    <w:basedOn w:val="DefaultParagraphFont"/>
    <w:link w:val="CommentText"/>
    <w:uiPriority w:val="99"/>
    <w:semiHidden/>
    <w:rsid w:val="00FE5DD6"/>
    <w:rPr>
      <w:sz w:val="20"/>
      <w:szCs w:val="20"/>
    </w:rPr>
  </w:style>
  <w:style w:type="paragraph" w:styleId="CommentSubject">
    <w:name w:val="annotation subject"/>
    <w:basedOn w:val="CommentText"/>
    <w:next w:val="CommentText"/>
    <w:link w:val="CommentSubjectChar"/>
    <w:uiPriority w:val="99"/>
    <w:semiHidden/>
    <w:unhideWhenUsed/>
    <w:rsid w:val="00FE5DD6"/>
    <w:rPr>
      <w:b/>
      <w:bCs/>
    </w:rPr>
  </w:style>
  <w:style w:type="character" w:customStyle="1" w:styleId="CommentSubjectChar">
    <w:name w:val="Comment Subject Char"/>
    <w:basedOn w:val="CommentTextChar"/>
    <w:link w:val="CommentSubject"/>
    <w:uiPriority w:val="99"/>
    <w:semiHidden/>
    <w:rsid w:val="00FE5DD6"/>
    <w:rPr>
      <w:b/>
      <w:bCs/>
      <w:sz w:val="20"/>
      <w:szCs w:val="20"/>
    </w:rPr>
  </w:style>
  <w:style w:type="character" w:styleId="UnresolvedMention">
    <w:name w:val="Unresolved Mention"/>
    <w:basedOn w:val="DefaultParagraphFont"/>
    <w:uiPriority w:val="99"/>
    <w:semiHidden/>
    <w:unhideWhenUsed/>
    <w:rsid w:val="00782B04"/>
    <w:rPr>
      <w:color w:val="605E5C"/>
      <w:shd w:val="clear" w:color="auto" w:fill="E1DFDD"/>
    </w:rPr>
  </w:style>
  <w:style w:type="paragraph" w:styleId="FootnoteText">
    <w:name w:val="footnote text"/>
    <w:basedOn w:val="Normal"/>
    <w:link w:val="FootnoteTextChar"/>
    <w:uiPriority w:val="99"/>
    <w:semiHidden/>
    <w:unhideWhenUsed/>
    <w:rsid w:val="00735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E39"/>
    <w:rPr>
      <w:sz w:val="20"/>
      <w:szCs w:val="20"/>
    </w:rPr>
  </w:style>
  <w:style w:type="character" w:styleId="FootnoteReference">
    <w:name w:val="footnote reference"/>
    <w:basedOn w:val="DefaultParagraphFont"/>
    <w:uiPriority w:val="99"/>
    <w:semiHidden/>
    <w:unhideWhenUsed/>
    <w:rsid w:val="00735E39"/>
    <w:rPr>
      <w:vertAlign w:val="superscript"/>
    </w:rPr>
  </w:style>
  <w:style w:type="table" w:styleId="TableGrid">
    <w:name w:val="Table Grid"/>
    <w:basedOn w:val="TableNormal"/>
    <w:uiPriority w:val="39"/>
    <w:rsid w:val="00E3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A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83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17"/>
  </w:style>
  <w:style w:type="paragraph" w:styleId="Footer">
    <w:name w:val="footer"/>
    <w:basedOn w:val="Normal"/>
    <w:link w:val="FooterChar"/>
    <w:uiPriority w:val="99"/>
    <w:unhideWhenUsed/>
    <w:rsid w:val="00483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b.org/NCHRP/NCHR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252F-41C4-40C0-85BD-11C6E999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Lizarraga</dc:creator>
  <cp:keywords/>
  <dc:description/>
  <cp:lastModifiedBy>Jeffrey Altschul</cp:lastModifiedBy>
  <cp:revision>56</cp:revision>
  <dcterms:created xsi:type="dcterms:W3CDTF">2021-09-19T15:17:00Z</dcterms:created>
  <dcterms:modified xsi:type="dcterms:W3CDTF">2021-12-01T22:54:00Z</dcterms:modified>
</cp:coreProperties>
</file>