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34"/>
          <w:szCs w:val="34"/>
          <w:u w:val="none"/>
          <w:shd w:fill="auto" w:val="clear"/>
          <w:vertAlign w:val="baseline"/>
        </w:rPr>
      </w:pPr>
      <w:r w:rsidDel="00000000" w:rsidR="00000000" w:rsidRPr="00000000">
        <w:rPr>
          <w:rFonts w:ascii="Times" w:cs="Times" w:eastAsia="Times" w:hAnsi="Times"/>
          <w:b w:val="0"/>
          <w:i w:val="0"/>
          <w:smallCaps w:val="0"/>
          <w:strike w:val="0"/>
          <w:color w:val="000000"/>
          <w:sz w:val="34"/>
          <w:szCs w:val="34"/>
          <w:u w:val="none"/>
          <w:shd w:fill="auto" w:val="clear"/>
          <w:vertAlign w:val="baseline"/>
          <w:rtl w:val="0"/>
        </w:rPr>
        <w:t xml:space="preserve">The Contact Hypothesis Revisited: Supplementary</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34"/>
          <w:szCs w:val="34"/>
          <w:u w:val="none"/>
          <w:shd w:fill="auto" w:val="clear"/>
          <w:vertAlign w:val="baseline"/>
        </w:rPr>
      </w:pPr>
      <w:r w:rsidDel="00000000" w:rsidR="00000000" w:rsidRPr="00000000">
        <w:rPr>
          <w:rFonts w:ascii="Times" w:cs="Times" w:eastAsia="Times" w:hAnsi="Times"/>
          <w:b w:val="0"/>
          <w:i w:val="0"/>
          <w:smallCaps w:val="0"/>
          <w:strike w:val="0"/>
          <w:color w:val="000000"/>
          <w:sz w:val="34"/>
          <w:szCs w:val="34"/>
          <w:u w:val="none"/>
          <w:shd w:fill="auto" w:val="clear"/>
          <w:vertAlign w:val="baseline"/>
          <w:rtl w:val="0"/>
        </w:rPr>
        <w:t xml:space="preserve">Materials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Elizabeth Levy Paluck, Seth A Green, and Donald P. Green</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May 1, 2018</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Contents</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 Overview of Seven Borderline Studies 1</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2 Other Related Meta-Analyses 6</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3 Heterogeneity by Target and Population 6</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4 P-Values Distribution and P-Curve Analysis 8</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5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 Decay Over Time 9</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6 Supplementary Tables 11</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7 Supplementary Figures 13</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Overview of Seven Borderline Studies</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We considered hundreds of studies for inclusion before settling on our final sample of 27. A few</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in particular were di cult, borderline cases over which we deliberated. Here, we describe seven</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interesting, high-quality studies that we decided not to include, detail their results, and explain</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our reasons for exclusion.</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First, we considered the “railroad studies" by Stuart Cook and coauthors (Cook et al. 1971; Cook</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1985; Blanchard et al. 1975). These seminal studies aimed to test the contact hypothesis “under</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conditions approximating those of laboratory control" (Cook 1985, p. 453). Subjects, who were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“white Anglo students from the border South. . . [at] two fundamentalist colleges" (p. 454), were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recruited for a “part-time job" in which they operated “an imaginary railroad system with the help</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of two co-workers" (p. 453), one white and one black, both confederates. The job took place for 2</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hours per day for 20 days, and provided interracial contact in two contexts: a co-working setting,</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and also a “30-minute break" in which team members ate lunch and participated in conversations</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“guided by the trained confederates" that were intended to introduce the black co-worker and</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allow the white co-worker “opportunities to voice egalitarian views regarding race relations" (p.</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454). Subjects were tested four weeks after the jobs began and retested “[s]everal months later"</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 454). The study was conducted twice, three years apart. Relative to a control group that did</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not experience interracial contact, experimental subjects showed significant attitude changes on</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measures including whether they would vote “for a black person for Congress" or interview for a</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job with a black person (p. 455).</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We did not include these studies because random assignment “was not possible" (Cook et al.</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1971, p. 46). Instead, Cook and his coworkers “approached the most negative case in each group</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of potential subjects. If this person accepted, the next most negative was assigned to the control</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group...our subject assignment procedure resulted in slightly more negative subjects than the</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controls in the initial experiment" (p. 46).</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Second, we considered Enos (2014), whose treatment entailed hiring Mexican nationals living</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in the United States to wait on Boston commuter train platforms and speak Spanish to one another.</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They were neither given scripts, nor informed of the purpose of the study, nor instructed to interact</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with commuters. Following either three or ten days of exposure, commuters in the treatment</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condition were significantly more likely to say that immigration levels should be decreased, and to</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oppose o</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ering undocumented immigrants without a criminal record a path to citizenship.</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Although the study featured exposure to members of an outgroup, following Pettigrew and</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Tropp (2006), we “define intergroup contact as actual face-to-face interaction between members of</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clearly defined groups" (p. 754), and thus do not include the study. As Hewstone (2015, p. 431)</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writes, the study did not have“meaningful cross-group face-to-face interaction or opportunity to</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build a relationship and get beyond stereotypes."</w:t>
      </w:r>
      <w:r w:rsidDel="00000000" w:rsidR="00000000" w:rsidRPr="00000000">
        <w:rPr>
          <w:rFonts w:ascii="Times" w:cs="Times" w:eastAsia="Times" w:hAnsi="Times"/>
          <w:b w:val="0"/>
          <w:i w:val="0"/>
          <w:smallCaps w:val="0"/>
          <w:strike w:val="0"/>
          <w:color w:val="000000"/>
          <w:sz w:val="20"/>
          <w:szCs w:val="20"/>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Third, Van Laar et al. (2005) study the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ects of interracial roommate pairings at UCLA, and</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find that such roommate relationships typically “reduce prejudice"; that results do not generalize</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to other outgroups besides those to which subjects’ roommates belong; and that whites with Asian</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roommates tended to have “more negative" attitudes towards other groups (p. 329). “[E]xposure</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to African American roommates had a particularly positive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 on respondents’ intergroup</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attitudes" (p. 337).</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There is some question, however, about whether roommate assignments can be analyzed as</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though they are unconditionally random, rather than random conditional on information students</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provide on housing questionnaires. Boisjoly et al. (2006, p. 1891) draw attention to this issue,</w:t>
      </w:r>
      <w:r w:rsidDel="00000000" w:rsidR="00000000" w:rsidRPr="00000000">
        <w:rPr>
          <w:rFonts w:ascii="Times" w:cs="Times" w:eastAsia="Times" w:hAnsi="Times"/>
          <w:sz w:val="20"/>
          <w:szCs w:val="20"/>
          <w:rtl w:val="0"/>
        </w:rPr>
        <w:t xml:space="preserve"> w</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riting:</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we used data from the university housing o ce (instead of from a student survey) containing information on student housing preferences and initial assignment of roommates. This allows us to have reliable information on whether the roommate was randomly assigned, deal with nonresponse bias, and use initial roommate assignment rather than final roommate living arrangement in our estimations. It also allows us to statistically control for housing preferences in our estimations, which is important since roommate assignment is random, conditional on these housing preferences.</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We reviewed approximately 20 interracial roommate studies, and found four that either control</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for student housing preferences or verify that roommate assignment was unconditionally random.</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We included these four.</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It is di</w:t>
      </w:r>
      <w:r w:rsidDel="00000000" w:rsidR="00000000" w:rsidRPr="00000000">
        <w:rPr>
          <w:rFonts w:ascii="Times" w:cs="Times" w:eastAsia="Times" w:hAnsi="Times"/>
          <w:sz w:val="20"/>
          <w:szCs w:val="20"/>
          <w:rtl w:val="0"/>
        </w:rPr>
        <w:t xml:space="preserve">ffi</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cult to estimate the extent to which validity is threatened by missing information about</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roommate assignment preferences. Consider, however, a hypothetical about smoking, a common</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field on roommate questionnaires. In the United States, both race and propensity to smoke are</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correlated with socioeconomic status and geographic background, which might lead to systematic</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erences in potential outcomes between whites paired with black or white roommates.</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Readers who are unconcerned about this or similar hypotheticals should know that interracial</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roommate pairings are typically associated with lower levels of prejudice (Van Laar et al. 2005) and</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intergroup anxiety (Trail et al. 2009), but that the relationships themselves were often strained and</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more likely to dissolve than same-race pairings (Shook and Fazio 2008).</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Fourth, we considered Carrell et al. (2015), a study of the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ects of racial heterogeneity within</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squadrons at the Air Force Academy. The authors note “three sources of exogenous variation": the</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placement of female cadets within squadrons without respect to race, the attrition provided by</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students failing to matriculate, and the enrollment of students “who su</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ered injuries or illness</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during the previous year’s basic training," which collectively “provide empirical evidence consistent</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with random assignment into squadrons with respect to academic ability, athletic ability, and</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leadership activity" (p. 7). The authors find that for white cadets, a one standard deviation increase</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in the percentage of black squadron-mates has statistically significant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ects both on stated racial</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attitudes and on likelihood of choosing a black roommate during their sophomore years. We did</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not include this study in our main sample, however, because the roommate assignment process</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itself is not neutral with respect to race. The Air Force Academy creates squadrons by first assigning</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women, then “male ethnic and racial minorities, then white male recruited athletes, then white</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males who attended a military preparatory school, and then all remaining white male students" (p.</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7). The authors argue that this creates balance “broadly consistent with a random draw from the</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USAFA stratified random sorting algorithm" (p. 9), but we decided to limit our sample to studies in</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which assignment was either controlled by the experimenters or strictly verified as random.</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Fifth, Rao (2013) studied a policy change in India in 2008 that “forced many private schools in</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Delhi to meet a quota of poor children in admissions" (p. 1), which, among students from wealthy</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w:cs="Times" w:eastAsia="Times" w:hAnsi="Times"/>
          <w:i w:val="0"/>
          <w:smallCaps w:val="0"/>
          <w:strike w:val="0"/>
          <w:color w:val="000000"/>
          <w:sz w:val="20"/>
          <w:szCs w:val="20"/>
          <w:u w:val="none"/>
          <w:shd w:fill="auto" w:val="clear"/>
          <w:vertAlign w:val="baseline"/>
        </w:rPr>
      </w:pPr>
      <w:r w:rsidDel="00000000" w:rsidR="00000000" w:rsidRPr="00000000">
        <w:rPr>
          <w:rFonts w:ascii="Times" w:cs="Times" w:eastAsia="Times" w:hAnsi="Times"/>
          <w:i w:val="0"/>
          <w:smallCaps w:val="0"/>
          <w:strike w:val="0"/>
          <w:color w:val="000000"/>
          <w:sz w:val="20"/>
          <w:szCs w:val="20"/>
          <w:u w:val="none"/>
          <w:shd w:fill="auto" w:val="clear"/>
          <w:vertAlign w:val="baseline"/>
          <w:rtl w:val="0"/>
        </w:rPr>
        <w:t xml:space="preserve">families, led to sharp discontinuities in exposure to poor classmates. Rao exploits a number of</w:t>
      </w:r>
      <w:r w:rsidDel="00000000" w:rsidR="00000000" w:rsidRPr="00000000">
        <w:br w:type="page"/>
      </w:r>
      <w:r w:rsidDel="00000000" w:rsidR="00000000" w:rsidRPr="00000000">
        <w:rPr>
          <w:rFonts w:ascii="Times" w:cs="Times" w:eastAsia="Times" w:hAnsi="Times"/>
          <w:i w:val="0"/>
          <w:smallCaps w:val="0"/>
          <w:strike w:val="0"/>
          <w:color w:val="000000"/>
          <w:sz w:val="20"/>
          <w:szCs w:val="20"/>
          <w:u w:val="none"/>
          <w:shd w:fill="auto" w:val="clear"/>
          <w:vertAlign w:val="baseline"/>
          <w:rtl w:val="0"/>
        </w:rPr>
        <w:t xml:space="preserve">econometric strategies to identify treatment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i w:val="0"/>
          <w:smallCaps w:val="0"/>
          <w:strike w:val="0"/>
          <w:color w:val="000000"/>
          <w:sz w:val="20"/>
          <w:szCs w:val="20"/>
          <w:u w:val="none"/>
          <w:shd w:fill="auto" w:val="clear"/>
          <w:vertAlign w:val="baseline"/>
          <w:rtl w:val="0"/>
        </w:rPr>
        <w:t xml:space="preserve">ects. However, not all schools complied immediately,</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100" w:before="0" w:line="360" w:lineRule="auto"/>
        <w:ind w:left="0" w:right="0" w:firstLine="0"/>
        <w:contextualSpacing w:val="0"/>
        <w:jc w:val="left"/>
        <w:rPr>
          <w:rFonts w:ascii="Times" w:cs="Times" w:eastAsia="Times" w:hAnsi="Times"/>
          <w:i w:val="0"/>
          <w:smallCaps w:val="0"/>
          <w:strike w:val="0"/>
          <w:color w:val="000000"/>
          <w:sz w:val="20"/>
          <w:szCs w:val="20"/>
          <w:u w:val="none"/>
          <w:shd w:fill="auto" w:val="clear"/>
          <w:vertAlign w:val="baseline"/>
        </w:rPr>
      </w:pPr>
      <w:r w:rsidDel="00000000" w:rsidR="00000000" w:rsidRPr="00000000">
        <w:rPr>
          <w:rFonts w:ascii="Times" w:cs="Times" w:eastAsia="Times" w:hAnsi="Times"/>
          <w:i w:val="0"/>
          <w:smallCaps w:val="0"/>
          <w:strike w:val="0"/>
          <w:color w:val="000000"/>
          <w:sz w:val="20"/>
          <w:szCs w:val="20"/>
          <w:u w:val="none"/>
          <w:shd w:fill="auto" w:val="clear"/>
          <w:vertAlign w:val="baseline"/>
          <w:rtl w:val="0"/>
        </w:rPr>
        <w:t xml:space="preserve">“either because they expected the policy to be overturned or because they felt the order was issued</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too late for them to modify their admission procedures" (p. 7), while a separate subset of schools</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was exempt for "historical reasons" (p. 1); these schools functioned as a primary control group.</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Within treated schools, study groups are formed by alphabetic order of first name (p. 13), creating</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levels of mixing between rich and poor students. Overall, for a group of about 2,000 students, Rao</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finds positive, prosocial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ects. Treated students are more likely to volunteer for charitable causes</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at school, to split money evenly in a dictator game, and to discriminate less against poor children</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outside of school in a play setting.</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This study features strong treatment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ects and admirably unobtrusive outcome measures;</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however, we do not include studies whose assignment mechanisms are “plausibly exogenous" (p. 1)</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rather than verifiably random. The variation created by study group assignment, moreover, leads</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to both treatment and control groups receiving contact in the classroom.</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Sixth, Fuegen (2000) studied the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ects of interacting with a confederate who either behaved</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as a “stereotype-consistent" or “stereotype-disconfirming" feminist (p. 21) in conversations with</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female undergraduates. In both conditions, subjects were given a “list of interview questions" to</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which the confederate gave "scripted responses" (p. 21). The stereotype-disconfirming confederate</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“reported enjoying spending time with her boyfriend, cooking, shopping, and reading beauty</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magazines. She also dressed in fashionable clothing, wore makeup and jewelry, and was congenial</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with the participant" (p. 21). When speaking to the control group, the confederate conveyed a</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“stereotype-consistent" demeanor by “naming History of American Women as her favorite class,</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identifying with female role models, expressing interest in a career, and identifying the need to</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educate women about inequality as one of the issues she felt most strongly about" (p. 21-22).</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Fuegen found positive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ects for treatment subjects on attitudes towards feminists immediately</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after, while "positive a</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 decreased" (p. 46) for treatment subjects three to four months later.</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However, we consider this study’s interventionto be related to, but distinct from, contact. As was</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true of Enos (2014), we do not consider the subjects to have interacted with feminists, in the sense</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that the word "interaction" implies a give and take, rather than one party reading strictly from a</w:t>
      </w: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script.</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Finally, Adams et al. (2003) studied the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ects of a Multicultural Relationship Enhancement</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Workshop" (p. 281) in which undergraduate education majors participated in eight hours of</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workshops, over four sessions, that trained them “in expressive speaking and empathetic listening</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based on Relationship Enhancement Therapy" (p. 286). Groups were mainly composed of Latinxs</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and Whites; subjects who participated in the workshop scored higher than waitlist control subjects</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on measures of empathetic listening and speaking.</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Though many studies in our final sample included contact as part of a bundled treatment, the</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contact in Adams et al. (2003) does not seem exceptional for the environment from which the</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students were drawn. The university “is an hour from the US-Mexico border, and the majority of</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the participants were Latino-Americans" (p. 289). The treatment is not theoretically isomorphic</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with contact, but rather a series of structured interactions within a setting in which both treatment</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and control groups are already accustomed to intergroup contact. We did not consider this to be of</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probative value for the contact hypothesis itself.</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Other Related Meta-Analyses</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We were fortunate to have a number of related meta-analyses to build from, many of whose results</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we did not incorporate directly but nonetheless influenced our thinking. We appreciate the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orts</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of Aboud et al. (2012) on anti-prejudice interventions in early childhood; Davies et al. (2011) on</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cross-group friendships; Johnson et al. (1983, 2000) on intergroup cooperation; Lipsey and Wilson</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(1993) on psychological interventions generally; Miles and Crisp (2013) on imagined contact;</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Bowman (2011) on civic engagement; Gilbert and Ricketts (2008) and Christian et al. (2014) on</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ageism; and Smith et al. (2009) on sexual prejudice.</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Heterogeneity by Target and Population</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Tables A1 and A2 present an overview of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 size heterogeneity by target of prejudice and</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population from which participants are drawn. Table A1 separates studies by target of prejudice,</w:t>
      </w:r>
      <w:r w:rsidDel="00000000" w:rsidR="00000000" w:rsidRPr="00000000">
        <w:br w:type="page"/>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and ranks the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 sizes from smallest to largest. Table A2 provides a cross-tab of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 sizes by</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both target and population.</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[Tables A1 and A2 about here]</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As Table A1 suggests, there is significant heterogeneity of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 size by target. Four categories</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of prejudice—against immigrants and foreign nationals, LGBTQ individuals, the elderly, and</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women—come in below what is typically thought of as a small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 in the social sciences ( = .2).</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Two others—members of other ethnic or racial groups, or other religious groups—fall within a</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small to medium range (.2 &lt; &lt; .5). By contrast, contact’s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ects on reducing prejudice towards</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individuals with intellectual or physical disabilities are apparently quite large.</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What drives this heterogeneity is di cult to say. A consequence, however, is that the long right</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tail of the distribution plays a large part in driving average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 sizes. When studies focusing on</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reducing prejudices towards individuals with intellectual disabilities are removed from the analysis,</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the average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 size drops from 0.394 to 0.225, a reduction of 43%. By contrast, removing studies</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aimed at reducing prejudice towards immigrants and foreign nationals raises the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 size to</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0.422, an increase of 7%.</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We suggest three lessons from this exercise. First, researchers and policy-makers should expect</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smaller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ects of contact with immigrants and foreign nationals; this accords with results from Enos</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(2014), which suggest that incidental exposure to foreigners may increase exclusionary attitudes.</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Second, contact appears to be a comparatively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ective means at reducing prejudice towards people</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with physical and intellectual disabilities, which has important implications for discrimination</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in schools and the workplace. Third, researchers and policymakers focusing on racial, ethnic,</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religious, gender, and sexual minority prejudice should interpret the pooled result of this and</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similar meta-analyses with caution. It appears that not all attitudes are equally amenable to change</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following contact, and that the prejudices typically underpinning social conflict are more stable</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sz w:val="20"/>
          <w:szCs w:val="20"/>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than a pooled estimate of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 sizes may imply.</w:t>
      </w: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P-Values Distribution and P-Curve Analysis</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Another way to present the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ects of contact on prejudice is to examine the distribution of p-values</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(Simonsohn et al. 2014). Of the 27 statistical calculations comprising our primary meta-analytic</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sample, twelve are statistically significant at p &lt; .05. Two others Boisjoly et al. (2006); Burns et al.</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(2015) are significant at the p &lt; .1 level, and the remaining 13 are not statistically significant. We</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conducted a p-curve test of the 12 statistically significant results. Figure A1, displays the results of</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this test:</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[Figure A1 about here]</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Overall, according to the criteria laid out by Simonsohn et al. (2014) our collated studies have</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high evidentiary value and are consistent with a hypothesis of no publication bias. At the same</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time, the majority of the statistical tests we evaluated are not statistically significant.</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We caution readers, however, not to place too much weight on this test for a number of</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reasons. First, a number of studies in our sample include both experimental and non-experimental</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comparisons, and many of the non-experimental comparisons are statistically significant while the</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experimental comparisons are not. Hull (1972) and Furuto and Furuto (1983) both include outside</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control groups of subjects who are similar to randomly assigned subjects on observables but who</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had zero probability of assignment to treatment. Page-Gould et al. (2008), meanwhile, present</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 variety of statistically significant analyses partitioned by covariates that were not randomly</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assigned, and thus were not included in our primary analysis. For Marmaros and Sacerdote (2006),</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roommate contact is just one of many explanatory variables; the main focus of the paper is the</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ects of geographic clustering on college students’ social networks. It is thus di cult to comment</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on whether significant results are systematically more likely to be published, as most papers in</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our sample present a wide variety of outcome measures, at least some of which are statistically</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significant, but not all of which are relevant to our meta-analysis.</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Second, we note that the relationship between publication and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 size is very noisy. The 27</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 sizes in our primary sample come from 26 separate papers. Nine of those papers were, as</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of January 2017, unpublished; five are working papers, and four are unpublished dissertations.</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Collapsing unpubished papers into one category, we find a weak relationship between publication</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status and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 size ( = .036, p = 0.867) Analyzed separately, published papers have a random</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ects estimate of 0.388; working papers an estimated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 size of 0.169; and dissertations an</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average estimated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 of 0.824, giving the impression that unpublished dissertations have larger</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ects on average.</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These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ects, however, are in large part driven by one outlier: DiTullio (1982), who found that</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contact with intellectually disabled coworkers reduced prejudice for 38 Philadelphia custodians by</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2.6 standard deviations. With this one study removed, the average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 size of dissertations drops</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to 0.287, and the average estimated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 size of all unpublished studies without DiTullio is 0.195.</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However, the di</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erence between published and unpublished studies is still not significant (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-.167, p = .231).</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E</w:t>
      </w:r>
      <w:r w:rsidDel="00000000" w:rsidR="00000000" w:rsidRPr="00000000">
        <w:rPr>
          <w:rFonts w:ascii="Times" w:cs="Times" w:eastAsia="Times" w:hAnsi="Times"/>
          <w:sz w:val="24"/>
          <w:szCs w:val="24"/>
          <w:rtl w:val="0"/>
        </w:rPr>
        <w:t xml:space="preserve">ff</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ect Decay Over Time</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Given our focus on delayed outcome measurements, some readers might wonder if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ects in</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our sample attenuate over time. To investigate this possibility, we recorded the number of days</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separating the beginning of treatment from outcome measurement, paying special attention to</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studies that featured multiple post-tests. Overall, we found very little evidence for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ects decaying</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over time, either across or within studies. A graphical overview of our results is presented in figure</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A2.</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Figure A2 about here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Here, we note non-monotonic relationships between time and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 size in two of seven studies</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with multiple post-tests (Broockman and Kalla 2016; Camargo et al. 2010), though the samples</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within these studies di</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er over time due to attrition. One study with two treatment arms (Clunies-</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Ross and O’Meara 1989) shows increased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 sizes over time, and three show small declines</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Krahé and Altwasser (2006); Sorensen (2010); Hull (1972). With all of these outcomes included,</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controlling for target and within-study fixed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ects, a day of delay is associated with a decline in</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 size of -0.0004. Results are substantially the same when comparing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 sizes only within</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studies with multiple post-tests.</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We also note that estimating how much time has elapsed in between treatment and outcome</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measurements involved some guesswork. Many studies record only approximate timelines, or</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measured outcomes within a range of a few weeks. We adjudicated such cases by taking the</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approximate midpoint within the ranges given. for instance, Scacco and Warren (2018) measured</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outcomes “four to six weeks" (p. 14) after a 16-week program, which we recorded as taking place</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21 weeks, or 147, days after treatment.</w:t>
      </w:r>
      <w:r w:rsidDel="00000000" w:rsidR="00000000" w:rsidRPr="00000000">
        <w:rPr>
          <w:rtl w:val="0"/>
        </w:rPr>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Aboud, F. E., Tredoux, C., Tropp, L. R., Brown, C. S., Niens, U., and Noor, N. M. (2012). Interventions</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to reduce prejudice and enhance inclusion and respect for ethnic di</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erences in early childhood:</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 systematic review. Developmental Review, 32(4):307–336.</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Adams, E. M., Waldo, M., Steiner, R., Mayfield, R., Ackerlind, S. J., and Castellanos, L. P. (2003).</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Creating peace by confronting prejudice: Examining the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ects of a multicultural communication</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1"/>
          <w:smallCaps w:val="0"/>
          <w:strike w:val="0"/>
          <w:color w:val="000000"/>
          <w:sz w:val="20"/>
          <w:szCs w:val="20"/>
          <w:u w:val="none"/>
          <w:shd w:fill="auto" w:val="clear"/>
          <w:vertAlign w:val="baseline"/>
        </w:rPr>
      </w:pP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skills group intervention. International Journal for the Advancement of Counselling, 25(4):281–291.</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Blanchard, F. A., Adelman, L., and Cook, S. W. (1975).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 of group success and failure upon</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interpersonal attraction in cooperating interracial groups. Journal of Personality and Social</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Psychology, 31(6):1020.</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Boisjoly, J., Duncan, G. J., Kremer, M., Levy, D. M., and Eccles, J. (2006). Empathy or antipathy? the</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impact of diversity. The American Economic Review, 96(5):1890–1905.</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Bowman, N. A. (2011). Promoting participation in a diverse democracy: A meta-analysis of college</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diversity experiences and civic engagement. Review of Educational Research, 81(1):29–68.</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Broockman, D. and Kalla, J. (2016). Durably reducing transphobia: A field experiment on door-to-</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door canvassing. Science, 352(6282):220–224.</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Burns, J., Corno, L., and La Ferrara, E. (2015). Interaction, prejudice and performance: Evidence</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from south africa. Technical report, Working Paper. forthcoming.</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Camargo, B., Stinebrickner, R., and Stinebrickner, T. (2010). Interracial friendships in college.</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1"/>
          <w:smallCaps w:val="0"/>
          <w:strike w:val="0"/>
          <w:color w:val="000000"/>
          <w:sz w:val="20"/>
          <w:szCs w:val="20"/>
          <w:u w:val="none"/>
          <w:shd w:fill="auto" w:val="clear"/>
          <w:vertAlign w:val="baseline"/>
        </w:rPr>
      </w:pP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Journal of Labor Economics, 28(4):861–892.</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Carrell, S. E., Hoekstra, M., and West, J. E. (2015). The impact of intergroup contact on racial</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attitudes and revealed preferences. Technical report, National Bureau of Economic Research.</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working paper.</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15</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Christian, J., Turner, R., Holt, N., Larkin, M., and Cotler, J. H. (2014). Does intergenerational</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contact reduce ageism: When and how contact interventions actually work? Journal of Arts and</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Humanities, 3(1):1–15.</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Clunies-Ross, G. and O’Meara, K. (1989). Changing the attitudes of students towards peers with</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disabilities. Australian Psychologist, 24(2):273–284.</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Cook, S. W. (1985). Experimenting on social issues: The case of school desegregation. American</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1"/>
          <w:smallCaps w:val="0"/>
          <w:strike w:val="0"/>
          <w:color w:val="000000"/>
          <w:sz w:val="20"/>
          <w:szCs w:val="20"/>
          <w:u w:val="none"/>
          <w:shd w:fill="auto" w:val="clear"/>
          <w:vertAlign w:val="baseline"/>
        </w:rPr>
      </w:pP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Psychologist, 40(4):452.</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Cook, S. W., Wrightsman, L. S., and Wrightsman, S. (1971). The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 of Unintended Interracial</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1"/>
          <w:smallCaps w:val="0"/>
          <w:strike w:val="0"/>
          <w:color w:val="000000"/>
          <w:sz w:val="20"/>
          <w:szCs w:val="20"/>
          <w:u w:val="none"/>
          <w:shd w:fill="auto" w:val="clear"/>
          <w:vertAlign w:val="baseline"/>
        </w:rPr>
      </w:pP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Contact Upon Racial Interaction and Attitude Change. Educational resources in information center,</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US Department of Health, Education &amp; Welfare.</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Davies, K., Tropp, L. R., Aron, A., Pettigrew, T. F., and Wright, S. C. (2011). Cross-group friendships</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and intergroup attitudes: A meta-analytic review. Personality and Social Psychology Review,</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15:332–351.</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1"/>
          <w:smallCaps w:val="0"/>
          <w:strike w:val="0"/>
          <w:color w:val="000000"/>
          <w:sz w:val="20"/>
          <w:szCs w:val="20"/>
          <w:u w:val="none"/>
          <w:shd w:fill="auto" w:val="clear"/>
          <w:vertAlign w:val="baseline"/>
        </w:rPr>
      </w:pP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DiTullio, B. J. (1982). The e</w:t>
      </w:r>
      <w:r w:rsidDel="00000000" w:rsidR="00000000" w:rsidRPr="00000000">
        <w:rPr>
          <w:rFonts w:ascii="Times" w:cs="Times" w:eastAsia="Times" w:hAnsi="Times"/>
          <w:i w:val="1"/>
          <w:sz w:val="20"/>
          <w:szCs w:val="20"/>
          <w:rtl w:val="0"/>
        </w:rPr>
        <w:t xml:space="preserve">ff</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ect of employing trainable mentally retarded (TMR) students as workers</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1"/>
          <w:smallCaps w:val="0"/>
          <w:strike w:val="0"/>
          <w:color w:val="000000"/>
          <w:sz w:val="20"/>
          <w:szCs w:val="20"/>
          <w:u w:val="none"/>
          <w:shd w:fill="auto" w:val="clear"/>
          <w:vertAlign w:val="baseline"/>
        </w:rPr>
      </w:pP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within the Philadelphia public school system: Attitudes of supervisors and non handicapped co-workers</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1"/>
          <w:smallCaps w:val="0"/>
          <w:strike w:val="0"/>
          <w:color w:val="000000"/>
          <w:sz w:val="20"/>
          <w:szCs w:val="20"/>
          <w:u w:val="none"/>
          <w:shd w:fill="auto" w:val="clear"/>
          <w:vertAlign w:val="baseline"/>
        </w:rPr>
      </w:pP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towards the retarded as a result of contact. PhD thesis.</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Enos, R. D. (2014). Causal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 of intergroup contact on exclusionary attitudes. Proceedings of the</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1"/>
          <w:smallCaps w:val="0"/>
          <w:strike w:val="0"/>
          <w:color w:val="000000"/>
          <w:sz w:val="20"/>
          <w:szCs w:val="20"/>
          <w:u w:val="none"/>
          <w:shd w:fill="auto" w:val="clear"/>
          <w:vertAlign w:val="baseline"/>
        </w:rPr>
      </w:pP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National Academy of Sciences, 111(10):3699–3704.</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Fuegen, K. (2000). Comparing paradigms of stereotype change: The case for contact. Arbor Ciencia</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1"/>
          <w:smallCaps w:val="0"/>
          <w:strike w:val="0"/>
          <w:color w:val="000000"/>
          <w:sz w:val="20"/>
          <w:szCs w:val="20"/>
          <w:u w:val="none"/>
          <w:shd w:fill="auto" w:val="clear"/>
          <w:vertAlign w:val="baseline"/>
        </w:rPr>
      </w:pP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Pensamiento Y Cultura.</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Furuto, S. B. and Furuto, D. M. (1983). The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ects of a</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ective and cognitive treatment on attitude</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1"/>
          <w:smallCaps w:val="0"/>
          <w:strike w:val="0"/>
          <w:color w:val="000000"/>
          <w:sz w:val="20"/>
          <w:szCs w:val="20"/>
          <w:u w:val="none"/>
          <w:shd w:fill="auto" w:val="clear"/>
          <w:vertAlign w:val="baseline"/>
        </w:rPr>
      </w:pP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change toward ethnic minority groups. International Journal of Intercultural Relations, 7(2):149–</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165.</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Gilbert, C. N. and Ricketts, K. G. (2008). Children’s attitudes toward older adults and aging: A</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sz w:val="20"/>
          <w:szCs w:val="20"/>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synthesis of research. Educational Gerontology, 34(7):570–586.</w:t>
      </w:r>
      <w:r w:rsidDel="00000000" w:rsidR="00000000" w:rsidRPr="00000000">
        <w:rPr>
          <w:rtl w:val="0"/>
        </w:rPr>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Hewstone, M. (2015). Consequences of diversity for social cohesion and prejudice: The missing</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dimension of intergroup contact. Journal of Social Issues, 71(2):417–438.</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Hull, W. F. (1972). Changes in world-mindedness after a cross-cultural sensitivity group experience.</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1"/>
          <w:smallCaps w:val="0"/>
          <w:strike w:val="0"/>
          <w:color w:val="000000"/>
          <w:sz w:val="20"/>
          <w:szCs w:val="20"/>
          <w:u w:val="none"/>
          <w:shd w:fill="auto" w:val="clear"/>
          <w:vertAlign w:val="baseline"/>
        </w:rPr>
      </w:pP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The Journal of Applied Behavioral Science, 8(1):115–121.</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Johnson, C., Schaller, M., and Mullen, B. (2000). Social categorization and stereotyping: ’you mean</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1"/>
          <w:smallCaps w:val="0"/>
          <w:strike w:val="0"/>
          <w:color w:val="000000"/>
          <w:sz w:val="20"/>
          <w:szCs w:val="20"/>
          <w:u w:val="none"/>
          <w:shd w:fill="auto" w:val="clear"/>
          <w:vertAlign w:val="baseline"/>
        </w:rPr>
      </w:pP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i’m one of ’them’?’. British Journal of Social Psychology, 39(1):1–25.</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Johnson, D. W., Johnson, R. T., and Maruyama, G. (1983). Interdependence and interpersonal</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attraction among heterogenous and homogeneous individuals: A theoretical formulation and a</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meta-analysis of the research. Review of Educational Research, 53(1):5–54.</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Krahé, B. and Altwasser, C. (2006). Changing negative attitudes towards persons with physical</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1"/>
          <w:smallCaps w:val="0"/>
          <w:strike w:val="0"/>
          <w:color w:val="000000"/>
          <w:sz w:val="20"/>
          <w:szCs w:val="20"/>
          <w:u w:val="none"/>
          <w:shd w:fill="auto" w:val="clear"/>
          <w:vertAlign w:val="baseline"/>
        </w:rPr>
      </w:pP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disabilities: An experimental intervention. Journal of Community &amp;amp; Applied Social Psychology,</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16(1):59–69.</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Lipsey, M. W. and Wilson, D. B. (1993). The e cacy of psychological, educational, and behavioral</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treatment. Confirmation from meta-analysis. The American psychologist, 48(12):1181–1209.</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Marmaros, D. and Sacerdote, B. (2006). How do friendships form? The Quarterly Journal of</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Economics, pages 79–119.</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Miles, E. and Crisp, R. J. (2013). A meta-analytic test of the imagined contact hypothesis. Group</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1"/>
          <w:smallCaps w:val="0"/>
          <w:strike w:val="0"/>
          <w:color w:val="000000"/>
          <w:sz w:val="20"/>
          <w:szCs w:val="20"/>
          <w:u w:val="none"/>
          <w:shd w:fill="auto" w:val="clear"/>
          <w:vertAlign w:val="baseline"/>
        </w:rPr>
      </w:pP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Processes &amp; Intergroup Relations, 17(1):3–26.</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Page-Gould, E., Mendoza-Denton, R., and Tropp, L. R. (2008). With a little help from my cross-</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group friend: Reducing anxiety in intergroup contexts through cross-group friendship. Journal</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1"/>
          <w:smallCaps w:val="0"/>
          <w:strike w:val="0"/>
          <w:color w:val="000000"/>
          <w:sz w:val="20"/>
          <w:szCs w:val="20"/>
          <w:u w:val="none"/>
          <w:shd w:fill="auto" w:val="clear"/>
          <w:vertAlign w:val="baseline"/>
        </w:rPr>
      </w:pP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of Personality and Social Psychology, 95(5):1080.</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Pettigrew, T. F. and Tropp, L. R. (2006). A meta-analytic test of intergroup contact theory. Journal of</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1"/>
          <w:smallCaps w:val="0"/>
          <w:strike w:val="0"/>
          <w:color w:val="000000"/>
          <w:sz w:val="20"/>
          <w:szCs w:val="20"/>
          <w:u w:val="none"/>
          <w:shd w:fill="auto" w:val="clear"/>
          <w:vertAlign w:val="baseline"/>
        </w:rPr>
      </w:pP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Personality and Social Psychology, 90(5):751–783.</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Rao, G. (2013). Familiarity Does Not Breed Contempt: Diversity, Discrimination and Generosity in</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Delhi Schools.</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Scacco, A. and Warren, S. S. (2018). Can social contact reduce prejudice and discrimination?</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evidence from a field experiment in nigeria. American Political Science Review, pages 1–24.</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Shook, N. J. and Fazio, R. H. (2008). Roommate relationships: A comparison of interracial and</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same-race living situations. Group Processes &amp; Intergroup Relations, 11(4):425–437.</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Simonsohn, U., Nelson, L. D., and Simmons, J. P. (2014). P-curve: a key to the file-drawer. Journal of</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1"/>
          <w:smallCaps w:val="0"/>
          <w:strike w:val="0"/>
          <w:color w:val="000000"/>
          <w:sz w:val="20"/>
          <w:szCs w:val="20"/>
          <w:u w:val="none"/>
          <w:shd w:fill="auto" w:val="clear"/>
          <w:vertAlign w:val="baseline"/>
        </w:rPr>
      </w:pP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Experimental Psychology: General, 143(2):534.</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Smith, S. J., Axelton, A. M., and Saucier, D. A. (2009). The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ects of contact on sexual prejudice: A</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meta-analysis. Sex Roles, 61(3-4):178–191.</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1"/>
          <w:smallCaps w:val="0"/>
          <w:strike w:val="0"/>
          <w:color w:val="000000"/>
          <w:sz w:val="20"/>
          <w:szCs w:val="20"/>
          <w:u w:val="none"/>
          <w:shd w:fill="auto" w:val="clear"/>
          <w:vertAlign w:val="baseline"/>
        </w:rPr>
      </w:pP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Sorensen, N. A. (2010). The road to empathy: Dialogic pathways for engaging diversity and improving</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intergroup relations. PhD thesis, The University of Michigan.</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Trail, T. E., Shelton, J. N., and West, T. V. (2009). Interracial roommate relationships: Negotiating</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1"/>
          <w:smallCaps w:val="0"/>
          <w:strike w:val="0"/>
          <w:color w:val="000000"/>
          <w:sz w:val="20"/>
          <w:szCs w:val="20"/>
          <w:u w:val="none"/>
          <w:shd w:fill="auto" w:val="clear"/>
          <w:vertAlign w:val="baseline"/>
        </w:rPr>
      </w:pP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daily interactions. Personality and Social Psychology Bulletin, 35(6):671–684.</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Van Laar, C., Levin, S., Sinclair, S., and Sidanius, J. (2005). The e</w:t>
      </w:r>
      <w:r w:rsidDel="00000000" w:rsidR="00000000" w:rsidRPr="00000000">
        <w:rPr>
          <w:rFonts w:ascii="Times" w:cs="Times" w:eastAsia="Times" w:hAnsi="Times"/>
          <w:sz w:val="20"/>
          <w:szCs w:val="20"/>
          <w:rtl w:val="0"/>
        </w:rPr>
        <w:t xml:space="preserve">ff</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ect of university roommate</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contact on ethnic attitudes and behavior. Journal of Experimental Social Psychology, 41(4):329–345.</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3E">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w:cs="Times" w:eastAsia="Times" w:hAnsi="Times"/>
          <w:sz w:val="20"/>
          <w:szCs w:val="20"/>
          <w:rtl w:val="0"/>
        </w:rPr>
        <w:t xml:space="preserve">One could argue, however, that Enos’s study provides a test of what Pettigrew and Tropp (2006, p. 753) call “the mere exposure perspective [which] suggests that, all things being equal, greater contact and familiarity with members of other groups should enhance liking for those groups." In this light, the study could be taken as evidence against the perspective that brief, incidental contact will produce changes and suggests instead that Allport’s structuring conditions are crucial for changing minds.</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