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E0316D" w14:textId="3670EC31" w:rsidR="005B6750" w:rsidRDefault="005B6750" w:rsidP="005B6750">
      <w:pPr>
        <w:pStyle w:val="Ttulo1"/>
        <w:jc w:val="both"/>
        <w:rPr>
          <w:sz w:val="40"/>
          <w:szCs w:val="40"/>
          <w:lang w:val="en-US"/>
        </w:rPr>
      </w:pPr>
      <w:bookmarkStart w:id="0" w:name="_Hlk41304842"/>
      <w:r w:rsidRPr="007C150D">
        <w:rPr>
          <w:sz w:val="40"/>
          <w:szCs w:val="40"/>
          <w:lang w:val="en-US"/>
        </w:rPr>
        <w:t>Unfair</w:t>
      </w:r>
      <w:r>
        <w:rPr>
          <w:sz w:val="40"/>
          <w:szCs w:val="40"/>
          <w:lang w:val="en-US"/>
        </w:rPr>
        <w:t xml:space="preserve"> </w:t>
      </w:r>
      <w:r w:rsidRPr="007C150D">
        <w:rPr>
          <w:sz w:val="40"/>
          <w:szCs w:val="40"/>
          <w:lang w:val="en-US"/>
        </w:rPr>
        <w:t xml:space="preserve">Commercial Practices in a Pit Market: </w:t>
      </w:r>
      <w:r>
        <w:rPr>
          <w:sz w:val="40"/>
          <w:szCs w:val="40"/>
          <w:lang w:val="en-US"/>
        </w:rPr>
        <w:t>Evidence from an Artefactual Field</w:t>
      </w:r>
      <w:r w:rsidRPr="007C150D">
        <w:rPr>
          <w:sz w:val="40"/>
          <w:szCs w:val="40"/>
          <w:lang w:val="en-US"/>
        </w:rPr>
        <w:t xml:space="preserve"> Experiment</w:t>
      </w:r>
    </w:p>
    <w:p w14:paraId="2521F62F" w14:textId="72236057" w:rsidR="005B6750" w:rsidRPr="003B523F" w:rsidRDefault="005B6750" w:rsidP="005B6750">
      <w:pPr>
        <w:pStyle w:val="Ttulo1"/>
        <w:jc w:val="both"/>
        <w:rPr>
          <w:sz w:val="40"/>
          <w:szCs w:val="40"/>
          <w:lang w:val="it-IT"/>
        </w:rPr>
      </w:pPr>
      <w:r w:rsidRPr="003B523F">
        <w:rPr>
          <w:sz w:val="40"/>
          <w:szCs w:val="40"/>
          <w:lang w:val="it-IT"/>
        </w:rPr>
        <w:t>Online Appendix</w:t>
      </w:r>
    </w:p>
    <w:bookmarkEnd w:id="0"/>
    <w:p w14:paraId="4A8EFDD1" w14:textId="0BD50522" w:rsidR="005B6750" w:rsidRPr="003B523F" w:rsidRDefault="005B6750" w:rsidP="005B6750">
      <w:pPr>
        <w:spacing w:after="0" w:line="480" w:lineRule="auto"/>
        <w:rPr>
          <w:b/>
          <w:bCs/>
          <w:lang w:val="it-IT"/>
        </w:rPr>
      </w:pPr>
      <w:r w:rsidRPr="003B523F">
        <w:rPr>
          <w:rFonts w:eastAsia="Calisto MT" w:cs="TimesLTStd-Roman"/>
          <w:smallCaps/>
          <w:color w:val="000000"/>
          <w:lang w:val="it-IT"/>
        </w:rPr>
        <w:t>Francesco Bogliacino, Rafael Charris, Cristiano Codagnone, Frans Folkvord, Felipe Montealegre, Francisco Lupiáñez-Villanueva</w:t>
      </w:r>
    </w:p>
    <w:p w14:paraId="75288BE5" w14:textId="77777777" w:rsidR="005B6750" w:rsidRDefault="005B6750" w:rsidP="005B6750">
      <w:pPr>
        <w:spacing w:after="0" w:line="480" w:lineRule="auto"/>
        <w:rPr>
          <w:b/>
          <w:bCs/>
        </w:rPr>
      </w:pPr>
      <w:r>
        <w:rPr>
          <w:b/>
          <w:bCs/>
        </w:rPr>
        <w:t>Section I. Supplementary Materials</w:t>
      </w:r>
    </w:p>
    <w:p w14:paraId="2F8BD56A" w14:textId="77777777" w:rsidR="005B6750" w:rsidRDefault="005B6750" w:rsidP="005B6750">
      <w:pPr>
        <w:spacing w:after="0" w:line="480" w:lineRule="auto"/>
      </w:pPr>
      <w:r>
        <w:t xml:space="preserve">The full report with recruitment and details is available at this link: </w:t>
      </w:r>
      <w:hyperlink r:id="rId4" w:history="1">
        <w:r w:rsidRPr="000F6C97">
          <w:rPr>
            <w:rStyle w:val="Hipervnculo"/>
          </w:rPr>
          <w:t>https://op.europa.eu/s/ovv3</w:t>
        </w:r>
      </w:hyperlink>
      <w:r>
        <w:t>.</w:t>
      </w:r>
    </w:p>
    <w:p w14:paraId="22871BDA" w14:textId="75FB5C5F" w:rsidR="005B6750" w:rsidRDefault="003B523F" w:rsidP="005B6750">
      <w:pPr>
        <w:spacing w:after="0" w:line="480" w:lineRule="auto"/>
      </w:pPr>
      <w:r>
        <w:t>Data are property of the European Commission, we can provide the dofile to replicate the analyses.</w:t>
      </w:r>
    </w:p>
    <w:p w14:paraId="34443397" w14:textId="77777777" w:rsidR="005B6750" w:rsidRPr="00E85CE6" w:rsidRDefault="005B6750" w:rsidP="005B6750">
      <w:pPr>
        <w:spacing w:after="0" w:line="480" w:lineRule="auto"/>
        <w:rPr>
          <w:b/>
          <w:bCs/>
          <w:lang w:val="en-US"/>
        </w:rPr>
      </w:pPr>
      <w:r w:rsidRPr="00E85CE6">
        <w:rPr>
          <w:b/>
          <w:bCs/>
          <w:lang w:val="en-US"/>
        </w:rPr>
        <w:t>Section II. Non parametric tests</w:t>
      </w:r>
    </w:p>
    <w:p w14:paraId="377C06F1" w14:textId="77777777" w:rsidR="005B6750" w:rsidRDefault="005B6750" w:rsidP="005B6750">
      <w:pPr>
        <w:spacing w:after="0" w:line="480" w:lineRule="auto"/>
        <w:rPr>
          <w:lang w:val="en-US"/>
        </w:rPr>
      </w:pPr>
      <w:r w:rsidRPr="00E85CE6">
        <w:rPr>
          <w:lang w:val="en-US"/>
        </w:rPr>
        <w:t>Although the</w:t>
      </w:r>
      <w:r>
        <w:rPr>
          <w:lang w:val="en-US"/>
        </w:rPr>
        <w:t xml:space="preserve"> reference analysis is the regression to better deal with dependence in the data, we also report nonparametric analysis.</w:t>
      </w:r>
    </w:p>
    <w:p w14:paraId="2C231249" w14:textId="77777777" w:rsidR="005B6750" w:rsidRDefault="005B6750" w:rsidP="005B6750">
      <w:pPr>
        <w:spacing w:after="0" w:line="480" w:lineRule="auto"/>
        <w:rPr>
          <w:lang w:val="en-US"/>
        </w:rPr>
      </w:pPr>
      <w:r>
        <w:rPr>
          <w:lang w:val="en-US"/>
        </w:rPr>
        <w:t xml:space="preserve">Price posted: </w:t>
      </w:r>
      <w:r w:rsidRPr="00C03FB2">
        <w:rPr>
          <w:lang w:val="en-US"/>
        </w:rPr>
        <w:t>Non-parametric tests (Kruskal Wallis), performed separately by round, suggest that most of the price differences across treatments is concentrated in the second round (round one χ^2=1.78,p=0.77, round two χ^2=7.64,p=0.10, round three χ^2=1.75,p=0.78, round four χ^2=1.00,p=0.90, round five χ^2=2.89,p=0.57) and driven by the treatment with commercial practices (Mann-Whitney-Wilcoxon test, Commercial Practices versus control, r. one z=-2.75,p&lt;0.01, r. two z=-11.00,p&lt;0.01, r. three z=-4.12,p&lt;0.01, r. four z=-6.87,p&lt;0.01, r. five z=-4.12,p&lt;0.01).</w:t>
      </w:r>
    </w:p>
    <w:p w14:paraId="58813FFA" w14:textId="77777777" w:rsidR="005B6750" w:rsidRDefault="005B6750" w:rsidP="005B6750">
      <w:pPr>
        <w:spacing w:after="0" w:line="480" w:lineRule="auto"/>
        <w:rPr>
          <w:lang w:val="en-US"/>
        </w:rPr>
      </w:pPr>
      <w:r>
        <w:rPr>
          <w:lang w:val="en-US"/>
        </w:rPr>
        <w:t xml:space="preserve">Willingness to acquire information: </w:t>
      </w:r>
      <w:r w:rsidRPr="00974D6B">
        <w:t xml:space="preserve">Non-parametric tests (Kruskal Wallis), performed separately by round to control for the dependence in the data, suggest that most of the price </w:t>
      </w:r>
      <w:r w:rsidRPr="00974D6B">
        <w:lastRenderedPageBreak/>
        <w:t>differences across treatments is concentrated in the second round (round one χ^2=1.78,p=0.77, round two χ^2=7.64,p=0.10, round three χ^2=1.75,p=0.78, round four χ^2=1.00,p=0.90, round five χ^2=2.89,p=0.57) and driven by the treatment with commercial practices (Mann-Whitney-Wilcoxon test, Commercial Practices versus control, r. one z=-2.75,p&lt;0.01, r. two z=-11.00,p&lt;0.01, r. three z=-4.12,p&lt;0.01, r. four z=-6.87,p&lt;0.01, r. five z=-4.12,p&lt;0.01).</w:t>
      </w:r>
    </w:p>
    <w:p w14:paraId="71804245" w14:textId="77777777" w:rsidR="005B6750" w:rsidRDefault="005B6750" w:rsidP="005B6750">
      <w:pPr>
        <w:spacing w:after="0" w:line="480" w:lineRule="auto"/>
        <w:jc w:val="both"/>
      </w:pPr>
      <w:r>
        <w:t>Willingness to buy: it is different across treatments in three out of five rounds according to Kruskal Wallis tests (</w:t>
      </w:r>
      <w:r>
        <w:rPr>
          <w:rFonts w:eastAsiaTheme="minorEastAsia"/>
        </w:rPr>
        <w:t xml:space="preserve">round one </w:t>
      </w:r>
      <m:oMath>
        <m:sSup>
          <m:sSupPr>
            <m:ctrlPr>
              <w:rPr>
                <w:rFonts w:ascii="Cambria Math" w:hAnsi="Cambria Math"/>
                <w:i/>
              </w:rPr>
            </m:ctrlPr>
          </m:sSupPr>
          <m:e>
            <m:r>
              <w:rPr>
                <w:rFonts w:ascii="Cambria Math" w:hAnsi="Cambria Math"/>
              </w:rPr>
              <m:t>χ</m:t>
            </m:r>
          </m:e>
          <m:sup>
            <m:r>
              <w:rPr>
                <w:rFonts w:ascii="Cambria Math" w:hAnsi="Cambria Math"/>
              </w:rPr>
              <m:t>2</m:t>
            </m:r>
          </m:sup>
        </m:sSup>
        <m:r>
          <w:rPr>
            <w:rFonts w:ascii="Cambria Math" w:hAnsi="Cambria Math"/>
          </w:rPr>
          <m:t>=32.46, p=0.00</m:t>
        </m:r>
      </m:oMath>
      <w:r>
        <w:rPr>
          <w:rFonts w:eastAsiaTheme="minorEastAsia"/>
        </w:rPr>
        <w:t xml:space="preserve">, round two </w:t>
      </w:r>
      <m:oMath>
        <m:sSup>
          <m:sSupPr>
            <m:ctrlPr>
              <w:rPr>
                <w:rFonts w:ascii="Cambria Math" w:hAnsi="Cambria Math"/>
                <w:i/>
              </w:rPr>
            </m:ctrlPr>
          </m:sSupPr>
          <m:e>
            <m:r>
              <w:rPr>
                <w:rFonts w:ascii="Cambria Math" w:hAnsi="Cambria Math"/>
              </w:rPr>
              <m:t>χ</m:t>
            </m:r>
          </m:e>
          <m:sup>
            <m:r>
              <w:rPr>
                <w:rFonts w:ascii="Cambria Math" w:hAnsi="Cambria Math"/>
              </w:rPr>
              <m:t>2</m:t>
            </m:r>
          </m:sup>
        </m:sSup>
        <m:r>
          <w:rPr>
            <w:rFonts w:ascii="Cambria Math" w:hAnsi="Cambria Math"/>
          </w:rPr>
          <m:t>=17.92, p&lt;0.01</m:t>
        </m:r>
      </m:oMath>
      <w:r>
        <w:rPr>
          <w:rFonts w:eastAsiaTheme="minorEastAsia"/>
        </w:rPr>
        <w:t xml:space="preserve">, round three </w:t>
      </w:r>
      <m:oMath>
        <m:sSup>
          <m:sSupPr>
            <m:ctrlPr>
              <w:rPr>
                <w:rFonts w:ascii="Cambria Math" w:hAnsi="Cambria Math"/>
                <w:i/>
              </w:rPr>
            </m:ctrlPr>
          </m:sSupPr>
          <m:e>
            <m:r>
              <w:rPr>
                <w:rFonts w:ascii="Cambria Math" w:hAnsi="Cambria Math"/>
              </w:rPr>
              <m:t>χ</m:t>
            </m:r>
          </m:e>
          <m:sup>
            <m:r>
              <w:rPr>
                <w:rFonts w:ascii="Cambria Math" w:hAnsi="Cambria Math"/>
              </w:rPr>
              <m:t>2</m:t>
            </m:r>
          </m:sup>
        </m:sSup>
        <m:r>
          <w:rPr>
            <w:rFonts w:ascii="Cambria Math" w:hAnsi="Cambria Math"/>
          </w:rPr>
          <m:t>=3.55, p=0.46</m:t>
        </m:r>
      </m:oMath>
      <w:r>
        <w:rPr>
          <w:rFonts w:eastAsiaTheme="minorEastAsia"/>
        </w:rPr>
        <w:t xml:space="preserve">, round four </w:t>
      </w:r>
      <m:oMath>
        <m:sSup>
          <m:sSupPr>
            <m:ctrlPr>
              <w:rPr>
                <w:rFonts w:ascii="Cambria Math" w:hAnsi="Cambria Math"/>
                <w:i/>
              </w:rPr>
            </m:ctrlPr>
          </m:sSupPr>
          <m:e>
            <m:r>
              <w:rPr>
                <w:rFonts w:ascii="Cambria Math" w:hAnsi="Cambria Math"/>
              </w:rPr>
              <m:t>χ</m:t>
            </m:r>
          </m:e>
          <m:sup>
            <m:r>
              <w:rPr>
                <w:rFonts w:ascii="Cambria Math" w:hAnsi="Cambria Math"/>
              </w:rPr>
              <m:t>2</m:t>
            </m:r>
          </m:sup>
        </m:sSup>
        <m:r>
          <w:rPr>
            <w:rFonts w:ascii="Cambria Math" w:hAnsi="Cambria Math"/>
          </w:rPr>
          <m:t>=4.10, p=0.39</m:t>
        </m:r>
      </m:oMath>
      <w:r>
        <w:rPr>
          <w:rFonts w:eastAsiaTheme="minorEastAsia"/>
        </w:rPr>
        <w:t xml:space="preserve">, round five </w:t>
      </w:r>
      <m:oMath>
        <m:sSup>
          <m:sSupPr>
            <m:ctrlPr>
              <w:rPr>
                <w:rFonts w:ascii="Cambria Math" w:hAnsi="Cambria Math"/>
                <w:i/>
              </w:rPr>
            </m:ctrlPr>
          </m:sSupPr>
          <m:e>
            <m:r>
              <w:rPr>
                <w:rFonts w:ascii="Cambria Math" w:hAnsi="Cambria Math"/>
              </w:rPr>
              <m:t>χ</m:t>
            </m:r>
          </m:e>
          <m:sup>
            <m:r>
              <w:rPr>
                <w:rFonts w:ascii="Cambria Math" w:hAnsi="Cambria Math"/>
              </w:rPr>
              <m:t>2</m:t>
            </m:r>
          </m:sup>
        </m:sSup>
        <m:r>
          <w:rPr>
            <w:rFonts w:ascii="Cambria Math" w:hAnsi="Cambria Math"/>
          </w:rPr>
          <m:t>=12.24, p=0.01</m:t>
        </m:r>
      </m:oMath>
      <w:r>
        <w:t>).</w:t>
      </w:r>
    </w:p>
    <w:p w14:paraId="607B32D9" w14:textId="77777777" w:rsidR="005B6750" w:rsidRDefault="005B6750" w:rsidP="005B6750">
      <w:pPr>
        <w:spacing w:after="0" w:line="480" w:lineRule="auto"/>
        <w:jc w:val="both"/>
      </w:pPr>
      <w:r>
        <w:t>Likelihood to use practices: Non-parametric tests (Kruskall Wallis) show that the use of practices is not statistically different across rounds, confirming the main conclusions that composition more than total use is shaped by the treatments (</w:t>
      </w:r>
      <w:r>
        <w:rPr>
          <w:rFonts w:eastAsiaTheme="minorEastAsia"/>
        </w:rPr>
        <w:t xml:space="preserve">r. one </w:t>
      </w:r>
      <m:oMath>
        <m:sSup>
          <m:sSupPr>
            <m:ctrlPr>
              <w:rPr>
                <w:rFonts w:ascii="Cambria Math" w:hAnsi="Cambria Math"/>
                <w:i/>
              </w:rPr>
            </m:ctrlPr>
          </m:sSupPr>
          <m:e>
            <m:r>
              <w:rPr>
                <w:rFonts w:ascii="Cambria Math" w:hAnsi="Cambria Math"/>
              </w:rPr>
              <m:t>χ</m:t>
            </m:r>
          </m:e>
          <m:sup>
            <m:r>
              <w:rPr>
                <w:rFonts w:ascii="Cambria Math" w:hAnsi="Cambria Math"/>
              </w:rPr>
              <m:t>2</m:t>
            </m:r>
          </m:sup>
        </m:sSup>
        <m:r>
          <w:rPr>
            <w:rFonts w:ascii="Cambria Math" w:hAnsi="Cambria Math"/>
          </w:rPr>
          <m:t>=3.56, p=0.31</m:t>
        </m:r>
      </m:oMath>
      <w:r>
        <w:rPr>
          <w:rFonts w:eastAsiaTheme="minorEastAsia"/>
        </w:rPr>
        <w:t xml:space="preserve">, r. two </w:t>
      </w:r>
      <m:oMath>
        <m:sSup>
          <m:sSupPr>
            <m:ctrlPr>
              <w:rPr>
                <w:rFonts w:ascii="Cambria Math" w:hAnsi="Cambria Math"/>
                <w:i/>
              </w:rPr>
            </m:ctrlPr>
          </m:sSupPr>
          <m:e>
            <m:r>
              <w:rPr>
                <w:rFonts w:ascii="Cambria Math" w:hAnsi="Cambria Math"/>
              </w:rPr>
              <m:t>χ</m:t>
            </m:r>
          </m:e>
          <m:sup>
            <m:r>
              <w:rPr>
                <w:rFonts w:ascii="Cambria Math" w:hAnsi="Cambria Math"/>
              </w:rPr>
              <m:t>2</m:t>
            </m:r>
          </m:sup>
        </m:sSup>
        <m:r>
          <w:rPr>
            <w:rFonts w:ascii="Cambria Math" w:hAnsi="Cambria Math"/>
          </w:rPr>
          <m:t>=4.95, p=0.17</m:t>
        </m:r>
      </m:oMath>
      <w:r>
        <w:rPr>
          <w:rFonts w:eastAsiaTheme="minorEastAsia"/>
        </w:rPr>
        <w:t xml:space="preserve">, r. three </w:t>
      </w:r>
      <m:oMath>
        <m:sSup>
          <m:sSupPr>
            <m:ctrlPr>
              <w:rPr>
                <w:rFonts w:ascii="Cambria Math" w:hAnsi="Cambria Math"/>
                <w:i/>
              </w:rPr>
            </m:ctrlPr>
          </m:sSupPr>
          <m:e>
            <m:r>
              <w:rPr>
                <w:rFonts w:ascii="Cambria Math" w:hAnsi="Cambria Math"/>
              </w:rPr>
              <m:t>χ</m:t>
            </m:r>
          </m:e>
          <m:sup>
            <m:r>
              <w:rPr>
                <w:rFonts w:ascii="Cambria Math" w:hAnsi="Cambria Math"/>
              </w:rPr>
              <m:t>2</m:t>
            </m:r>
          </m:sup>
        </m:sSup>
        <m:r>
          <w:rPr>
            <w:rFonts w:ascii="Cambria Math" w:hAnsi="Cambria Math"/>
          </w:rPr>
          <m:t>=0.71, p=0.86</m:t>
        </m:r>
      </m:oMath>
      <w:r>
        <w:rPr>
          <w:rFonts w:eastAsiaTheme="minorEastAsia"/>
        </w:rPr>
        <w:t xml:space="preserve">, r. four </w:t>
      </w:r>
      <m:oMath>
        <m:sSup>
          <m:sSupPr>
            <m:ctrlPr>
              <w:rPr>
                <w:rFonts w:ascii="Cambria Math" w:hAnsi="Cambria Math"/>
                <w:i/>
              </w:rPr>
            </m:ctrlPr>
          </m:sSupPr>
          <m:e>
            <m:r>
              <w:rPr>
                <w:rFonts w:ascii="Cambria Math" w:hAnsi="Cambria Math"/>
              </w:rPr>
              <m:t>χ</m:t>
            </m:r>
          </m:e>
          <m:sup>
            <m:r>
              <w:rPr>
                <w:rFonts w:ascii="Cambria Math" w:hAnsi="Cambria Math"/>
              </w:rPr>
              <m:t>2</m:t>
            </m:r>
          </m:sup>
        </m:sSup>
        <m:r>
          <w:rPr>
            <w:rFonts w:ascii="Cambria Math" w:hAnsi="Cambria Math"/>
          </w:rPr>
          <m:t>=3.18, p=0.36</m:t>
        </m:r>
      </m:oMath>
      <w:r>
        <w:rPr>
          <w:rFonts w:eastAsiaTheme="minorEastAsia"/>
        </w:rPr>
        <w:t xml:space="preserve">, r. five </w:t>
      </w:r>
      <m:oMath>
        <m:sSup>
          <m:sSupPr>
            <m:ctrlPr>
              <w:rPr>
                <w:rFonts w:ascii="Cambria Math" w:hAnsi="Cambria Math"/>
                <w:i/>
              </w:rPr>
            </m:ctrlPr>
          </m:sSupPr>
          <m:e>
            <m:r>
              <w:rPr>
                <w:rFonts w:ascii="Cambria Math" w:hAnsi="Cambria Math"/>
              </w:rPr>
              <m:t>χ</m:t>
            </m:r>
          </m:e>
          <m:sup>
            <m:r>
              <w:rPr>
                <w:rFonts w:ascii="Cambria Math" w:hAnsi="Cambria Math"/>
              </w:rPr>
              <m:t>2</m:t>
            </m:r>
          </m:sup>
        </m:sSup>
        <m:r>
          <w:rPr>
            <w:rFonts w:ascii="Cambria Math" w:hAnsi="Cambria Math"/>
          </w:rPr>
          <m:t>=4.18, p=0.24</m:t>
        </m:r>
      </m:oMath>
      <w:r>
        <w:t>).</w:t>
      </w:r>
    </w:p>
    <w:p w14:paraId="715A8A51" w14:textId="77777777" w:rsidR="005B6750" w:rsidRDefault="005B6750" w:rsidP="005B6750">
      <w:pPr>
        <w:spacing w:after="0" w:line="480" w:lineRule="auto"/>
        <w:jc w:val="both"/>
      </w:pPr>
      <w:r>
        <w:t xml:space="preserve"> Cheating: The differences in cheating across experimental conditions is also robust to the use of non-parametric tests, in three out five rounds (Kruskall Wallis, </w:t>
      </w:r>
      <w:r>
        <w:rPr>
          <w:rFonts w:eastAsiaTheme="minorEastAsia"/>
        </w:rPr>
        <w:t xml:space="preserve">round one </w:t>
      </w:r>
      <m:oMath>
        <m:sSup>
          <m:sSupPr>
            <m:ctrlPr>
              <w:rPr>
                <w:rFonts w:ascii="Cambria Math" w:hAnsi="Cambria Math"/>
                <w:i/>
              </w:rPr>
            </m:ctrlPr>
          </m:sSupPr>
          <m:e>
            <m:r>
              <w:rPr>
                <w:rFonts w:ascii="Cambria Math" w:hAnsi="Cambria Math"/>
              </w:rPr>
              <m:t>χ</m:t>
            </m:r>
          </m:e>
          <m:sup>
            <m:r>
              <w:rPr>
                <w:rFonts w:ascii="Cambria Math" w:hAnsi="Cambria Math"/>
              </w:rPr>
              <m:t>2</m:t>
            </m:r>
          </m:sup>
        </m:sSup>
        <m:r>
          <w:rPr>
            <w:rFonts w:ascii="Cambria Math" w:hAnsi="Cambria Math"/>
          </w:rPr>
          <m:t>=7.1, p=0.06</m:t>
        </m:r>
      </m:oMath>
      <w:r>
        <w:rPr>
          <w:rFonts w:eastAsiaTheme="minorEastAsia"/>
        </w:rPr>
        <w:t xml:space="preserve">, r. two </w:t>
      </w:r>
      <m:oMath>
        <m:sSup>
          <m:sSupPr>
            <m:ctrlPr>
              <w:rPr>
                <w:rFonts w:ascii="Cambria Math" w:hAnsi="Cambria Math"/>
                <w:i/>
              </w:rPr>
            </m:ctrlPr>
          </m:sSupPr>
          <m:e>
            <m:r>
              <w:rPr>
                <w:rFonts w:ascii="Cambria Math" w:hAnsi="Cambria Math"/>
              </w:rPr>
              <m:t>χ</m:t>
            </m:r>
          </m:e>
          <m:sup>
            <m:r>
              <w:rPr>
                <w:rFonts w:ascii="Cambria Math" w:hAnsi="Cambria Math"/>
              </w:rPr>
              <m:t>2</m:t>
            </m:r>
          </m:sup>
        </m:sSup>
        <m:r>
          <w:rPr>
            <w:rFonts w:ascii="Cambria Math" w:hAnsi="Cambria Math"/>
          </w:rPr>
          <m:t>=2.56, p=0.46</m:t>
        </m:r>
      </m:oMath>
      <w:r>
        <w:rPr>
          <w:rFonts w:eastAsiaTheme="minorEastAsia"/>
        </w:rPr>
        <w:t xml:space="preserve">, r. three </w:t>
      </w:r>
      <m:oMath>
        <m:sSup>
          <m:sSupPr>
            <m:ctrlPr>
              <w:rPr>
                <w:rFonts w:ascii="Cambria Math" w:hAnsi="Cambria Math"/>
                <w:i/>
              </w:rPr>
            </m:ctrlPr>
          </m:sSupPr>
          <m:e>
            <m:r>
              <w:rPr>
                <w:rFonts w:ascii="Cambria Math" w:hAnsi="Cambria Math"/>
              </w:rPr>
              <m:t>χ</m:t>
            </m:r>
          </m:e>
          <m:sup>
            <m:r>
              <w:rPr>
                <w:rFonts w:ascii="Cambria Math" w:hAnsi="Cambria Math"/>
              </w:rPr>
              <m:t>2</m:t>
            </m:r>
          </m:sup>
        </m:sSup>
        <m:r>
          <w:rPr>
            <w:rFonts w:ascii="Cambria Math" w:hAnsi="Cambria Math"/>
          </w:rPr>
          <m:t>=6.89, p=0.07</m:t>
        </m:r>
      </m:oMath>
      <w:r>
        <w:rPr>
          <w:rFonts w:eastAsiaTheme="minorEastAsia"/>
        </w:rPr>
        <w:t xml:space="preserve">, r. four </w:t>
      </w:r>
      <m:oMath>
        <m:sSup>
          <m:sSupPr>
            <m:ctrlPr>
              <w:rPr>
                <w:rFonts w:ascii="Cambria Math" w:hAnsi="Cambria Math"/>
                <w:i/>
              </w:rPr>
            </m:ctrlPr>
          </m:sSupPr>
          <m:e>
            <m:r>
              <w:rPr>
                <w:rFonts w:ascii="Cambria Math" w:hAnsi="Cambria Math"/>
              </w:rPr>
              <m:t>χ</m:t>
            </m:r>
          </m:e>
          <m:sup>
            <m:r>
              <w:rPr>
                <w:rFonts w:ascii="Cambria Math" w:hAnsi="Cambria Math"/>
              </w:rPr>
              <m:t>2</m:t>
            </m:r>
          </m:sup>
        </m:sSup>
        <m:r>
          <w:rPr>
            <w:rFonts w:ascii="Cambria Math" w:hAnsi="Cambria Math"/>
          </w:rPr>
          <m:t>=6.92, p=0.07</m:t>
        </m:r>
      </m:oMath>
      <w:r>
        <w:rPr>
          <w:rFonts w:eastAsiaTheme="minorEastAsia"/>
        </w:rPr>
        <w:t xml:space="preserve">, r. five </w:t>
      </w:r>
      <m:oMath>
        <m:sSup>
          <m:sSupPr>
            <m:ctrlPr>
              <w:rPr>
                <w:rFonts w:ascii="Cambria Math" w:hAnsi="Cambria Math"/>
                <w:i/>
              </w:rPr>
            </m:ctrlPr>
          </m:sSupPr>
          <m:e>
            <m:r>
              <w:rPr>
                <w:rFonts w:ascii="Cambria Math" w:hAnsi="Cambria Math"/>
              </w:rPr>
              <m:t>χ</m:t>
            </m:r>
          </m:e>
          <m:sup>
            <m:r>
              <w:rPr>
                <w:rFonts w:ascii="Cambria Math" w:hAnsi="Cambria Math"/>
              </w:rPr>
              <m:t>2</m:t>
            </m:r>
          </m:sup>
        </m:sSup>
        <m:r>
          <w:rPr>
            <w:rFonts w:ascii="Cambria Math" w:hAnsi="Cambria Math"/>
          </w:rPr>
          <m:t>=2.18, p=0.53</m:t>
        </m:r>
      </m:oMath>
      <w:r>
        <w:t xml:space="preserve">). </w:t>
      </w:r>
    </w:p>
    <w:p w14:paraId="39793D50" w14:textId="77777777" w:rsidR="005B6750" w:rsidRPr="00E85CE6" w:rsidRDefault="005B6750" w:rsidP="005B6750">
      <w:pPr>
        <w:spacing w:after="0" w:line="480" w:lineRule="auto"/>
        <w:jc w:val="both"/>
        <w:rPr>
          <w:b/>
          <w:bCs/>
        </w:rPr>
      </w:pPr>
      <w:r w:rsidRPr="00E85CE6">
        <w:rPr>
          <w:b/>
          <w:bCs/>
        </w:rPr>
        <w:t>Section III. Additional results.</w:t>
      </w:r>
    </w:p>
    <w:p w14:paraId="7B31F183" w14:textId="77777777" w:rsidR="005B6750" w:rsidRDefault="005B6750" w:rsidP="005B6750">
      <w:pPr>
        <w:pStyle w:val="Descripcin"/>
        <w:keepNext/>
      </w:pPr>
      <w:r>
        <w:lastRenderedPageBreak/>
        <w:t>Table A1 Equilibrium properties of different treatments</w:t>
      </w:r>
    </w:p>
    <w:tbl>
      <w:tblPr>
        <w:tblW w:w="5000" w:type="pct"/>
        <w:tblCellSpacing w:w="15" w:type="dxa"/>
        <w:tblLayout w:type="fixed"/>
        <w:tblCellMar>
          <w:top w:w="15" w:type="dxa"/>
          <w:left w:w="28" w:type="dxa"/>
          <w:bottom w:w="15" w:type="dxa"/>
          <w:right w:w="28" w:type="dxa"/>
        </w:tblCellMar>
        <w:tblLook w:val="04A0" w:firstRow="1" w:lastRow="0" w:firstColumn="1" w:lastColumn="0" w:noHBand="0" w:noVBand="1"/>
      </w:tblPr>
      <w:tblGrid>
        <w:gridCol w:w="1371"/>
        <w:gridCol w:w="2598"/>
        <w:gridCol w:w="1651"/>
        <w:gridCol w:w="1665"/>
        <w:gridCol w:w="1411"/>
      </w:tblGrid>
      <w:tr w:rsidR="005B6750" w14:paraId="185546E4" w14:textId="77777777" w:rsidTr="00710A64">
        <w:trPr>
          <w:trHeight w:val="641"/>
          <w:tblCellSpacing w:w="15" w:type="dxa"/>
        </w:trPr>
        <w:tc>
          <w:tcPr>
            <w:tcW w:w="762" w:type="pct"/>
            <w:tcBorders>
              <w:top w:val="single" w:sz="4" w:space="0" w:color="auto"/>
            </w:tcBorders>
            <w:vAlign w:val="center"/>
            <w:hideMark/>
          </w:tcPr>
          <w:p w14:paraId="460B2B6C" w14:textId="77777777" w:rsidR="005B6750" w:rsidRDefault="005B6750" w:rsidP="00710A64">
            <w:pPr>
              <w:pStyle w:val="Tables"/>
              <w:rPr>
                <w:rFonts w:eastAsia="Times New Roman"/>
                <w:sz w:val="20"/>
                <w:szCs w:val="20"/>
              </w:rPr>
            </w:pPr>
          </w:p>
        </w:tc>
        <w:tc>
          <w:tcPr>
            <w:tcW w:w="1477" w:type="pct"/>
            <w:tcBorders>
              <w:top w:val="single" w:sz="4" w:space="0" w:color="auto"/>
            </w:tcBorders>
            <w:vAlign w:val="center"/>
          </w:tcPr>
          <w:p w14:paraId="358D9963" w14:textId="77777777" w:rsidR="005B6750" w:rsidRDefault="005B6750" w:rsidP="00710A64">
            <w:pPr>
              <w:pStyle w:val="Tables"/>
              <w:jc w:val="center"/>
              <w:rPr>
                <w:rFonts w:eastAsia="Times New Roman"/>
              </w:rPr>
            </w:pPr>
            <w:r>
              <w:rPr>
                <w:rFonts w:eastAsia="Times New Roman"/>
              </w:rPr>
              <w:t>Market Mean Price</w:t>
            </w:r>
          </w:p>
        </w:tc>
        <w:tc>
          <w:tcPr>
            <w:tcW w:w="932" w:type="pct"/>
            <w:tcBorders>
              <w:top w:val="single" w:sz="4" w:space="0" w:color="auto"/>
            </w:tcBorders>
            <w:vAlign w:val="center"/>
            <w:hideMark/>
          </w:tcPr>
          <w:p w14:paraId="14424BED" w14:textId="77777777" w:rsidR="005B6750" w:rsidRDefault="005B6750" w:rsidP="00710A64">
            <w:pPr>
              <w:pStyle w:val="Tables"/>
              <w:jc w:val="center"/>
              <w:rPr>
                <w:rFonts w:eastAsia="Times New Roman"/>
              </w:rPr>
            </w:pPr>
            <w:r>
              <w:rPr>
                <w:rFonts w:eastAsia="Times New Roman"/>
              </w:rPr>
              <w:t>Transaction Closed</w:t>
            </w:r>
          </w:p>
        </w:tc>
        <w:tc>
          <w:tcPr>
            <w:tcW w:w="940" w:type="pct"/>
            <w:tcBorders>
              <w:top w:val="single" w:sz="4" w:space="0" w:color="auto"/>
            </w:tcBorders>
            <w:vAlign w:val="center"/>
            <w:hideMark/>
          </w:tcPr>
          <w:p w14:paraId="4E677839" w14:textId="77777777" w:rsidR="005B6750" w:rsidRDefault="005B6750" w:rsidP="00710A64">
            <w:pPr>
              <w:pStyle w:val="Tables"/>
              <w:jc w:val="center"/>
              <w:rPr>
                <w:rFonts w:eastAsia="Times New Roman"/>
              </w:rPr>
            </w:pPr>
            <w:r>
              <w:rPr>
                <w:rFonts w:eastAsia="Times New Roman"/>
              </w:rPr>
              <w:t>Gross Profit</w:t>
            </w:r>
          </w:p>
        </w:tc>
        <w:tc>
          <w:tcPr>
            <w:tcW w:w="785" w:type="pct"/>
            <w:tcBorders>
              <w:top w:val="single" w:sz="4" w:space="0" w:color="auto"/>
            </w:tcBorders>
            <w:vAlign w:val="center"/>
            <w:hideMark/>
          </w:tcPr>
          <w:p w14:paraId="727BF43A" w14:textId="77777777" w:rsidR="005B6750" w:rsidRDefault="005B6750" w:rsidP="00710A64">
            <w:pPr>
              <w:pStyle w:val="Tables"/>
              <w:jc w:val="center"/>
              <w:rPr>
                <w:rFonts w:eastAsia="Times New Roman"/>
              </w:rPr>
            </w:pPr>
            <w:r>
              <w:rPr>
                <w:rFonts w:eastAsia="Times New Roman"/>
              </w:rPr>
              <w:t>Net Sellers Profits</w:t>
            </w:r>
          </w:p>
        </w:tc>
      </w:tr>
      <w:tr w:rsidR="005B6750" w14:paraId="6FA56FB7" w14:textId="77777777" w:rsidTr="00710A64">
        <w:trPr>
          <w:tblCellSpacing w:w="15" w:type="dxa"/>
        </w:trPr>
        <w:tc>
          <w:tcPr>
            <w:tcW w:w="762" w:type="pct"/>
            <w:tcBorders>
              <w:bottom w:val="single" w:sz="4" w:space="0" w:color="auto"/>
            </w:tcBorders>
            <w:vAlign w:val="center"/>
            <w:hideMark/>
          </w:tcPr>
          <w:p w14:paraId="1A8D4902" w14:textId="77777777" w:rsidR="005B6750" w:rsidRDefault="005B6750" w:rsidP="00710A64">
            <w:pPr>
              <w:pStyle w:val="Tables"/>
              <w:rPr>
                <w:rFonts w:eastAsia="Times New Roman"/>
              </w:rPr>
            </w:pPr>
          </w:p>
        </w:tc>
        <w:tc>
          <w:tcPr>
            <w:tcW w:w="1477" w:type="pct"/>
            <w:tcBorders>
              <w:bottom w:val="single" w:sz="4" w:space="0" w:color="auto"/>
            </w:tcBorders>
            <w:vAlign w:val="center"/>
          </w:tcPr>
          <w:p w14:paraId="3936A3B3" w14:textId="77777777" w:rsidR="005B6750" w:rsidRDefault="005B6750" w:rsidP="00710A64">
            <w:pPr>
              <w:pStyle w:val="Tables"/>
              <w:jc w:val="center"/>
              <w:rPr>
                <w:rFonts w:eastAsia="Times New Roman"/>
              </w:rPr>
            </w:pPr>
            <w:r>
              <w:rPr>
                <w:rFonts w:eastAsia="Times New Roman"/>
              </w:rPr>
              <w:t>(1)</w:t>
            </w:r>
          </w:p>
        </w:tc>
        <w:tc>
          <w:tcPr>
            <w:tcW w:w="932" w:type="pct"/>
            <w:tcBorders>
              <w:bottom w:val="single" w:sz="4" w:space="0" w:color="auto"/>
            </w:tcBorders>
            <w:vAlign w:val="center"/>
            <w:hideMark/>
          </w:tcPr>
          <w:p w14:paraId="0032D8EE" w14:textId="77777777" w:rsidR="005B6750" w:rsidRDefault="005B6750" w:rsidP="00710A64">
            <w:pPr>
              <w:pStyle w:val="Tables"/>
              <w:jc w:val="center"/>
              <w:rPr>
                <w:rFonts w:eastAsia="Times New Roman"/>
              </w:rPr>
            </w:pPr>
            <w:r>
              <w:rPr>
                <w:rFonts w:eastAsia="Times New Roman"/>
              </w:rPr>
              <w:t>(2)</w:t>
            </w:r>
          </w:p>
        </w:tc>
        <w:tc>
          <w:tcPr>
            <w:tcW w:w="940" w:type="pct"/>
            <w:tcBorders>
              <w:bottom w:val="single" w:sz="4" w:space="0" w:color="auto"/>
            </w:tcBorders>
            <w:vAlign w:val="center"/>
            <w:hideMark/>
          </w:tcPr>
          <w:p w14:paraId="39B8E034" w14:textId="77777777" w:rsidR="005B6750" w:rsidRDefault="005B6750" w:rsidP="00710A64">
            <w:pPr>
              <w:pStyle w:val="Tables"/>
              <w:jc w:val="center"/>
              <w:rPr>
                <w:rFonts w:eastAsia="Times New Roman"/>
              </w:rPr>
            </w:pPr>
            <w:r>
              <w:rPr>
                <w:rFonts w:eastAsia="Times New Roman"/>
              </w:rPr>
              <w:t>(3)</w:t>
            </w:r>
          </w:p>
        </w:tc>
        <w:tc>
          <w:tcPr>
            <w:tcW w:w="785" w:type="pct"/>
            <w:tcBorders>
              <w:bottom w:val="single" w:sz="4" w:space="0" w:color="auto"/>
            </w:tcBorders>
            <w:vAlign w:val="center"/>
            <w:hideMark/>
          </w:tcPr>
          <w:p w14:paraId="047DF826" w14:textId="77777777" w:rsidR="005B6750" w:rsidRDefault="005B6750" w:rsidP="00710A64">
            <w:pPr>
              <w:pStyle w:val="Tables"/>
              <w:jc w:val="center"/>
              <w:rPr>
                <w:rFonts w:eastAsia="Times New Roman"/>
              </w:rPr>
            </w:pPr>
            <w:r>
              <w:rPr>
                <w:rFonts w:eastAsia="Times New Roman"/>
              </w:rPr>
              <w:t>(4)</w:t>
            </w:r>
          </w:p>
        </w:tc>
      </w:tr>
      <w:tr w:rsidR="005B6750" w14:paraId="0023BFB1" w14:textId="77777777" w:rsidTr="00710A64">
        <w:trPr>
          <w:tblCellSpacing w:w="15" w:type="dxa"/>
        </w:trPr>
        <w:tc>
          <w:tcPr>
            <w:tcW w:w="762" w:type="pct"/>
            <w:vAlign w:val="center"/>
            <w:hideMark/>
          </w:tcPr>
          <w:p w14:paraId="38BBBC3D" w14:textId="77777777" w:rsidR="005B6750" w:rsidRDefault="005B6750" w:rsidP="00710A64">
            <w:pPr>
              <w:pStyle w:val="Tables"/>
              <w:rPr>
                <w:rFonts w:eastAsia="Times New Roman"/>
              </w:rPr>
            </w:pPr>
            <w:r>
              <w:rPr>
                <w:rFonts w:eastAsia="Times New Roman"/>
              </w:rPr>
              <w:t>Commercial Practices</w:t>
            </w:r>
          </w:p>
        </w:tc>
        <w:tc>
          <w:tcPr>
            <w:tcW w:w="1477" w:type="pct"/>
            <w:vAlign w:val="center"/>
          </w:tcPr>
          <w:p w14:paraId="15313446" w14:textId="77777777" w:rsidR="005B6750" w:rsidRDefault="005B6750" w:rsidP="00710A64">
            <w:pPr>
              <w:pStyle w:val="Tables"/>
              <w:jc w:val="center"/>
              <w:rPr>
                <w:rFonts w:eastAsia="Times New Roman"/>
              </w:rPr>
            </w:pPr>
            <w:r>
              <w:rPr>
                <w:rFonts w:eastAsia="Times New Roman"/>
              </w:rPr>
              <w:t>2.735</w:t>
            </w:r>
          </w:p>
        </w:tc>
        <w:tc>
          <w:tcPr>
            <w:tcW w:w="932" w:type="pct"/>
            <w:vAlign w:val="center"/>
            <w:hideMark/>
          </w:tcPr>
          <w:p w14:paraId="1BAF192E" w14:textId="77777777" w:rsidR="005B6750" w:rsidRDefault="005B6750" w:rsidP="00710A64">
            <w:pPr>
              <w:pStyle w:val="Tables"/>
              <w:jc w:val="center"/>
              <w:rPr>
                <w:rFonts w:eastAsia="Times New Roman"/>
              </w:rPr>
            </w:pPr>
            <w:r>
              <w:rPr>
                <w:rFonts w:eastAsia="Times New Roman"/>
              </w:rPr>
              <w:t>-0.048</w:t>
            </w:r>
          </w:p>
        </w:tc>
        <w:tc>
          <w:tcPr>
            <w:tcW w:w="940" w:type="pct"/>
            <w:vAlign w:val="center"/>
            <w:hideMark/>
          </w:tcPr>
          <w:p w14:paraId="2765B295" w14:textId="77777777" w:rsidR="005B6750" w:rsidRDefault="005B6750" w:rsidP="00710A64">
            <w:pPr>
              <w:pStyle w:val="Tables"/>
              <w:jc w:val="center"/>
              <w:rPr>
                <w:rFonts w:eastAsia="Times New Roman"/>
              </w:rPr>
            </w:pPr>
            <w:r>
              <w:rPr>
                <w:rFonts w:eastAsia="Times New Roman"/>
              </w:rPr>
              <w:t>1.492</w:t>
            </w:r>
          </w:p>
        </w:tc>
        <w:tc>
          <w:tcPr>
            <w:tcW w:w="785" w:type="pct"/>
            <w:vAlign w:val="center"/>
            <w:hideMark/>
          </w:tcPr>
          <w:p w14:paraId="0380D2CD" w14:textId="77777777" w:rsidR="005B6750" w:rsidRDefault="005B6750" w:rsidP="00710A64">
            <w:pPr>
              <w:pStyle w:val="Tables"/>
              <w:jc w:val="center"/>
              <w:rPr>
                <w:rFonts w:eastAsia="Times New Roman"/>
              </w:rPr>
            </w:pPr>
            <w:r>
              <w:rPr>
                <w:rFonts w:eastAsia="Times New Roman"/>
              </w:rPr>
              <w:t>1.508</w:t>
            </w:r>
          </w:p>
        </w:tc>
      </w:tr>
      <w:tr w:rsidR="005B6750" w14:paraId="5B764843" w14:textId="77777777" w:rsidTr="00710A64">
        <w:trPr>
          <w:tblCellSpacing w:w="15" w:type="dxa"/>
        </w:trPr>
        <w:tc>
          <w:tcPr>
            <w:tcW w:w="762" w:type="pct"/>
            <w:vAlign w:val="center"/>
            <w:hideMark/>
          </w:tcPr>
          <w:p w14:paraId="767DAC22" w14:textId="77777777" w:rsidR="005B6750" w:rsidRDefault="005B6750" w:rsidP="00710A64">
            <w:pPr>
              <w:pStyle w:val="Tables"/>
              <w:rPr>
                <w:rFonts w:eastAsia="Times New Roman"/>
              </w:rPr>
            </w:pPr>
          </w:p>
        </w:tc>
        <w:tc>
          <w:tcPr>
            <w:tcW w:w="1477" w:type="pct"/>
            <w:vAlign w:val="center"/>
          </w:tcPr>
          <w:p w14:paraId="4E419574" w14:textId="77777777" w:rsidR="005B6750" w:rsidRDefault="005B6750" w:rsidP="00710A64">
            <w:pPr>
              <w:pStyle w:val="Tables"/>
              <w:jc w:val="center"/>
              <w:rPr>
                <w:rFonts w:eastAsia="Times New Roman"/>
              </w:rPr>
            </w:pPr>
            <w:r>
              <w:rPr>
                <w:rFonts w:eastAsia="Times New Roman"/>
              </w:rPr>
              <w:t>(4.290)</w:t>
            </w:r>
          </w:p>
        </w:tc>
        <w:tc>
          <w:tcPr>
            <w:tcW w:w="932" w:type="pct"/>
            <w:vAlign w:val="center"/>
            <w:hideMark/>
          </w:tcPr>
          <w:p w14:paraId="450F6A2B" w14:textId="77777777" w:rsidR="005B6750" w:rsidRDefault="005B6750" w:rsidP="00710A64">
            <w:pPr>
              <w:pStyle w:val="Tables"/>
              <w:jc w:val="center"/>
              <w:rPr>
                <w:rFonts w:eastAsia="Times New Roman"/>
              </w:rPr>
            </w:pPr>
            <w:r>
              <w:rPr>
                <w:rFonts w:eastAsia="Times New Roman"/>
              </w:rPr>
              <w:t>(0.030)</w:t>
            </w:r>
          </w:p>
        </w:tc>
        <w:tc>
          <w:tcPr>
            <w:tcW w:w="940" w:type="pct"/>
            <w:vAlign w:val="center"/>
            <w:hideMark/>
          </w:tcPr>
          <w:p w14:paraId="7B68C417" w14:textId="77777777" w:rsidR="005B6750" w:rsidRDefault="005B6750" w:rsidP="00710A64">
            <w:pPr>
              <w:pStyle w:val="Tables"/>
              <w:jc w:val="center"/>
              <w:rPr>
                <w:rFonts w:eastAsia="Times New Roman"/>
              </w:rPr>
            </w:pPr>
            <w:r>
              <w:rPr>
                <w:rFonts w:eastAsia="Times New Roman"/>
              </w:rPr>
              <w:t>(2.312)</w:t>
            </w:r>
          </w:p>
        </w:tc>
        <w:tc>
          <w:tcPr>
            <w:tcW w:w="785" w:type="pct"/>
            <w:vAlign w:val="center"/>
            <w:hideMark/>
          </w:tcPr>
          <w:p w14:paraId="7D37A9B4" w14:textId="77777777" w:rsidR="005B6750" w:rsidRDefault="005B6750" w:rsidP="00710A64">
            <w:pPr>
              <w:pStyle w:val="Tables"/>
              <w:jc w:val="center"/>
              <w:rPr>
                <w:rFonts w:eastAsia="Times New Roman"/>
              </w:rPr>
            </w:pPr>
            <w:r>
              <w:rPr>
                <w:rFonts w:eastAsia="Times New Roman"/>
              </w:rPr>
              <w:t>(2.182)</w:t>
            </w:r>
          </w:p>
        </w:tc>
      </w:tr>
      <w:tr w:rsidR="005B6750" w14:paraId="0E7459F9" w14:textId="77777777" w:rsidTr="00710A64">
        <w:trPr>
          <w:tblCellSpacing w:w="15" w:type="dxa"/>
        </w:trPr>
        <w:tc>
          <w:tcPr>
            <w:tcW w:w="762" w:type="pct"/>
            <w:vAlign w:val="center"/>
            <w:hideMark/>
          </w:tcPr>
          <w:p w14:paraId="63BF2581" w14:textId="77777777" w:rsidR="005B6750" w:rsidRDefault="005B6750" w:rsidP="00710A64">
            <w:pPr>
              <w:pStyle w:val="Tables"/>
              <w:rPr>
                <w:rFonts w:eastAsia="Times New Roman"/>
              </w:rPr>
            </w:pPr>
            <w:r>
              <w:rPr>
                <w:rFonts w:eastAsia="Times New Roman"/>
              </w:rPr>
              <w:t>Formal Sanctions</w:t>
            </w:r>
          </w:p>
        </w:tc>
        <w:tc>
          <w:tcPr>
            <w:tcW w:w="1477" w:type="pct"/>
            <w:vAlign w:val="center"/>
          </w:tcPr>
          <w:p w14:paraId="370EA6AC" w14:textId="77777777" w:rsidR="005B6750" w:rsidRDefault="005B6750" w:rsidP="00710A64">
            <w:pPr>
              <w:pStyle w:val="Tables"/>
              <w:jc w:val="center"/>
              <w:rPr>
                <w:rFonts w:eastAsia="Times New Roman"/>
              </w:rPr>
            </w:pPr>
            <w:r>
              <w:rPr>
                <w:rFonts w:eastAsia="Times New Roman"/>
              </w:rPr>
              <w:t>2.733</w:t>
            </w:r>
          </w:p>
        </w:tc>
        <w:tc>
          <w:tcPr>
            <w:tcW w:w="932" w:type="pct"/>
            <w:vAlign w:val="center"/>
            <w:hideMark/>
          </w:tcPr>
          <w:p w14:paraId="481CE209" w14:textId="77777777" w:rsidR="005B6750" w:rsidRDefault="005B6750" w:rsidP="00710A64">
            <w:pPr>
              <w:pStyle w:val="Tables"/>
              <w:jc w:val="center"/>
              <w:rPr>
                <w:rFonts w:eastAsia="Times New Roman"/>
              </w:rPr>
            </w:pPr>
            <w:r>
              <w:rPr>
                <w:rFonts w:eastAsia="Times New Roman"/>
              </w:rPr>
              <w:t>-0.013</w:t>
            </w:r>
          </w:p>
        </w:tc>
        <w:tc>
          <w:tcPr>
            <w:tcW w:w="940" w:type="pct"/>
            <w:vAlign w:val="center"/>
            <w:hideMark/>
          </w:tcPr>
          <w:p w14:paraId="17184D09" w14:textId="77777777" w:rsidR="005B6750" w:rsidRDefault="005B6750" w:rsidP="00710A64">
            <w:pPr>
              <w:pStyle w:val="Tables"/>
              <w:jc w:val="center"/>
              <w:rPr>
                <w:rFonts w:eastAsia="Times New Roman"/>
              </w:rPr>
            </w:pPr>
            <w:r>
              <w:rPr>
                <w:rFonts w:eastAsia="Times New Roman"/>
              </w:rPr>
              <w:t>4.232</w:t>
            </w:r>
          </w:p>
        </w:tc>
        <w:tc>
          <w:tcPr>
            <w:tcW w:w="785" w:type="pct"/>
            <w:vAlign w:val="center"/>
            <w:hideMark/>
          </w:tcPr>
          <w:p w14:paraId="1A501CFA" w14:textId="77777777" w:rsidR="005B6750" w:rsidRDefault="005B6750" w:rsidP="00710A64">
            <w:pPr>
              <w:pStyle w:val="Tables"/>
              <w:jc w:val="center"/>
              <w:rPr>
                <w:rFonts w:eastAsia="Times New Roman"/>
              </w:rPr>
            </w:pPr>
            <w:r>
              <w:rPr>
                <w:rFonts w:eastAsia="Times New Roman"/>
              </w:rPr>
              <w:t>-4.736</w:t>
            </w:r>
            <w:r>
              <w:rPr>
                <w:rFonts w:eastAsia="Times New Roman"/>
                <w:vertAlign w:val="superscript"/>
              </w:rPr>
              <w:t>*</w:t>
            </w:r>
          </w:p>
        </w:tc>
      </w:tr>
      <w:tr w:rsidR="005B6750" w14:paraId="0FC1FD3D" w14:textId="77777777" w:rsidTr="00710A64">
        <w:trPr>
          <w:tblCellSpacing w:w="15" w:type="dxa"/>
        </w:trPr>
        <w:tc>
          <w:tcPr>
            <w:tcW w:w="762" w:type="pct"/>
            <w:vAlign w:val="center"/>
            <w:hideMark/>
          </w:tcPr>
          <w:p w14:paraId="20AC4CF2" w14:textId="77777777" w:rsidR="005B6750" w:rsidRDefault="005B6750" w:rsidP="00710A64">
            <w:pPr>
              <w:pStyle w:val="Tables"/>
              <w:rPr>
                <w:rFonts w:eastAsia="Times New Roman"/>
              </w:rPr>
            </w:pPr>
          </w:p>
        </w:tc>
        <w:tc>
          <w:tcPr>
            <w:tcW w:w="1477" w:type="pct"/>
            <w:vAlign w:val="center"/>
          </w:tcPr>
          <w:p w14:paraId="0D10AF31" w14:textId="77777777" w:rsidR="005B6750" w:rsidRDefault="005B6750" w:rsidP="00710A64">
            <w:pPr>
              <w:pStyle w:val="Tables"/>
              <w:jc w:val="center"/>
              <w:rPr>
                <w:rFonts w:eastAsia="Times New Roman"/>
              </w:rPr>
            </w:pPr>
            <w:r>
              <w:rPr>
                <w:rFonts w:eastAsia="Times New Roman"/>
              </w:rPr>
              <w:t>(3.696)</w:t>
            </w:r>
          </w:p>
        </w:tc>
        <w:tc>
          <w:tcPr>
            <w:tcW w:w="932" w:type="pct"/>
            <w:vAlign w:val="center"/>
            <w:hideMark/>
          </w:tcPr>
          <w:p w14:paraId="541DA505" w14:textId="77777777" w:rsidR="005B6750" w:rsidRDefault="005B6750" w:rsidP="00710A64">
            <w:pPr>
              <w:pStyle w:val="Tables"/>
              <w:jc w:val="center"/>
              <w:rPr>
                <w:rFonts w:eastAsia="Times New Roman"/>
              </w:rPr>
            </w:pPr>
            <w:r>
              <w:rPr>
                <w:rFonts w:eastAsia="Times New Roman"/>
              </w:rPr>
              <w:t>(0.036)</w:t>
            </w:r>
          </w:p>
        </w:tc>
        <w:tc>
          <w:tcPr>
            <w:tcW w:w="940" w:type="pct"/>
            <w:vAlign w:val="center"/>
            <w:hideMark/>
          </w:tcPr>
          <w:p w14:paraId="10508FD4" w14:textId="77777777" w:rsidR="005B6750" w:rsidRDefault="005B6750" w:rsidP="00710A64">
            <w:pPr>
              <w:pStyle w:val="Tables"/>
              <w:jc w:val="center"/>
              <w:rPr>
                <w:rFonts w:eastAsia="Times New Roman"/>
              </w:rPr>
            </w:pPr>
            <w:r>
              <w:rPr>
                <w:rFonts w:eastAsia="Times New Roman"/>
              </w:rPr>
              <w:t>(2.955)</w:t>
            </w:r>
          </w:p>
        </w:tc>
        <w:tc>
          <w:tcPr>
            <w:tcW w:w="785" w:type="pct"/>
            <w:vAlign w:val="center"/>
            <w:hideMark/>
          </w:tcPr>
          <w:p w14:paraId="7DAA77C7" w14:textId="77777777" w:rsidR="005B6750" w:rsidRDefault="005B6750" w:rsidP="00710A64">
            <w:pPr>
              <w:pStyle w:val="Tables"/>
              <w:jc w:val="center"/>
              <w:rPr>
                <w:rFonts w:eastAsia="Times New Roman"/>
              </w:rPr>
            </w:pPr>
            <w:r>
              <w:rPr>
                <w:rFonts w:eastAsia="Times New Roman"/>
              </w:rPr>
              <w:t>(2.544)</w:t>
            </w:r>
          </w:p>
        </w:tc>
      </w:tr>
      <w:tr w:rsidR="005B6750" w14:paraId="53EE2DF1" w14:textId="77777777" w:rsidTr="00710A64">
        <w:trPr>
          <w:tblCellSpacing w:w="15" w:type="dxa"/>
        </w:trPr>
        <w:tc>
          <w:tcPr>
            <w:tcW w:w="762" w:type="pct"/>
            <w:vAlign w:val="center"/>
            <w:hideMark/>
          </w:tcPr>
          <w:p w14:paraId="201CCF06" w14:textId="77777777" w:rsidR="005B6750" w:rsidRDefault="005B6750" w:rsidP="00710A64">
            <w:pPr>
              <w:pStyle w:val="Tables"/>
              <w:rPr>
                <w:rFonts w:eastAsia="Times New Roman"/>
              </w:rPr>
            </w:pPr>
            <w:r>
              <w:rPr>
                <w:rFonts w:eastAsia="Times New Roman"/>
              </w:rPr>
              <w:t>Informal Sanctions</w:t>
            </w:r>
          </w:p>
        </w:tc>
        <w:tc>
          <w:tcPr>
            <w:tcW w:w="1477" w:type="pct"/>
            <w:vAlign w:val="center"/>
          </w:tcPr>
          <w:p w14:paraId="0C3EE60F" w14:textId="77777777" w:rsidR="005B6750" w:rsidRDefault="005B6750" w:rsidP="00710A64">
            <w:pPr>
              <w:pStyle w:val="Tables"/>
              <w:jc w:val="center"/>
              <w:rPr>
                <w:rFonts w:eastAsia="Times New Roman"/>
              </w:rPr>
            </w:pPr>
            <w:r>
              <w:rPr>
                <w:rFonts w:eastAsia="Times New Roman"/>
              </w:rPr>
              <w:t>4.628</w:t>
            </w:r>
          </w:p>
        </w:tc>
        <w:tc>
          <w:tcPr>
            <w:tcW w:w="932" w:type="pct"/>
            <w:vAlign w:val="center"/>
            <w:hideMark/>
          </w:tcPr>
          <w:p w14:paraId="640C8EDC" w14:textId="77777777" w:rsidR="005B6750" w:rsidRDefault="005B6750" w:rsidP="00710A64">
            <w:pPr>
              <w:pStyle w:val="Tables"/>
              <w:jc w:val="center"/>
              <w:rPr>
                <w:rFonts w:eastAsia="Times New Roman"/>
              </w:rPr>
            </w:pPr>
            <w:r>
              <w:rPr>
                <w:rFonts w:eastAsia="Times New Roman"/>
              </w:rPr>
              <w:t>-0.073</w:t>
            </w:r>
            <w:r>
              <w:rPr>
                <w:rFonts w:eastAsia="Times New Roman"/>
                <w:vertAlign w:val="superscript"/>
              </w:rPr>
              <w:t>*</w:t>
            </w:r>
          </w:p>
        </w:tc>
        <w:tc>
          <w:tcPr>
            <w:tcW w:w="940" w:type="pct"/>
            <w:vAlign w:val="center"/>
            <w:hideMark/>
          </w:tcPr>
          <w:p w14:paraId="50D17DB7" w14:textId="77777777" w:rsidR="005B6750" w:rsidRDefault="005B6750" w:rsidP="00710A64">
            <w:pPr>
              <w:pStyle w:val="Tables"/>
              <w:jc w:val="center"/>
              <w:rPr>
                <w:rFonts w:eastAsia="Times New Roman"/>
              </w:rPr>
            </w:pPr>
            <w:r>
              <w:rPr>
                <w:rFonts w:eastAsia="Times New Roman"/>
              </w:rPr>
              <w:t>1.304</w:t>
            </w:r>
          </w:p>
        </w:tc>
        <w:tc>
          <w:tcPr>
            <w:tcW w:w="785" w:type="pct"/>
            <w:vAlign w:val="center"/>
            <w:hideMark/>
          </w:tcPr>
          <w:p w14:paraId="0FD0AF9F" w14:textId="77777777" w:rsidR="005B6750" w:rsidRDefault="005B6750" w:rsidP="00710A64">
            <w:pPr>
              <w:pStyle w:val="Tables"/>
              <w:jc w:val="center"/>
              <w:rPr>
                <w:rFonts w:eastAsia="Times New Roman"/>
              </w:rPr>
            </w:pPr>
            <w:r>
              <w:rPr>
                <w:rFonts w:eastAsia="Times New Roman"/>
              </w:rPr>
              <w:t>1.149</w:t>
            </w:r>
          </w:p>
        </w:tc>
      </w:tr>
      <w:tr w:rsidR="005B6750" w14:paraId="036790D4" w14:textId="77777777" w:rsidTr="00710A64">
        <w:trPr>
          <w:tblCellSpacing w:w="15" w:type="dxa"/>
        </w:trPr>
        <w:tc>
          <w:tcPr>
            <w:tcW w:w="762" w:type="pct"/>
            <w:vAlign w:val="center"/>
            <w:hideMark/>
          </w:tcPr>
          <w:p w14:paraId="736565D1" w14:textId="77777777" w:rsidR="005B6750" w:rsidRDefault="005B6750" w:rsidP="00710A64">
            <w:pPr>
              <w:pStyle w:val="Tables"/>
              <w:rPr>
                <w:rFonts w:eastAsia="Times New Roman"/>
              </w:rPr>
            </w:pPr>
          </w:p>
        </w:tc>
        <w:tc>
          <w:tcPr>
            <w:tcW w:w="1477" w:type="pct"/>
            <w:vAlign w:val="center"/>
          </w:tcPr>
          <w:p w14:paraId="13FFF904" w14:textId="77777777" w:rsidR="005B6750" w:rsidRDefault="005B6750" w:rsidP="00710A64">
            <w:pPr>
              <w:pStyle w:val="Tables"/>
              <w:jc w:val="center"/>
              <w:rPr>
                <w:rFonts w:eastAsia="Times New Roman"/>
              </w:rPr>
            </w:pPr>
            <w:r>
              <w:rPr>
                <w:rFonts w:eastAsia="Times New Roman"/>
              </w:rPr>
              <w:t>(3.612)</w:t>
            </w:r>
          </w:p>
        </w:tc>
        <w:tc>
          <w:tcPr>
            <w:tcW w:w="932" w:type="pct"/>
            <w:vAlign w:val="center"/>
            <w:hideMark/>
          </w:tcPr>
          <w:p w14:paraId="5E00CC1E" w14:textId="77777777" w:rsidR="005B6750" w:rsidRDefault="005B6750" w:rsidP="00710A64">
            <w:pPr>
              <w:pStyle w:val="Tables"/>
              <w:jc w:val="center"/>
              <w:rPr>
                <w:rFonts w:eastAsia="Times New Roman"/>
              </w:rPr>
            </w:pPr>
            <w:r>
              <w:rPr>
                <w:rFonts w:eastAsia="Times New Roman"/>
              </w:rPr>
              <w:t>(0.040)</w:t>
            </w:r>
          </w:p>
        </w:tc>
        <w:tc>
          <w:tcPr>
            <w:tcW w:w="940" w:type="pct"/>
            <w:vAlign w:val="center"/>
            <w:hideMark/>
          </w:tcPr>
          <w:p w14:paraId="5FA3878B" w14:textId="77777777" w:rsidR="005B6750" w:rsidRDefault="005B6750" w:rsidP="00710A64">
            <w:pPr>
              <w:pStyle w:val="Tables"/>
              <w:jc w:val="center"/>
              <w:rPr>
                <w:rFonts w:eastAsia="Times New Roman"/>
              </w:rPr>
            </w:pPr>
            <w:r>
              <w:rPr>
                <w:rFonts w:eastAsia="Times New Roman"/>
              </w:rPr>
              <w:t>(2.291)</w:t>
            </w:r>
          </w:p>
        </w:tc>
        <w:tc>
          <w:tcPr>
            <w:tcW w:w="785" w:type="pct"/>
            <w:vAlign w:val="center"/>
            <w:hideMark/>
          </w:tcPr>
          <w:p w14:paraId="1F93C7E0" w14:textId="77777777" w:rsidR="005B6750" w:rsidRDefault="005B6750" w:rsidP="00710A64">
            <w:pPr>
              <w:pStyle w:val="Tables"/>
              <w:jc w:val="center"/>
              <w:rPr>
                <w:rFonts w:eastAsia="Times New Roman"/>
              </w:rPr>
            </w:pPr>
            <w:r>
              <w:rPr>
                <w:rFonts w:eastAsia="Times New Roman"/>
              </w:rPr>
              <w:t>(2.282)</w:t>
            </w:r>
          </w:p>
        </w:tc>
      </w:tr>
      <w:tr w:rsidR="005B6750" w14:paraId="5A20F68B" w14:textId="77777777" w:rsidTr="00710A64">
        <w:trPr>
          <w:tblCellSpacing w:w="15" w:type="dxa"/>
        </w:trPr>
        <w:tc>
          <w:tcPr>
            <w:tcW w:w="762" w:type="pct"/>
            <w:vAlign w:val="center"/>
            <w:hideMark/>
          </w:tcPr>
          <w:p w14:paraId="372BCE30" w14:textId="77777777" w:rsidR="005B6750" w:rsidRDefault="005B6750" w:rsidP="00710A64">
            <w:pPr>
              <w:pStyle w:val="Tables"/>
              <w:rPr>
                <w:rFonts w:eastAsia="Times New Roman"/>
              </w:rPr>
            </w:pPr>
            <w:r>
              <w:rPr>
                <w:rFonts w:eastAsia="Times New Roman"/>
              </w:rPr>
              <w:t>Regret</w:t>
            </w:r>
          </w:p>
        </w:tc>
        <w:tc>
          <w:tcPr>
            <w:tcW w:w="1477" w:type="pct"/>
            <w:vAlign w:val="center"/>
          </w:tcPr>
          <w:p w14:paraId="2691D19E" w14:textId="77777777" w:rsidR="005B6750" w:rsidRDefault="005B6750" w:rsidP="00710A64">
            <w:pPr>
              <w:pStyle w:val="Tables"/>
              <w:jc w:val="center"/>
              <w:rPr>
                <w:rFonts w:eastAsia="Times New Roman"/>
              </w:rPr>
            </w:pPr>
            <w:r>
              <w:rPr>
                <w:rFonts w:eastAsia="Times New Roman"/>
              </w:rPr>
              <w:t>2.000</w:t>
            </w:r>
          </w:p>
        </w:tc>
        <w:tc>
          <w:tcPr>
            <w:tcW w:w="932" w:type="pct"/>
            <w:vAlign w:val="center"/>
            <w:hideMark/>
          </w:tcPr>
          <w:p w14:paraId="43236D7E" w14:textId="77777777" w:rsidR="005B6750" w:rsidRDefault="005B6750" w:rsidP="00710A64">
            <w:pPr>
              <w:pStyle w:val="Tables"/>
              <w:jc w:val="center"/>
              <w:rPr>
                <w:rFonts w:eastAsia="Times New Roman"/>
              </w:rPr>
            </w:pPr>
            <w:r>
              <w:rPr>
                <w:rFonts w:eastAsia="Times New Roman"/>
              </w:rPr>
              <w:t>-0.048</w:t>
            </w:r>
          </w:p>
        </w:tc>
        <w:tc>
          <w:tcPr>
            <w:tcW w:w="940" w:type="pct"/>
            <w:vAlign w:val="center"/>
            <w:hideMark/>
          </w:tcPr>
          <w:p w14:paraId="412C6579" w14:textId="77777777" w:rsidR="005B6750" w:rsidRDefault="005B6750" w:rsidP="00710A64">
            <w:pPr>
              <w:pStyle w:val="Tables"/>
              <w:jc w:val="center"/>
              <w:rPr>
                <w:rFonts w:eastAsia="Times New Roman"/>
              </w:rPr>
            </w:pPr>
            <w:r>
              <w:rPr>
                <w:rFonts w:eastAsia="Times New Roman"/>
              </w:rPr>
              <w:t>0.533</w:t>
            </w:r>
          </w:p>
        </w:tc>
        <w:tc>
          <w:tcPr>
            <w:tcW w:w="785" w:type="pct"/>
            <w:vAlign w:val="center"/>
            <w:hideMark/>
          </w:tcPr>
          <w:p w14:paraId="5F3D9F9B" w14:textId="77777777" w:rsidR="005B6750" w:rsidRDefault="005B6750" w:rsidP="00710A64">
            <w:pPr>
              <w:pStyle w:val="Tables"/>
              <w:jc w:val="center"/>
              <w:rPr>
                <w:rFonts w:eastAsia="Times New Roman"/>
              </w:rPr>
            </w:pPr>
            <w:r>
              <w:rPr>
                <w:rFonts w:eastAsia="Times New Roman"/>
              </w:rPr>
              <w:t>0.502</w:t>
            </w:r>
          </w:p>
        </w:tc>
      </w:tr>
      <w:tr w:rsidR="005B6750" w14:paraId="298B6BAD" w14:textId="77777777" w:rsidTr="00710A64">
        <w:trPr>
          <w:tblCellSpacing w:w="15" w:type="dxa"/>
        </w:trPr>
        <w:tc>
          <w:tcPr>
            <w:tcW w:w="762" w:type="pct"/>
            <w:vAlign w:val="center"/>
            <w:hideMark/>
          </w:tcPr>
          <w:p w14:paraId="3D9F084A" w14:textId="77777777" w:rsidR="005B6750" w:rsidRDefault="005B6750" w:rsidP="00710A64">
            <w:pPr>
              <w:pStyle w:val="Tables"/>
              <w:rPr>
                <w:rFonts w:eastAsia="Times New Roman"/>
              </w:rPr>
            </w:pPr>
          </w:p>
        </w:tc>
        <w:tc>
          <w:tcPr>
            <w:tcW w:w="1477" w:type="pct"/>
            <w:vAlign w:val="center"/>
          </w:tcPr>
          <w:p w14:paraId="190DD7E6" w14:textId="77777777" w:rsidR="005B6750" w:rsidRDefault="005B6750" w:rsidP="00710A64">
            <w:pPr>
              <w:pStyle w:val="Tables"/>
              <w:jc w:val="center"/>
              <w:rPr>
                <w:rFonts w:eastAsia="Times New Roman"/>
              </w:rPr>
            </w:pPr>
            <w:r>
              <w:rPr>
                <w:rFonts w:eastAsia="Times New Roman"/>
              </w:rPr>
              <w:t>(3.749)</w:t>
            </w:r>
          </w:p>
        </w:tc>
        <w:tc>
          <w:tcPr>
            <w:tcW w:w="932" w:type="pct"/>
            <w:vAlign w:val="center"/>
            <w:hideMark/>
          </w:tcPr>
          <w:p w14:paraId="4320644D" w14:textId="77777777" w:rsidR="005B6750" w:rsidRDefault="005B6750" w:rsidP="00710A64">
            <w:pPr>
              <w:pStyle w:val="Tables"/>
              <w:jc w:val="center"/>
              <w:rPr>
                <w:rFonts w:eastAsia="Times New Roman"/>
              </w:rPr>
            </w:pPr>
            <w:r>
              <w:rPr>
                <w:rFonts w:eastAsia="Times New Roman"/>
              </w:rPr>
              <w:t>(0.034)</w:t>
            </w:r>
          </w:p>
        </w:tc>
        <w:tc>
          <w:tcPr>
            <w:tcW w:w="940" w:type="pct"/>
            <w:vAlign w:val="center"/>
            <w:hideMark/>
          </w:tcPr>
          <w:p w14:paraId="4CB4BE54" w14:textId="77777777" w:rsidR="005B6750" w:rsidRDefault="005B6750" w:rsidP="00710A64">
            <w:pPr>
              <w:pStyle w:val="Tables"/>
              <w:jc w:val="center"/>
              <w:rPr>
                <w:rFonts w:eastAsia="Times New Roman"/>
              </w:rPr>
            </w:pPr>
            <w:r>
              <w:rPr>
                <w:rFonts w:eastAsia="Times New Roman"/>
              </w:rPr>
              <w:t>(2.036)</w:t>
            </w:r>
          </w:p>
        </w:tc>
        <w:tc>
          <w:tcPr>
            <w:tcW w:w="785" w:type="pct"/>
            <w:vAlign w:val="center"/>
            <w:hideMark/>
          </w:tcPr>
          <w:p w14:paraId="4CF68CFC" w14:textId="77777777" w:rsidR="005B6750" w:rsidRDefault="005B6750" w:rsidP="00710A64">
            <w:pPr>
              <w:pStyle w:val="Tables"/>
              <w:jc w:val="center"/>
              <w:rPr>
                <w:rFonts w:eastAsia="Times New Roman"/>
              </w:rPr>
            </w:pPr>
            <w:r>
              <w:rPr>
                <w:rFonts w:eastAsia="Times New Roman"/>
              </w:rPr>
              <w:t>(1.988)</w:t>
            </w:r>
          </w:p>
        </w:tc>
      </w:tr>
      <w:tr w:rsidR="005B6750" w14:paraId="05ABF6A7" w14:textId="77777777" w:rsidTr="00710A64">
        <w:trPr>
          <w:tblCellSpacing w:w="15" w:type="dxa"/>
        </w:trPr>
        <w:tc>
          <w:tcPr>
            <w:tcW w:w="762" w:type="pct"/>
            <w:vAlign w:val="center"/>
            <w:hideMark/>
          </w:tcPr>
          <w:p w14:paraId="64AE944D" w14:textId="77777777" w:rsidR="005B6750" w:rsidRDefault="005B6750" w:rsidP="00710A64">
            <w:pPr>
              <w:pStyle w:val="Tables"/>
              <w:rPr>
                <w:rFonts w:eastAsia="Times New Roman"/>
              </w:rPr>
            </w:pPr>
            <w:r>
              <w:rPr>
                <w:rFonts w:eastAsia="Times New Roman"/>
              </w:rPr>
              <w:t>Constant</w:t>
            </w:r>
          </w:p>
        </w:tc>
        <w:tc>
          <w:tcPr>
            <w:tcW w:w="1477" w:type="pct"/>
            <w:vAlign w:val="center"/>
          </w:tcPr>
          <w:p w14:paraId="187C409E" w14:textId="77777777" w:rsidR="005B6750" w:rsidRDefault="005B6750" w:rsidP="00710A64">
            <w:pPr>
              <w:pStyle w:val="Tables"/>
              <w:jc w:val="center"/>
              <w:rPr>
                <w:rFonts w:eastAsia="Times New Roman"/>
              </w:rPr>
            </w:pPr>
            <w:r>
              <w:rPr>
                <w:rFonts w:eastAsia="Times New Roman"/>
              </w:rPr>
              <w:t>43.667</w:t>
            </w:r>
            <w:r>
              <w:rPr>
                <w:rFonts w:eastAsia="Times New Roman"/>
                <w:vertAlign w:val="superscript"/>
              </w:rPr>
              <w:t>***</w:t>
            </w:r>
          </w:p>
        </w:tc>
        <w:tc>
          <w:tcPr>
            <w:tcW w:w="932" w:type="pct"/>
            <w:vAlign w:val="center"/>
            <w:hideMark/>
          </w:tcPr>
          <w:p w14:paraId="71C79D6D" w14:textId="77777777" w:rsidR="005B6750" w:rsidRDefault="005B6750" w:rsidP="00710A64">
            <w:pPr>
              <w:pStyle w:val="Tables"/>
              <w:jc w:val="center"/>
              <w:rPr>
                <w:rFonts w:eastAsia="Times New Roman"/>
              </w:rPr>
            </w:pPr>
            <w:r>
              <w:rPr>
                <w:rFonts w:eastAsia="Times New Roman"/>
              </w:rPr>
              <w:t>0.289</w:t>
            </w:r>
            <w:r>
              <w:rPr>
                <w:rFonts w:eastAsia="Times New Roman"/>
                <w:vertAlign w:val="superscript"/>
              </w:rPr>
              <w:t>**</w:t>
            </w:r>
          </w:p>
        </w:tc>
        <w:tc>
          <w:tcPr>
            <w:tcW w:w="940" w:type="pct"/>
            <w:vAlign w:val="center"/>
            <w:hideMark/>
          </w:tcPr>
          <w:p w14:paraId="11EF4900" w14:textId="77777777" w:rsidR="005B6750" w:rsidRDefault="005B6750" w:rsidP="00710A64">
            <w:pPr>
              <w:pStyle w:val="Tables"/>
              <w:jc w:val="center"/>
              <w:rPr>
                <w:rFonts w:eastAsia="Times New Roman"/>
              </w:rPr>
            </w:pPr>
            <w:r>
              <w:rPr>
                <w:rFonts w:eastAsia="Times New Roman"/>
              </w:rPr>
              <w:t>7.610</w:t>
            </w:r>
            <w:r>
              <w:rPr>
                <w:rFonts w:eastAsia="Times New Roman"/>
                <w:vertAlign w:val="superscript"/>
              </w:rPr>
              <w:t>**</w:t>
            </w:r>
          </w:p>
        </w:tc>
        <w:tc>
          <w:tcPr>
            <w:tcW w:w="785" w:type="pct"/>
            <w:vAlign w:val="center"/>
            <w:hideMark/>
          </w:tcPr>
          <w:p w14:paraId="23D035C8" w14:textId="77777777" w:rsidR="005B6750" w:rsidRDefault="005B6750" w:rsidP="00710A64">
            <w:pPr>
              <w:pStyle w:val="Tables"/>
              <w:jc w:val="center"/>
              <w:rPr>
                <w:rFonts w:eastAsia="Times New Roman"/>
              </w:rPr>
            </w:pPr>
            <w:r>
              <w:rPr>
                <w:rFonts w:eastAsia="Times New Roman"/>
              </w:rPr>
              <w:t>5.426</w:t>
            </w:r>
          </w:p>
        </w:tc>
      </w:tr>
      <w:tr w:rsidR="005B6750" w14:paraId="47B37C59" w14:textId="77777777" w:rsidTr="00710A64">
        <w:trPr>
          <w:tblCellSpacing w:w="15" w:type="dxa"/>
        </w:trPr>
        <w:tc>
          <w:tcPr>
            <w:tcW w:w="762" w:type="pct"/>
            <w:vAlign w:val="center"/>
            <w:hideMark/>
          </w:tcPr>
          <w:p w14:paraId="3122129A" w14:textId="77777777" w:rsidR="005B6750" w:rsidRDefault="005B6750" w:rsidP="00710A64">
            <w:pPr>
              <w:pStyle w:val="Tables"/>
              <w:rPr>
                <w:rFonts w:eastAsia="Times New Roman"/>
              </w:rPr>
            </w:pPr>
          </w:p>
        </w:tc>
        <w:tc>
          <w:tcPr>
            <w:tcW w:w="1477" w:type="pct"/>
            <w:vAlign w:val="center"/>
          </w:tcPr>
          <w:p w14:paraId="03305EB0" w14:textId="77777777" w:rsidR="005B6750" w:rsidRDefault="005B6750" w:rsidP="00710A64">
            <w:pPr>
              <w:pStyle w:val="Tables"/>
              <w:jc w:val="center"/>
              <w:rPr>
                <w:rFonts w:eastAsia="Times New Roman"/>
              </w:rPr>
            </w:pPr>
            <w:r>
              <w:rPr>
                <w:rFonts w:eastAsia="Times New Roman"/>
              </w:rPr>
              <w:t>(4.505)</w:t>
            </w:r>
          </w:p>
        </w:tc>
        <w:tc>
          <w:tcPr>
            <w:tcW w:w="932" w:type="pct"/>
            <w:vAlign w:val="center"/>
            <w:hideMark/>
          </w:tcPr>
          <w:p w14:paraId="71AD3703" w14:textId="77777777" w:rsidR="005B6750" w:rsidRDefault="005B6750" w:rsidP="00710A64">
            <w:pPr>
              <w:pStyle w:val="Tables"/>
              <w:jc w:val="center"/>
              <w:rPr>
                <w:rFonts w:eastAsia="Times New Roman"/>
              </w:rPr>
            </w:pPr>
            <w:r>
              <w:rPr>
                <w:rFonts w:eastAsia="Times New Roman"/>
              </w:rPr>
              <w:t>(0.140)</w:t>
            </w:r>
          </w:p>
        </w:tc>
        <w:tc>
          <w:tcPr>
            <w:tcW w:w="940" w:type="pct"/>
            <w:vAlign w:val="center"/>
            <w:hideMark/>
          </w:tcPr>
          <w:p w14:paraId="1D246D53" w14:textId="77777777" w:rsidR="005B6750" w:rsidRDefault="005B6750" w:rsidP="00710A64">
            <w:pPr>
              <w:pStyle w:val="Tables"/>
              <w:jc w:val="center"/>
              <w:rPr>
                <w:rFonts w:eastAsia="Times New Roman"/>
              </w:rPr>
            </w:pPr>
            <w:r>
              <w:rPr>
                <w:rFonts w:eastAsia="Times New Roman"/>
              </w:rPr>
              <w:t>(2.997)</w:t>
            </w:r>
          </w:p>
        </w:tc>
        <w:tc>
          <w:tcPr>
            <w:tcW w:w="785" w:type="pct"/>
            <w:vAlign w:val="center"/>
            <w:hideMark/>
          </w:tcPr>
          <w:p w14:paraId="1982BDAE" w14:textId="77777777" w:rsidR="005B6750" w:rsidRDefault="005B6750" w:rsidP="00710A64">
            <w:pPr>
              <w:pStyle w:val="Tables"/>
              <w:jc w:val="center"/>
              <w:rPr>
                <w:rFonts w:eastAsia="Times New Roman"/>
              </w:rPr>
            </w:pPr>
            <w:r>
              <w:rPr>
                <w:rFonts w:eastAsia="Times New Roman"/>
              </w:rPr>
              <w:t>(3.321)</w:t>
            </w:r>
          </w:p>
        </w:tc>
      </w:tr>
      <w:tr w:rsidR="005B6750" w14:paraId="7E3ACA88" w14:textId="77777777" w:rsidTr="00710A64">
        <w:trPr>
          <w:tblCellSpacing w:w="15" w:type="dxa"/>
        </w:trPr>
        <w:tc>
          <w:tcPr>
            <w:tcW w:w="762" w:type="pct"/>
            <w:tcBorders>
              <w:top w:val="single" w:sz="4" w:space="0" w:color="auto"/>
            </w:tcBorders>
            <w:vAlign w:val="center"/>
            <w:hideMark/>
          </w:tcPr>
          <w:p w14:paraId="4BB64EC1" w14:textId="77777777" w:rsidR="005B6750" w:rsidRDefault="005B6750" w:rsidP="00710A64">
            <w:pPr>
              <w:pStyle w:val="Tables"/>
              <w:rPr>
                <w:rFonts w:eastAsia="Times New Roman"/>
              </w:rPr>
            </w:pPr>
            <w:r>
              <w:rPr>
                <w:rFonts w:eastAsia="Times New Roman"/>
              </w:rPr>
              <w:t>Controls</w:t>
            </w:r>
          </w:p>
        </w:tc>
        <w:tc>
          <w:tcPr>
            <w:tcW w:w="1477" w:type="pct"/>
            <w:tcBorders>
              <w:top w:val="single" w:sz="4" w:space="0" w:color="auto"/>
            </w:tcBorders>
            <w:vAlign w:val="center"/>
          </w:tcPr>
          <w:p w14:paraId="2BF81596" w14:textId="77777777" w:rsidR="005B6750" w:rsidRDefault="005B6750" w:rsidP="00710A64">
            <w:pPr>
              <w:pStyle w:val="Tables"/>
              <w:jc w:val="center"/>
              <w:rPr>
                <w:rFonts w:eastAsia="Times New Roman"/>
              </w:rPr>
            </w:pPr>
            <w:r>
              <w:rPr>
                <w:rFonts w:eastAsia="Times New Roman"/>
              </w:rPr>
              <w:t>Yes</w:t>
            </w:r>
          </w:p>
        </w:tc>
        <w:tc>
          <w:tcPr>
            <w:tcW w:w="932" w:type="pct"/>
            <w:tcBorders>
              <w:top w:val="single" w:sz="4" w:space="0" w:color="auto"/>
            </w:tcBorders>
            <w:vAlign w:val="center"/>
            <w:hideMark/>
          </w:tcPr>
          <w:p w14:paraId="6760DC4E" w14:textId="77777777" w:rsidR="005B6750" w:rsidRDefault="005B6750" w:rsidP="00710A64">
            <w:pPr>
              <w:pStyle w:val="Tables"/>
              <w:jc w:val="center"/>
              <w:rPr>
                <w:rFonts w:eastAsia="Times New Roman"/>
              </w:rPr>
            </w:pPr>
            <w:r>
              <w:rPr>
                <w:rFonts w:eastAsia="Times New Roman"/>
              </w:rPr>
              <w:t>Yes</w:t>
            </w:r>
          </w:p>
        </w:tc>
        <w:tc>
          <w:tcPr>
            <w:tcW w:w="940" w:type="pct"/>
            <w:tcBorders>
              <w:top w:val="single" w:sz="4" w:space="0" w:color="auto"/>
            </w:tcBorders>
            <w:vAlign w:val="center"/>
            <w:hideMark/>
          </w:tcPr>
          <w:p w14:paraId="09F07AC0" w14:textId="77777777" w:rsidR="005B6750" w:rsidRDefault="005B6750" w:rsidP="00710A64">
            <w:pPr>
              <w:pStyle w:val="Tables"/>
              <w:jc w:val="center"/>
              <w:rPr>
                <w:rFonts w:eastAsia="Times New Roman"/>
              </w:rPr>
            </w:pPr>
            <w:r>
              <w:rPr>
                <w:rFonts w:eastAsia="Times New Roman"/>
              </w:rPr>
              <w:t>Yes</w:t>
            </w:r>
          </w:p>
        </w:tc>
        <w:tc>
          <w:tcPr>
            <w:tcW w:w="785" w:type="pct"/>
            <w:tcBorders>
              <w:top w:val="single" w:sz="4" w:space="0" w:color="auto"/>
            </w:tcBorders>
            <w:vAlign w:val="center"/>
            <w:hideMark/>
          </w:tcPr>
          <w:p w14:paraId="69A1C621" w14:textId="77777777" w:rsidR="005B6750" w:rsidRDefault="005B6750" w:rsidP="00710A64">
            <w:pPr>
              <w:pStyle w:val="Tables"/>
              <w:jc w:val="center"/>
              <w:rPr>
                <w:rFonts w:eastAsia="Times New Roman"/>
              </w:rPr>
            </w:pPr>
            <w:r>
              <w:rPr>
                <w:rFonts w:eastAsia="Times New Roman"/>
              </w:rPr>
              <w:t>Yes</w:t>
            </w:r>
          </w:p>
        </w:tc>
      </w:tr>
      <w:tr w:rsidR="005B6750" w14:paraId="6F63A7C2" w14:textId="77777777" w:rsidTr="00710A64">
        <w:trPr>
          <w:tblCellSpacing w:w="15" w:type="dxa"/>
        </w:trPr>
        <w:tc>
          <w:tcPr>
            <w:tcW w:w="762" w:type="pct"/>
            <w:vAlign w:val="center"/>
            <w:hideMark/>
          </w:tcPr>
          <w:p w14:paraId="3078CED9" w14:textId="77777777" w:rsidR="005B6750" w:rsidRDefault="005B6750" w:rsidP="00710A64">
            <w:pPr>
              <w:pStyle w:val="Tables"/>
              <w:rPr>
                <w:rFonts w:eastAsia="Times New Roman"/>
              </w:rPr>
            </w:pPr>
            <w:r>
              <w:rPr>
                <w:rFonts w:eastAsia="Times New Roman"/>
              </w:rPr>
              <w:t>Observations</w:t>
            </w:r>
          </w:p>
        </w:tc>
        <w:tc>
          <w:tcPr>
            <w:tcW w:w="1477" w:type="pct"/>
            <w:vAlign w:val="center"/>
          </w:tcPr>
          <w:p w14:paraId="25A43606" w14:textId="77777777" w:rsidR="005B6750" w:rsidRDefault="005B6750" w:rsidP="00710A64">
            <w:pPr>
              <w:pStyle w:val="Tables"/>
              <w:jc w:val="center"/>
              <w:rPr>
                <w:rFonts w:eastAsia="Times New Roman"/>
              </w:rPr>
            </w:pPr>
            <w:r>
              <w:rPr>
                <w:rFonts w:eastAsia="Times New Roman"/>
              </w:rPr>
              <w:t>100</w:t>
            </w:r>
          </w:p>
        </w:tc>
        <w:tc>
          <w:tcPr>
            <w:tcW w:w="932" w:type="pct"/>
            <w:vAlign w:val="center"/>
            <w:hideMark/>
          </w:tcPr>
          <w:p w14:paraId="27B939D5" w14:textId="77777777" w:rsidR="005B6750" w:rsidRDefault="005B6750" w:rsidP="00710A64">
            <w:pPr>
              <w:pStyle w:val="Tables"/>
              <w:jc w:val="center"/>
              <w:rPr>
                <w:rFonts w:eastAsia="Times New Roman"/>
              </w:rPr>
            </w:pPr>
            <w:r>
              <w:rPr>
                <w:rFonts w:eastAsia="Times New Roman"/>
              </w:rPr>
              <w:t>1,000</w:t>
            </w:r>
          </w:p>
        </w:tc>
        <w:tc>
          <w:tcPr>
            <w:tcW w:w="940" w:type="pct"/>
            <w:vAlign w:val="center"/>
            <w:hideMark/>
          </w:tcPr>
          <w:p w14:paraId="07EC55F5" w14:textId="77777777" w:rsidR="005B6750" w:rsidRDefault="005B6750" w:rsidP="00710A64">
            <w:pPr>
              <w:pStyle w:val="Tables"/>
              <w:jc w:val="center"/>
              <w:rPr>
                <w:rFonts w:eastAsia="Times New Roman"/>
              </w:rPr>
            </w:pPr>
            <w:r>
              <w:rPr>
                <w:rFonts w:eastAsia="Times New Roman"/>
              </w:rPr>
              <w:t>1,000</w:t>
            </w:r>
          </w:p>
        </w:tc>
        <w:tc>
          <w:tcPr>
            <w:tcW w:w="785" w:type="pct"/>
            <w:vAlign w:val="center"/>
            <w:hideMark/>
          </w:tcPr>
          <w:p w14:paraId="10AA469D" w14:textId="77777777" w:rsidR="005B6750" w:rsidRDefault="005B6750" w:rsidP="00710A64">
            <w:pPr>
              <w:pStyle w:val="Tables"/>
              <w:jc w:val="center"/>
              <w:rPr>
                <w:rFonts w:eastAsia="Times New Roman"/>
              </w:rPr>
            </w:pPr>
            <w:r>
              <w:rPr>
                <w:rFonts w:eastAsia="Times New Roman"/>
              </w:rPr>
              <w:t>1,000</w:t>
            </w:r>
          </w:p>
        </w:tc>
      </w:tr>
      <w:tr w:rsidR="005B6750" w14:paraId="26B86B7F" w14:textId="77777777" w:rsidTr="00710A64">
        <w:trPr>
          <w:tblCellSpacing w:w="15" w:type="dxa"/>
        </w:trPr>
        <w:tc>
          <w:tcPr>
            <w:tcW w:w="762" w:type="pct"/>
            <w:tcBorders>
              <w:bottom w:val="single" w:sz="4" w:space="0" w:color="auto"/>
            </w:tcBorders>
            <w:vAlign w:val="center"/>
            <w:hideMark/>
          </w:tcPr>
          <w:p w14:paraId="5D27BC8E" w14:textId="77777777" w:rsidR="005B6750" w:rsidRDefault="005B6750" w:rsidP="00710A64">
            <w:pPr>
              <w:pStyle w:val="Tables"/>
              <w:rPr>
                <w:rFonts w:eastAsia="Times New Roman"/>
              </w:rPr>
            </w:pPr>
            <w:r>
              <w:rPr>
                <w:rFonts w:eastAsia="Times New Roman"/>
              </w:rPr>
              <w:t>R</w:t>
            </w:r>
            <w:r>
              <w:rPr>
                <w:rFonts w:eastAsia="Times New Roman"/>
                <w:vertAlign w:val="superscript"/>
              </w:rPr>
              <w:t>2</w:t>
            </w:r>
          </w:p>
        </w:tc>
        <w:tc>
          <w:tcPr>
            <w:tcW w:w="1477" w:type="pct"/>
            <w:tcBorders>
              <w:bottom w:val="single" w:sz="4" w:space="0" w:color="auto"/>
            </w:tcBorders>
            <w:vAlign w:val="center"/>
          </w:tcPr>
          <w:p w14:paraId="58796FD2" w14:textId="77777777" w:rsidR="005B6750" w:rsidRDefault="005B6750" w:rsidP="00710A64">
            <w:pPr>
              <w:pStyle w:val="Tables"/>
              <w:jc w:val="center"/>
              <w:rPr>
                <w:rFonts w:eastAsia="Times New Roman"/>
              </w:rPr>
            </w:pPr>
            <w:r>
              <w:rPr>
                <w:rFonts w:eastAsia="Times New Roman"/>
              </w:rPr>
              <w:t>0.063</w:t>
            </w:r>
          </w:p>
        </w:tc>
        <w:tc>
          <w:tcPr>
            <w:tcW w:w="932" w:type="pct"/>
            <w:tcBorders>
              <w:bottom w:val="single" w:sz="4" w:space="0" w:color="auto"/>
            </w:tcBorders>
            <w:vAlign w:val="center"/>
            <w:hideMark/>
          </w:tcPr>
          <w:p w14:paraId="45C3BC22" w14:textId="77777777" w:rsidR="005B6750" w:rsidRDefault="005B6750" w:rsidP="00710A64">
            <w:pPr>
              <w:pStyle w:val="Tables"/>
              <w:jc w:val="center"/>
              <w:rPr>
                <w:rFonts w:eastAsia="Times New Roman"/>
              </w:rPr>
            </w:pPr>
            <w:r>
              <w:rPr>
                <w:rFonts w:eastAsia="Times New Roman"/>
              </w:rPr>
              <w:t>0.025</w:t>
            </w:r>
          </w:p>
        </w:tc>
        <w:tc>
          <w:tcPr>
            <w:tcW w:w="940" w:type="pct"/>
            <w:tcBorders>
              <w:bottom w:val="single" w:sz="4" w:space="0" w:color="auto"/>
            </w:tcBorders>
            <w:vAlign w:val="center"/>
            <w:hideMark/>
          </w:tcPr>
          <w:p w14:paraId="01152CF6" w14:textId="77777777" w:rsidR="005B6750" w:rsidRDefault="005B6750" w:rsidP="00710A64">
            <w:pPr>
              <w:pStyle w:val="Tables"/>
              <w:jc w:val="center"/>
              <w:rPr>
                <w:rFonts w:eastAsia="Times New Roman"/>
              </w:rPr>
            </w:pPr>
            <w:r>
              <w:rPr>
                <w:rFonts w:eastAsia="Times New Roman"/>
              </w:rPr>
              <w:t>0.022</w:t>
            </w:r>
          </w:p>
        </w:tc>
        <w:tc>
          <w:tcPr>
            <w:tcW w:w="785" w:type="pct"/>
            <w:tcBorders>
              <w:bottom w:val="single" w:sz="4" w:space="0" w:color="auto"/>
            </w:tcBorders>
            <w:vAlign w:val="center"/>
            <w:hideMark/>
          </w:tcPr>
          <w:p w14:paraId="246A8D38" w14:textId="77777777" w:rsidR="005B6750" w:rsidRDefault="005B6750" w:rsidP="00710A64">
            <w:pPr>
              <w:pStyle w:val="Tables"/>
              <w:jc w:val="center"/>
              <w:rPr>
                <w:rFonts w:eastAsia="Times New Roman"/>
              </w:rPr>
            </w:pPr>
            <w:r>
              <w:rPr>
                <w:rFonts w:eastAsia="Times New Roman"/>
              </w:rPr>
              <w:t>0.038</w:t>
            </w:r>
          </w:p>
        </w:tc>
      </w:tr>
    </w:tbl>
    <w:p w14:paraId="0C00B76D" w14:textId="77777777" w:rsidR="005B6750" w:rsidRPr="00CC0FDF" w:rsidRDefault="005B6750" w:rsidP="005B6750">
      <w:pPr>
        <w:pStyle w:val="Tables"/>
        <w:jc w:val="both"/>
        <w:rPr>
          <w:rFonts w:eastAsia="Times New Roman"/>
          <w:sz w:val="20"/>
          <w:szCs w:val="20"/>
        </w:rPr>
      </w:pPr>
      <w:r w:rsidRPr="00CC0FDF">
        <w:rPr>
          <w:sz w:val="20"/>
          <w:szCs w:val="20"/>
        </w:rPr>
        <w:t xml:space="preserve">Note: </w:t>
      </w:r>
      <w:r w:rsidRPr="00CC0FDF">
        <w:rPr>
          <w:rFonts w:eastAsia="Times New Roman"/>
          <w:sz w:val="20"/>
          <w:szCs w:val="20"/>
          <w:vertAlign w:val="superscript"/>
        </w:rPr>
        <w:t>*</w:t>
      </w:r>
      <w:r w:rsidRPr="00CC0FDF">
        <w:rPr>
          <w:rFonts w:eastAsia="Times New Roman"/>
          <w:sz w:val="20"/>
          <w:szCs w:val="20"/>
        </w:rPr>
        <w:t xml:space="preserve">p&lt;0.1 </w:t>
      </w:r>
      <w:r w:rsidRPr="00CC0FDF">
        <w:rPr>
          <w:rFonts w:eastAsia="Times New Roman"/>
          <w:sz w:val="20"/>
          <w:szCs w:val="20"/>
          <w:vertAlign w:val="superscript"/>
        </w:rPr>
        <w:t>**</w:t>
      </w:r>
      <w:r w:rsidRPr="00CC0FDF">
        <w:rPr>
          <w:rFonts w:eastAsia="Times New Roman"/>
          <w:sz w:val="20"/>
          <w:szCs w:val="20"/>
        </w:rPr>
        <w:t xml:space="preserve">p&lt;0.05 </w:t>
      </w:r>
      <w:r w:rsidRPr="00CC0FDF">
        <w:rPr>
          <w:rFonts w:eastAsia="Times New Roman"/>
          <w:sz w:val="20"/>
          <w:szCs w:val="20"/>
          <w:vertAlign w:val="superscript"/>
        </w:rPr>
        <w:t>***</w:t>
      </w:r>
      <w:r w:rsidRPr="00CC0FDF">
        <w:rPr>
          <w:rFonts w:eastAsia="Times New Roman"/>
          <w:sz w:val="20"/>
          <w:szCs w:val="20"/>
        </w:rPr>
        <w:t xml:space="preserve">p&lt;0.01. We use clustered standard errors by session. (1) controls for country, Controls in columns (2), (3), and (4) includes round, gender, age, income, civil status, country, rounds, and education. </w:t>
      </w:r>
    </w:p>
    <w:p w14:paraId="128988FC" w14:textId="77777777" w:rsidR="005B6750" w:rsidRDefault="005B6750" w:rsidP="005B6750">
      <w:pPr>
        <w:spacing w:after="0" w:line="480" w:lineRule="auto"/>
        <w:jc w:val="both"/>
      </w:pPr>
    </w:p>
    <w:p w14:paraId="4158E61B" w14:textId="77777777" w:rsidR="005B6750" w:rsidRPr="00834562" w:rsidRDefault="005B6750" w:rsidP="005B6750">
      <w:pPr>
        <w:spacing w:after="0" w:line="480" w:lineRule="auto"/>
        <w:jc w:val="both"/>
      </w:pPr>
      <w:r w:rsidRPr="00834562">
        <w:t xml:space="preserve">In column 1, </w:t>
      </w:r>
      <w:r>
        <w:t>there are the estimated</w:t>
      </w:r>
      <w:r w:rsidRPr="00834562">
        <w:t xml:space="preserve"> </w:t>
      </w:r>
      <w:r>
        <w:t xml:space="preserve">treatment </w:t>
      </w:r>
      <w:r w:rsidRPr="00834562">
        <w:t>effect</w:t>
      </w:r>
      <w:r>
        <w:t>s</w:t>
      </w:r>
      <w:r w:rsidRPr="00834562">
        <w:t xml:space="preserve"> on the average price by round for sealed transaction. Differences are not statistically significant. </w:t>
      </w:r>
      <w:r>
        <w:t>Average</w:t>
      </w:r>
      <w:r w:rsidRPr="00834562">
        <w:t xml:space="preserve"> price increases by 2.73 (t=0.64, p=0.531) when sellers have access to commercial practices, by 2.73 (t=0.74 p=0.469) in the </w:t>
      </w:r>
      <w:r>
        <w:t>treatment</w:t>
      </w:r>
      <w:r w:rsidRPr="00834562">
        <w:t xml:space="preserve"> with formal sanction, by 4.62</w:t>
      </w:r>
      <w:r w:rsidRPr="00834562" w:rsidDel="00443F4C">
        <w:t xml:space="preserve"> </w:t>
      </w:r>
      <w:r w:rsidRPr="00834562">
        <w:t>(t= 1.28, p= 0.21) with informal sanction, and by 1.99</w:t>
      </w:r>
      <w:r w:rsidRPr="00834562" w:rsidDel="00443F4C">
        <w:t xml:space="preserve"> </w:t>
      </w:r>
      <w:r w:rsidRPr="00834562">
        <w:t xml:space="preserve">(t= 0.53, p= 0.60) with regret.   </w:t>
      </w:r>
    </w:p>
    <w:p w14:paraId="0A805EA2" w14:textId="77777777" w:rsidR="005B6750" w:rsidRPr="00834562" w:rsidRDefault="005B6750" w:rsidP="005B6750">
      <w:pPr>
        <w:spacing w:after="0" w:line="480" w:lineRule="auto"/>
        <w:jc w:val="both"/>
      </w:pPr>
      <w:r w:rsidRPr="00834562">
        <w:t xml:space="preserve"> In column 2, </w:t>
      </w:r>
      <w:r>
        <w:t>the outcome variable is</w:t>
      </w:r>
      <w:r w:rsidRPr="00834562">
        <w:t xml:space="preserve"> the likelihood to close a transaction (</w:t>
      </w:r>
      <w:r>
        <w:t>i.e. the</w:t>
      </w:r>
      <w:r w:rsidRPr="00834562">
        <w:t xml:space="preserve"> actual quantity exchanged).</w:t>
      </w:r>
      <w:r>
        <w:t xml:space="preserve"> </w:t>
      </w:r>
      <w:r w:rsidRPr="00834562">
        <w:t xml:space="preserve">In all </w:t>
      </w:r>
      <w:r>
        <w:t>treatments</w:t>
      </w:r>
      <w:r w:rsidRPr="00834562">
        <w:t xml:space="preserve"> the quantity is slightly lower than in the control condition, coherently with the higher prices reported in the previous paragraph, but </w:t>
      </w:r>
      <w:r>
        <w:t>the effects</w:t>
      </w:r>
      <w:r w:rsidRPr="00834562">
        <w:t xml:space="preserve"> are not statistically significant. In equilibrium</w:t>
      </w:r>
      <w:r>
        <w:t>,</w:t>
      </w:r>
      <w:r w:rsidRPr="00834562">
        <w:t xml:space="preserve"> the likelihood to close a transaction </w:t>
      </w:r>
      <w:r>
        <w:t>is slashed</w:t>
      </w:r>
      <w:r w:rsidRPr="00834562">
        <w:t xml:space="preserve"> by </w:t>
      </w:r>
      <w:r w:rsidRPr="00834562">
        <w:lastRenderedPageBreak/>
        <w:t>0.48 (t=-0.16, p= 0.127) when sellers have access to commercial practices, it decreases by -0.013</w:t>
      </w:r>
      <w:r w:rsidRPr="00834562" w:rsidDel="00CF14FB">
        <w:t xml:space="preserve"> </w:t>
      </w:r>
      <w:r w:rsidRPr="00834562">
        <w:t xml:space="preserve">(t= -0.37, p= 0.71) in the </w:t>
      </w:r>
      <w:r>
        <w:t>treatment</w:t>
      </w:r>
      <w:r w:rsidRPr="00834562">
        <w:t xml:space="preserve"> with formal sanction</w:t>
      </w:r>
      <w:r>
        <w:t>s</w:t>
      </w:r>
      <w:r w:rsidRPr="00834562">
        <w:t>, by -.073</w:t>
      </w:r>
      <w:r w:rsidRPr="00834562" w:rsidDel="00CF14FB">
        <w:t xml:space="preserve"> </w:t>
      </w:r>
      <w:r w:rsidRPr="00834562">
        <w:t>(t= -1.82, p= 0.08) with informal sanction</w:t>
      </w:r>
      <w:r>
        <w:t>s</w:t>
      </w:r>
      <w:r w:rsidRPr="00834562">
        <w:t>, and by -.047 (t= -1.41, p= 0.175) with regret.</w:t>
      </w:r>
    </w:p>
    <w:p w14:paraId="79BB2D49" w14:textId="77777777" w:rsidR="005B6750" w:rsidRPr="00834562" w:rsidRDefault="005B6750" w:rsidP="005B6750">
      <w:pPr>
        <w:spacing w:after="0" w:line="480" w:lineRule="auto"/>
        <w:jc w:val="both"/>
      </w:pPr>
      <w:r w:rsidRPr="00834562">
        <w:t xml:space="preserve">In column 3, </w:t>
      </w:r>
      <w:r>
        <w:t>where the outcome variable is the</w:t>
      </w:r>
      <w:r w:rsidRPr="00834562">
        <w:t xml:space="preserve"> gross profits, </w:t>
      </w:r>
      <w:r>
        <w:t>i.e.</w:t>
      </w:r>
      <w:r w:rsidRPr="00834562">
        <w:t xml:space="preserve"> the payoff from transactions</w:t>
      </w:r>
      <w:r>
        <w:t>,</w:t>
      </w:r>
      <w:r w:rsidRPr="00834562">
        <w:t xml:space="preserve"> </w:t>
      </w:r>
      <w:r>
        <w:t>the profit</w:t>
      </w:r>
      <w:r w:rsidRPr="00834562">
        <w:t xml:space="preserve"> increases on average by 1.49</w:t>
      </w:r>
      <w:r w:rsidRPr="00834562" w:rsidDel="00CA6878">
        <w:t xml:space="preserve"> </w:t>
      </w:r>
      <w:r w:rsidRPr="00834562">
        <w:t>(t= 0.65, p= 0.526) when sellers have access to commercial practices, by 4.23</w:t>
      </w:r>
      <w:r w:rsidRPr="00834562" w:rsidDel="00CA6878">
        <w:t xml:space="preserve"> </w:t>
      </w:r>
      <w:r w:rsidRPr="00834562">
        <w:t xml:space="preserve">(t= 1.43 p= 0.16) in the </w:t>
      </w:r>
      <w:r>
        <w:t>treatment</w:t>
      </w:r>
      <w:r w:rsidRPr="00834562">
        <w:t xml:space="preserve"> with formal sanction</w:t>
      </w:r>
      <w:r>
        <w:t>s</w:t>
      </w:r>
      <w:r w:rsidRPr="00834562">
        <w:t>, by 1.30</w:t>
      </w:r>
      <w:r w:rsidRPr="00834562" w:rsidDel="00CA6878">
        <w:t xml:space="preserve"> </w:t>
      </w:r>
      <w:r w:rsidRPr="00834562">
        <w:t>(t= 0.57, p= 0.576) with informal sanction</w:t>
      </w:r>
      <w:r>
        <w:t>s</w:t>
      </w:r>
      <w:r w:rsidRPr="00834562">
        <w:t xml:space="preserve">, and by </w:t>
      </w:r>
      <w:r>
        <w:t>0</w:t>
      </w:r>
      <w:r w:rsidRPr="00834562">
        <w:t>.53</w:t>
      </w:r>
      <w:r>
        <w:t xml:space="preserve">  </w:t>
      </w:r>
      <w:r w:rsidRPr="00834562">
        <w:t xml:space="preserve">(t= 0.26, p= 0.79) </w:t>
      </w:r>
      <w:r>
        <w:t xml:space="preserve">in the treatment </w:t>
      </w:r>
      <w:r w:rsidRPr="00834562">
        <w:t xml:space="preserve">with regret. </w:t>
      </w:r>
    </w:p>
    <w:p w14:paraId="1CC551D1" w14:textId="77777777" w:rsidR="005B6750" w:rsidRPr="00834562" w:rsidRDefault="005B6750" w:rsidP="005B6750">
      <w:pPr>
        <w:spacing w:after="0" w:line="480" w:lineRule="auto"/>
        <w:jc w:val="both"/>
      </w:pPr>
      <w:r>
        <w:t>In</w:t>
      </w:r>
      <w:r w:rsidRPr="00834562">
        <w:t xml:space="preserve"> column 4</w:t>
      </w:r>
      <w:r>
        <w:t>, the net profit</w:t>
      </w:r>
      <w:r w:rsidRPr="00834562">
        <w:t xml:space="preserve"> increase</w:t>
      </w:r>
      <w:r>
        <w:t>s</w:t>
      </w:r>
      <w:r w:rsidRPr="00834562">
        <w:t xml:space="preserve"> on average by 1.50 (t= 0.69, p= 0.498) when sellers have access to commercial practices, but net profits are </w:t>
      </w:r>
      <w:r>
        <w:t>indeed</w:t>
      </w:r>
      <w:r w:rsidRPr="00834562">
        <w:t xml:space="preserve"> lower than in control condition </w:t>
      </w:r>
      <w:r>
        <w:t xml:space="preserve">in the treatment with </w:t>
      </w:r>
      <w:r w:rsidRPr="00834562">
        <w:t>formal sanction</w:t>
      </w:r>
      <w:r>
        <w:t>s</w:t>
      </w:r>
      <w:r w:rsidRPr="00834562">
        <w:t xml:space="preserve"> (-4.73, t= -1.86, p= 0.078)</w:t>
      </w:r>
      <w:r>
        <w:t>. Profits are higher</w:t>
      </w:r>
      <w:r w:rsidRPr="00834562">
        <w:t xml:space="preserve"> by 1.149 (t= 0.50, p= 0.620) </w:t>
      </w:r>
      <w:r>
        <w:t xml:space="preserve">in the treatment </w:t>
      </w:r>
      <w:r w:rsidRPr="00834562">
        <w:t>with informal sanction</w:t>
      </w:r>
      <w:r>
        <w:t>s</w:t>
      </w:r>
      <w:r w:rsidRPr="00834562">
        <w:t xml:space="preserve">, and by 0.502 (t= 0.25, p= 0.803) </w:t>
      </w:r>
      <w:r>
        <w:t xml:space="preserve">in the treatment </w:t>
      </w:r>
      <w:r w:rsidRPr="00834562">
        <w:t xml:space="preserve">with regret. </w:t>
      </w:r>
    </w:p>
    <w:p w14:paraId="58E081FC" w14:textId="77777777" w:rsidR="005B6750" w:rsidRPr="00A93F29" w:rsidRDefault="005B6750" w:rsidP="005B6750">
      <w:pPr>
        <w:spacing w:after="0" w:line="480" w:lineRule="auto"/>
      </w:pPr>
    </w:p>
    <w:p w14:paraId="37E79031" w14:textId="77777777" w:rsidR="005B6750" w:rsidRPr="00DB1250" w:rsidRDefault="005B6750" w:rsidP="005B6750">
      <w:pPr>
        <w:rPr>
          <w:lang w:val="en-US"/>
        </w:rPr>
      </w:pPr>
    </w:p>
    <w:p w14:paraId="49937401" w14:textId="77777777" w:rsidR="005B6750" w:rsidRPr="00DB1250" w:rsidRDefault="005B6750" w:rsidP="005B6750">
      <w:pPr>
        <w:spacing w:after="0" w:line="480" w:lineRule="auto"/>
        <w:rPr>
          <w:b/>
          <w:bCs/>
          <w:lang w:val="en-US"/>
        </w:rPr>
      </w:pPr>
    </w:p>
    <w:p w14:paraId="5083AE96" w14:textId="5C383E60" w:rsidR="006402E1" w:rsidRPr="005B6750" w:rsidRDefault="006402E1">
      <w:pPr>
        <w:rPr>
          <w:lang w:val="en-US"/>
        </w:rPr>
      </w:pPr>
    </w:p>
    <w:sectPr w:rsidR="006402E1" w:rsidRPr="005B6750" w:rsidSect="00E3684D">
      <w:pgSz w:w="12240" w:h="15840"/>
      <w:pgMar w:top="1772" w:right="1772" w:bottom="1772" w:left="1772" w:header="709" w:footer="709" w:gutter="0"/>
      <w:lnNumType w:countBy="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sto MT">
    <w:panose1 w:val="02040603050505030304"/>
    <w:charset w:val="00"/>
    <w:family w:val="roman"/>
    <w:pitch w:val="variable"/>
    <w:sig w:usb0="00000003" w:usb1="00000000" w:usb2="00000000" w:usb3="00000000" w:csb0="00000001" w:csb1="00000000"/>
  </w:font>
  <w:font w:name="TimesLTStd-Roman">
    <w:altName w:val="Malgun Gothic Semilight"/>
    <w:panose1 w:val="00000000000000000000"/>
    <w:charset w:val="4D"/>
    <w:family w:val="auto"/>
    <w:notTrueType/>
    <w:pitch w:val="default"/>
    <w:sig w:usb0="00000000" w:usb1="08080000" w:usb2="00000010" w:usb3="00000000" w:csb0="001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6750"/>
    <w:rsid w:val="003B523F"/>
    <w:rsid w:val="003E1140"/>
    <w:rsid w:val="00520AEA"/>
    <w:rsid w:val="00597D44"/>
    <w:rsid w:val="005B6750"/>
    <w:rsid w:val="006402E1"/>
    <w:rsid w:val="00676390"/>
    <w:rsid w:val="007067A5"/>
    <w:rsid w:val="00836118"/>
    <w:rsid w:val="00870C50"/>
    <w:rsid w:val="00B5106F"/>
    <w:rsid w:val="00C97B5A"/>
    <w:rsid w:val="00EF561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0147E2"/>
  <w15:chartTrackingRefBased/>
  <w15:docId w15:val="{B5201D1F-77F5-413D-8B44-B93FCC8C0A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6750"/>
    <w:pPr>
      <w:spacing w:line="256" w:lineRule="auto"/>
      <w:ind w:firstLine="284"/>
    </w:pPr>
    <w:rPr>
      <w:rFonts w:ascii="Garamond" w:hAnsi="Garamond"/>
      <w:sz w:val="24"/>
      <w:szCs w:val="24"/>
      <w:lang w:val="en-GB"/>
    </w:rPr>
  </w:style>
  <w:style w:type="paragraph" w:styleId="Ttulo1">
    <w:name w:val="heading 1"/>
    <w:basedOn w:val="Normal"/>
    <w:link w:val="Ttulo1Car"/>
    <w:uiPriority w:val="9"/>
    <w:qFormat/>
    <w:rsid w:val="005B6750"/>
    <w:pPr>
      <w:spacing w:before="100" w:beforeAutospacing="1" w:after="100" w:afterAutospacing="1" w:line="240" w:lineRule="auto"/>
      <w:ind w:firstLine="0"/>
      <w:outlineLvl w:val="0"/>
    </w:pPr>
    <w:rPr>
      <w:rFonts w:ascii="Times New Roman" w:eastAsia="Times New Roman" w:hAnsi="Times New Roman" w:cs="Times New Roman"/>
      <w:b/>
      <w:bCs/>
      <w:kern w:val="36"/>
      <w:sz w:val="48"/>
      <w:szCs w:val="4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5B6750"/>
    <w:rPr>
      <w:color w:val="0563C1" w:themeColor="hyperlink"/>
      <w:u w:val="single"/>
    </w:rPr>
  </w:style>
  <w:style w:type="paragraph" w:styleId="Descripcin">
    <w:name w:val="caption"/>
    <w:basedOn w:val="Normal"/>
    <w:next w:val="Normal"/>
    <w:uiPriority w:val="35"/>
    <w:unhideWhenUsed/>
    <w:qFormat/>
    <w:rsid w:val="005B6750"/>
    <w:pPr>
      <w:spacing w:after="200" w:line="240" w:lineRule="auto"/>
    </w:pPr>
    <w:rPr>
      <w:i/>
      <w:iCs/>
      <w:color w:val="44546A" w:themeColor="text2"/>
      <w:sz w:val="18"/>
      <w:szCs w:val="18"/>
    </w:rPr>
  </w:style>
  <w:style w:type="paragraph" w:customStyle="1" w:styleId="Tables">
    <w:name w:val="Tables"/>
    <w:basedOn w:val="Normal"/>
    <w:link w:val="TablesChar"/>
    <w:qFormat/>
    <w:rsid w:val="005B6750"/>
    <w:pPr>
      <w:keepNext/>
      <w:keepLines/>
      <w:autoSpaceDE w:val="0"/>
      <w:autoSpaceDN w:val="0"/>
      <w:adjustRightInd w:val="0"/>
      <w:spacing w:after="0" w:line="240" w:lineRule="auto"/>
      <w:ind w:firstLine="0"/>
    </w:pPr>
    <w:rPr>
      <w:rFonts w:cs="Times New Roman"/>
      <w:sz w:val="22"/>
    </w:rPr>
  </w:style>
  <w:style w:type="character" w:customStyle="1" w:styleId="TablesChar">
    <w:name w:val="Tables Char"/>
    <w:basedOn w:val="Fuentedeprrafopredeter"/>
    <w:link w:val="Tables"/>
    <w:rsid w:val="005B6750"/>
    <w:rPr>
      <w:rFonts w:ascii="Garamond" w:hAnsi="Garamond" w:cs="Times New Roman"/>
      <w:szCs w:val="24"/>
      <w:lang w:val="en-GB"/>
    </w:rPr>
  </w:style>
  <w:style w:type="character" w:styleId="Nmerodelnea">
    <w:name w:val="line number"/>
    <w:basedOn w:val="Fuentedeprrafopredeter"/>
    <w:uiPriority w:val="99"/>
    <w:semiHidden/>
    <w:unhideWhenUsed/>
    <w:rsid w:val="005B6750"/>
  </w:style>
  <w:style w:type="character" w:customStyle="1" w:styleId="Ttulo1Car">
    <w:name w:val="Título 1 Car"/>
    <w:basedOn w:val="Fuentedeprrafopredeter"/>
    <w:link w:val="Ttulo1"/>
    <w:uiPriority w:val="9"/>
    <w:rsid w:val="005B6750"/>
    <w:rPr>
      <w:rFonts w:ascii="Times New Roman" w:eastAsia="Times New Roman" w:hAnsi="Times New Roman" w:cs="Times New Roman"/>
      <w:b/>
      <w:bCs/>
      <w:kern w:val="36"/>
      <w:sz w:val="48"/>
      <w:szCs w:val="4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op.europa.eu/s/ovv3"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861</Words>
  <Characters>4739</Characters>
  <Application>Microsoft Office Word</Application>
  <DocSecurity>0</DocSecurity>
  <Lines>39</Lines>
  <Paragraphs>11</Paragraphs>
  <ScaleCrop>false</ScaleCrop>
  <Company/>
  <LinksUpToDate>false</LinksUpToDate>
  <CharactersWithSpaces>5589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Francesco Bogliacino</dc:creator>
  <cp:keywords/>
  <dc:description/>
  <cp:lastModifiedBy>Francesco Bogliacino</cp:lastModifiedBy>
  <cp:revision>2</cp:revision>
  <dcterms:created xsi:type="dcterms:W3CDTF">2022-01-16T21:23:00Z</dcterms:created>
  <dcterms:modified xsi:type="dcterms:W3CDTF">2022-01-24T12:28:00Z</dcterms:modified>
</cp:coreProperties>
</file>