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1DB27" w14:textId="25103297" w:rsidR="00507713" w:rsidRDefault="00A2165D" w:rsidP="00507713">
      <w:pPr>
        <w:pStyle w:val="TOC1"/>
        <w:rPr>
          <w:rFonts w:asciiTheme="minorHAnsi" w:eastAsiaTheme="minorEastAsia" w:hAnsiTheme="minorHAnsi"/>
          <w:noProof/>
          <w:sz w:val="22"/>
          <w:szCs w:val="22"/>
        </w:rPr>
      </w:pPr>
      <w:r>
        <w:rPr>
          <w:rFonts w:cs="Courier New"/>
          <w:color w:val="000000" w:themeColor="text1"/>
        </w:rPr>
        <w:fldChar w:fldCharType="begin"/>
      </w:r>
      <w:r>
        <w:rPr>
          <w:rFonts w:cs="Courier New"/>
          <w:color w:val="000000" w:themeColor="text1"/>
        </w:rPr>
        <w:instrText xml:space="preserve"> TOC \o "1-3" \h \z \t "Caption,2" </w:instrText>
      </w:r>
      <w:r>
        <w:rPr>
          <w:rFonts w:cs="Courier New"/>
          <w:color w:val="000000" w:themeColor="text1"/>
        </w:rPr>
        <w:fldChar w:fldCharType="separate"/>
      </w:r>
      <w:hyperlink w:anchor="_Toc121239027" w:history="1">
        <w:r w:rsidR="00507713" w:rsidRPr="00026ACB">
          <w:rPr>
            <w:rStyle w:val="Hyperlink"/>
            <w:rFonts w:cs="Courier New"/>
            <w:noProof/>
          </w:rPr>
          <w:t>Parameter dictionary</w:t>
        </w:r>
        <w:r w:rsidR="00507713">
          <w:rPr>
            <w:noProof/>
            <w:webHidden/>
          </w:rPr>
          <w:tab/>
        </w:r>
        <w:r w:rsidR="00507713">
          <w:rPr>
            <w:noProof/>
            <w:webHidden/>
          </w:rPr>
          <w:fldChar w:fldCharType="begin"/>
        </w:r>
        <w:r w:rsidR="00507713">
          <w:rPr>
            <w:noProof/>
            <w:webHidden/>
          </w:rPr>
          <w:instrText xml:space="preserve"> PAGEREF _Toc121239027 \h </w:instrText>
        </w:r>
        <w:r w:rsidR="00507713">
          <w:rPr>
            <w:noProof/>
            <w:webHidden/>
          </w:rPr>
        </w:r>
        <w:r w:rsidR="00507713">
          <w:rPr>
            <w:noProof/>
            <w:webHidden/>
          </w:rPr>
          <w:fldChar w:fldCharType="separate"/>
        </w:r>
        <w:r w:rsidR="00507713">
          <w:rPr>
            <w:noProof/>
            <w:webHidden/>
          </w:rPr>
          <w:t>3</w:t>
        </w:r>
        <w:r w:rsidR="00507713">
          <w:rPr>
            <w:noProof/>
            <w:webHidden/>
          </w:rPr>
          <w:fldChar w:fldCharType="end"/>
        </w:r>
      </w:hyperlink>
    </w:p>
    <w:p w14:paraId="10515C95" w14:textId="27B5FFC5" w:rsidR="00507713" w:rsidRDefault="00507713">
      <w:pPr>
        <w:pStyle w:val="TOC2"/>
        <w:rPr>
          <w:rFonts w:asciiTheme="minorHAnsi" w:eastAsiaTheme="minorEastAsia" w:hAnsiTheme="minorHAnsi"/>
          <w:noProof/>
          <w:sz w:val="22"/>
          <w:szCs w:val="22"/>
        </w:rPr>
      </w:pPr>
      <w:hyperlink w:anchor="_Toc121239028" w:history="1">
        <w:r w:rsidRPr="00026ACB">
          <w:rPr>
            <w:rStyle w:val="Hyperlink"/>
            <w:noProof/>
          </w:rPr>
          <w:t>Supplementary Table 1. Parameter dictionary providing parameter symbols, descriptions, and values for different scenarios</w:t>
        </w:r>
        <w:r>
          <w:rPr>
            <w:noProof/>
            <w:webHidden/>
          </w:rPr>
          <w:tab/>
        </w:r>
        <w:r>
          <w:rPr>
            <w:noProof/>
            <w:webHidden/>
          </w:rPr>
          <w:fldChar w:fldCharType="begin"/>
        </w:r>
        <w:r>
          <w:rPr>
            <w:noProof/>
            <w:webHidden/>
          </w:rPr>
          <w:instrText xml:space="preserve"> PAGEREF _Toc121239028 \h </w:instrText>
        </w:r>
        <w:r>
          <w:rPr>
            <w:noProof/>
            <w:webHidden/>
          </w:rPr>
        </w:r>
        <w:r>
          <w:rPr>
            <w:noProof/>
            <w:webHidden/>
          </w:rPr>
          <w:fldChar w:fldCharType="separate"/>
        </w:r>
        <w:r>
          <w:rPr>
            <w:noProof/>
            <w:webHidden/>
          </w:rPr>
          <w:t>3</w:t>
        </w:r>
        <w:r>
          <w:rPr>
            <w:noProof/>
            <w:webHidden/>
          </w:rPr>
          <w:fldChar w:fldCharType="end"/>
        </w:r>
      </w:hyperlink>
    </w:p>
    <w:p w14:paraId="1C598BCF" w14:textId="6188D316" w:rsidR="00507713" w:rsidRDefault="00507713" w:rsidP="00507713">
      <w:pPr>
        <w:pStyle w:val="TOC1"/>
        <w:rPr>
          <w:rFonts w:asciiTheme="minorHAnsi" w:eastAsiaTheme="minorEastAsia" w:hAnsiTheme="minorHAnsi"/>
          <w:noProof/>
          <w:sz w:val="22"/>
          <w:szCs w:val="22"/>
        </w:rPr>
      </w:pPr>
      <w:hyperlink w:anchor="_Toc121239029" w:history="1">
        <w:r w:rsidRPr="00026ACB">
          <w:rPr>
            <w:rStyle w:val="Hyperlink"/>
            <w:rFonts w:cs="Courier New"/>
            <w:noProof/>
          </w:rPr>
          <w:t>Compartmental diagrams</w:t>
        </w:r>
        <w:r>
          <w:rPr>
            <w:noProof/>
            <w:webHidden/>
          </w:rPr>
          <w:tab/>
        </w:r>
        <w:r>
          <w:rPr>
            <w:noProof/>
            <w:webHidden/>
          </w:rPr>
          <w:fldChar w:fldCharType="begin"/>
        </w:r>
        <w:r>
          <w:rPr>
            <w:noProof/>
            <w:webHidden/>
          </w:rPr>
          <w:instrText xml:space="preserve"> PAGEREF _Toc121239029 \h </w:instrText>
        </w:r>
        <w:r>
          <w:rPr>
            <w:noProof/>
            <w:webHidden/>
          </w:rPr>
        </w:r>
        <w:r>
          <w:rPr>
            <w:noProof/>
            <w:webHidden/>
          </w:rPr>
          <w:fldChar w:fldCharType="separate"/>
        </w:r>
        <w:r>
          <w:rPr>
            <w:noProof/>
            <w:webHidden/>
          </w:rPr>
          <w:t>4</w:t>
        </w:r>
        <w:r>
          <w:rPr>
            <w:noProof/>
            <w:webHidden/>
          </w:rPr>
          <w:fldChar w:fldCharType="end"/>
        </w:r>
      </w:hyperlink>
    </w:p>
    <w:p w14:paraId="32554936" w14:textId="3241E697" w:rsidR="00507713" w:rsidRDefault="00507713">
      <w:pPr>
        <w:pStyle w:val="TOC2"/>
        <w:rPr>
          <w:rFonts w:asciiTheme="minorHAnsi" w:eastAsiaTheme="minorEastAsia" w:hAnsiTheme="minorHAnsi"/>
          <w:noProof/>
          <w:sz w:val="22"/>
          <w:szCs w:val="22"/>
        </w:rPr>
      </w:pPr>
      <w:hyperlink w:anchor="_Toc121239030" w:history="1">
        <w:r w:rsidRPr="00026ACB">
          <w:rPr>
            <w:rStyle w:val="Hyperlink"/>
            <w:noProof/>
          </w:rPr>
          <w:t>Supplementary Figure 1. Compartmental diagram for non-pharmaceutical intervention model that tracks status with respect to infection and attitude toward protective behaviors.</w:t>
        </w:r>
        <w:r>
          <w:rPr>
            <w:noProof/>
            <w:webHidden/>
          </w:rPr>
          <w:tab/>
        </w:r>
        <w:r>
          <w:rPr>
            <w:noProof/>
            <w:webHidden/>
          </w:rPr>
          <w:fldChar w:fldCharType="begin"/>
        </w:r>
        <w:r>
          <w:rPr>
            <w:noProof/>
            <w:webHidden/>
          </w:rPr>
          <w:instrText xml:space="preserve"> PAGEREF _Toc121239030 \h </w:instrText>
        </w:r>
        <w:r>
          <w:rPr>
            <w:noProof/>
            <w:webHidden/>
          </w:rPr>
        </w:r>
        <w:r>
          <w:rPr>
            <w:noProof/>
            <w:webHidden/>
          </w:rPr>
          <w:fldChar w:fldCharType="separate"/>
        </w:r>
        <w:r>
          <w:rPr>
            <w:noProof/>
            <w:webHidden/>
          </w:rPr>
          <w:t>4</w:t>
        </w:r>
        <w:r>
          <w:rPr>
            <w:noProof/>
            <w:webHidden/>
          </w:rPr>
          <w:fldChar w:fldCharType="end"/>
        </w:r>
      </w:hyperlink>
    </w:p>
    <w:p w14:paraId="0CE65B43" w14:textId="55E4E89D" w:rsidR="00507713" w:rsidRDefault="00507713">
      <w:pPr>
        <w:pStyle w:val="TOC2"/>
        <w:rPr>
          <w:rFonts w:asciiTheme="minorHAnsi" w:eastAsiaTheme="minorEastAsia" w:hAnsiTheme="minorHAnsi"/>
          <w:noProof/>
          <w:sz w:val="22"/>
          <w:szCs w:val="22"/>
        </w:rPr>
      </w:pPr>
      <w:hyperlink w:anchor="_Toc121239031" w:history="1">
        <w:r w:rsidRPr="00026ACB">
          <w:rPr>
            <w:rStyle w:val="Hyperlink"/>
            <w:noProof/>
          </w:rPr>
          <w:t>Supplementary Figure 2. Compartmental diagram for vaccination model that tracks status with respect to infection and immune status.</w:t>
        </w:r>
        <w:r>
          <w:rPr>
            <w:noProof/>
            <w:webHidden/>
          </w:rPr>
          <w:tab/>
        </w:r>
        <w:r>
          <w:rPr>
            <w:noProof/>
            <w:webHidden/>
          </w:rPr>
          <w:fldChar w:fldCharType="begin"/>
        </w:r>
        <w:r>
          <w:rPr>
            <w:noProof/>
            <w:webHidden/>
          </w:rPr>
          <w:instrText xml:space="preserve"> PAGEREF _Toc121239031 \h </w:instrText>
        </w:r>
        <w:r>
          <w:rPr>
            <w:noProof/>
            <w:webHidden/>
          </w:rPr>
        </w:r>
        <w:r>
          <w:rPr>
            <w:noProof/>
            <w:webHidden/>
          </w:rPr>
          <w:fldChar w:fldCharType="separate"/>
        </w:r>
        <w:r>
          <w:rPr>
            <w:noProof/>
            <w:webHidden/>
          </w:rPr>
          <w:t>5</w:t>
        </w:r>
        <w:r>
          <w:rPr>
            <w:noProof/>
            <w:webHidden/>
          </w:rPr>
          <w:fldChar w:fldCharType="end"/>
        </w:r>
      </w:hyperlink>
    </w:p>
    <w:p w14:paraId="7C47C71E" w14:textId="556F931D" w:rsidR="00507713" w:rsidRDefault="00507713" w:rsidP="00507713">
      <w:pPr>
        <w:pStyle w:val="TOC1"/>
        <w:rPr>
          <w:rFonts w:asciiTheme="minorHAnsi" w:eastAsiaTheme="minorEastAsia" w:hAnsiTheme="minorHAnsi"/>
          <w:noProof/>
          <w:sz w:val="22"/>
          <w:szCs w:val="22"/>
        </w:rPr>
      </w:pPr>
      <w:hyperlink w:anchor="_Toc121239032" w:history="1">
        <w:r w:rsidRPr="00026ACB">
          <w:rPr>
            <w:rStyle w:val="Hyperlink"/>
            <w:rFonts w:cs="Courier New"/>
            <w:noProof/>
          </w:rPr>
          <w:t>Cumulative deaths at different levels of awareness and mixing separation</w:t>
        </w:r>
        <w:r>
          <w:rPr>
            <w:noProof/>
            <w:webHidden/>
          </w:rPr>
          <w:tab/>
        </w:r>
        <w:r>
          <w:rPr>
            <w:noProof/>
            <w:webHidden/>
          </w:rPr>
          <w:fldChar w:fldCharType="begin"/>
        </w:r>
        <w:r>
          <w:rPr>
            <w:noProof/>
            <w:webHidden/>
          </w:rPr>
          <w:instrText xml:space="preserve"> PAGEREF _Toc121239032 \h </w:instrText>
        </w:r>
        <w:r>
          <w:rPr>
            <w:noProof/>
            <w:webHidden/>
          </w:rPr>
        </w:r>
        <w:r>
          <w:rPr>
            <w:noProof/>
            <w:webHidden/>
          </w:rPr>
          <w:fldChar w:fldCharType="separate"/>
        </w:r>
        <w:r>
          <w:rPr>
            <w:noProof/>
            <w:webHidden/>
          </w:rPr>
          <w:t>6</w:t>
        </w:r>
        <w:r>
          <w:rPr>
            <w:noProof/>
            <w:webHidden/>
          </w:rPr>
          <w:fldChar w:fldCharType="end"/>
        </w:r>
      </w:hyperlink>
    </w:p>
    <w:p w14:paraId="68AEC96D" w14:textId="04720A27" w:rsidR="00507713" w:rsidRDefault="00507713">
      <w:pPr>
        <w:pStyle w:val="TOC2"/>
        <w:rPr>
          <w:rFonts w:asciiTheme="minorHAnsi" w:eastAsiaTheme="minorEastAsia" w:hAnsiTheme="minorHAnsi"/>
          <w:noProof/>
          <w:sz w:val="22"/>
          <w:szCs w:val="22"/>
        </w:rPr>
      </w:pPr>
      <w:hyperlink w:anchor="_Toc121239033" w:history="1">
        <w:r w:rsidRPr="00026ACB">
          <w:rPr>
            <w:rStyle w:val="Hyperlink"/>
            <w:noProof/>
          </w:rPr>
          <w:t>Supplementary Figure 3. Separated mixing causes differences in cumulative deaths between the two groups, which close over time under separated awareness.</w:t>
        </w:r>
        <w:r>
          <w:rPr>
            <w:noProof/>
            <w:webHidden/>
          </w:rPr>
          <w:tab/>
        </w:r>
        <w:r>
          <w:rPr>
            <w:noProof/>
            <w:webHidden/>
          </w:rPr>
          <w:fldChar w:fldCharType="begin"/>
        </w:r>
        <w:r>
          <w:rPr>
            <w:noProof/>
            <w:webHidden/>
          </w:rPr>
          <w:instrText xml:space="preserve"> PAGEREF _Toc121239033 \h </w:instrText>
        </w:r>
        <w:r>
          <w:rPr>
            <w:noProof/>
            <w:webHidden/>
          </w:rPr>
        </w:r>
        <w:r>
          <w:rPr>
            <w:noProof/>
            <w:webHidden/>
          </w:rPr>
          <w:fldChar w:fldCharType="separate"/>
        </w:r>
        <w:r>
          <w:rPr>
            <w:noProof/>
            <w:webHidden/>
          </w:rPr>
          <w:t>7</w:t>
        </w:r>
        <w:r>
          <w:rPr>
            <w:noProof/>
            <w:webHidden/>
          </w:rPr>
          <w:fldChar w:fldCharType="end"/>
        </w:r>
      </w:hyperlink>
    </w:p>
    <w:p w14:paraId="14723A6F" w14:textId="4A0A73C8" w:rsidR="00507713" w:rsidRDefault="00507713" w:rsidP="00507713">
      <w:pPr>
        <w:pStyle w:val="TOC1"/>
        <w:rPr>
          <w:rFonts w:asciiTheme="minorHAnsi" w:eastAsiaTheme="minorEastAsia" w:hAnsiTheme="minorHAnsi"/>
          <w:noProof/>
          <w:sz w:val="22"/>
          <w:szCs w:val="22"/>
        </w:rPr>
      </w:pPr>
      <w:hyperlink w:anchor="_Toc121239034" w:history="1">
        <w:r w:rsidRPr="00026ACB">
          <w:rPr>
            <w:rStyle w:val="Hyperlink"/>
            <w:rFonts w:cs="Courier New"/>
            <w:noProof/>
          </w:rPr>
          <w:t>Intermediate levels of awareness and mixing separation</w:t>
        </w:r>
        <w:r>
          <w:rPr>
            <w:noProof/>
            <w:webHidden/>
          </w:rPr>
          <w:tab/>
        </w:r>
        <w:r>
          <w:rPr>
            <w:noProof/>
            <w:webHidden/>
          </w:rPr>
          <w:fldChar w:fldCharType="begin"/>
        </w:r>
        <w:r>
          <w:rPr>
            <w:noProof/>
            <w:webHidden/>
          </w:rPr>
          <w:instrText xml:space="preserve"> PAGEREF _Toc121239034 \h </w:instrText>
        </w:r>
        <w:r>
          <w:rPr>
            <w:noProof/>
            <w:webHidden/>
          </w:rPr>
        </w:r>
        <w:r>
          <w:rPr>
            <w:noProof/>
            <w:webHidden/>
          </w:rPr>
          <w:fldChar w:fldCharType="separate"/>
        </w:r>
        <w:r>
          <w:rPr>
            <w:noProof/>
            <w:webHidden/>
          </w:rPr>
          <w:t>8</w:t>
        </w:r>
        <w:r>
          <w:rPr>
            <w:noProof/>
            <w:webHidden/>
          </w:rPr>
          <w:fldChar w:fldCharType="end"/>
        </w:r>
      </w:hyperlink>
    </w:p>
    <w:p w14:paraId="7D387403" w14:textId="757CA7AF" w:rsidR="00507713" w:rsidRDefault="00507713">
      <w:pPr>
        <w:pStyle w:val="TOC2"/>
        <w:rPr>
          <w:rFonts w:asciiTheme="minorHAnsi" w:eastAsiaTheme="minorEastAsia" w:hAnsiTheme="minorHAnsi"/>
          <w:noProof/>
          <w:sz w:val="22"/>
          <w:szCs w:val="22"/>
        </w:rPr>
      </w:pPr>
      <w:hyperlink w:anchor="_Toc121239035" w:history="1">
        <w:r w:rsidRPr="00026ACB">
          <w:rPr>
            <w:rStyle w:val="Hyperlink"/>
            <w:noProof/>
          </w:rPr>
          <w:t>Supplementary Figure 4. Infection time series at intermediate levels of mixing and awareness separation demonstrate that a high level of mixing separation is necessary to produce between-group differences in epidemic trajectories.</w:t>
        </w:r>
        <w:r>
          <w:rPr>
            <w:noProof/>
            <w:webHidden/>
          </w:rPr>
          <w:tab/>
        </w:r>
        <w:r>
          <w:rPr>
            <w:noProof/>
            <w:webHidden/>
          </w:rPr>
          <w:fldChar w:fldCharType="begin"/>
        </w:r>
        <w:r>
          <w:rPr>
            <w:noProof/>
            <w:webHidden/>
          </w:rPr>
          <w:instrText xml:space="preserve"> PAGEREF _Toc121239035 \h </w:instrText>
        </w:r>
        <w:r>
          <w:rPr>
            <w:noProof/>
            <w:webHidden/>
          </w:rPr>
        </w:r>
        <w:r>
          <w:rPr>
            <w:noProof/>
            <w:webHidden/>
          </w:rPr>
          <w:fldChar w:fldCharType="separate"/>
        </w:r>
        <w:r>
          <w:rPr>
            <w:noProof/>
            <w:webHidden/>
          </w:rPr>
          <w:t>9</w:t>
        </w:r>
        <w:r>
          <w:rPr>
            <w:noProof/>
            <w:webHidden/>
          </w:rPr>
          <w:fldChar w:fldCharType="end"/>
        </w:r>
      </w:hyperlink>
    </w:p>
    <w:p w14:paraId="79C78010" w14:textId="5170BE2B" w:rsidR="00507713" w:rsidRDefault="00507713">
      <w:pPr>
        <w:pStyle w:val="TOC2"/>
        <w:rPr>
          <w:rFonts w:asciiTheme="minorHAnsi" w:eastAsiaTheme="minorEastAsia" w:hAnsiTheme="minorHAnsi"/>
          <w:noProof/>
          <w:sz w:val="22"/>
          <w:szCs w:val="22"/>
        </w:rPr>
      </w:pPr>
      <w:hyperlink w:anchor="_Toc121239036" w:history="1">
        <w:r w:rsidRPr="00026ACB">
          <w:rPr>
            <w:rStyle w:val="Hyperlink"/>
            <w:noProof/>
          </w:rPr>
          <w:t>Supplementary Figure 5. Given highly separated mixing, between-group differences in total and peak infection prevalence decrease</w:t>
        </w:r>
        <w:r>
          <w:rPr>
            <w:noProof/>
            <w:webHidden/>
          </w:rPr>
          <w:tab/>
        </w:r>
        <w:r>
          <w:rPr>
            <w:noProof/>
            <w:webHidden/>
          </w:rPr>
          <w:fldChar w:fldCharType="begin"/>
        </w:r>
        <w:r>
          <w:rPr>
            <w:noProof/>
            <w:webHidden/>
          </w:rPr>
          <w:instrText xml:space="preserve"> PAGEREF _Toc121239036 \h </w:instrText>
        </w:r>
        <w:r>
          <w:rPr>
            <w:noProof/>
            <w:webHidden/>
          </w:rPr>
        </w:r>
        <w:r>
          <w:rPr>
            <w:noProof/>
            <w:webHidden/>
          </w:rPr>
          <w:fldChar w:fldCharType="separate"/>
        </w:r>
        <w:r>
          <w:rPr>
            <w:noProof/>
            <w:webHidden/>
          </w:rPr>
          <w:t>10</w:t>
        </w:r>
        <w:r>
          <w:rPr>
            <w:noProof/>
            <w:webHidden/>
          </w:rPr>
          <w:fldChar w:fldCharType="end"/>
        </w:r>
      </w:hyperlink>
    </w:p>
    <w:p w14:paraId="7588D215" w14:textId="1F8E6F93" w:rsidR="00507713" w:rsidRDefault="00507713" w:rsidP="00507713">
      <w:pPr>
        <w:pStyle w:val="TOC1"/>
        <w:rPr>
          <w:rFonts w:asciiTheme="minorHAnsi" w:eastAsiaTheme="minorEastAsia" w:hAnsiTheme="minorHAnsi"/>
          <w:noProof/>
          <w:sz w:val="22"/>
          <w:szCs w:val="22"/>
        </w:rPr>
      </w:pPr>
      <w:hyperlink w:anchor="_Toc121239037" w:history="1">
        <w:r w:rsidRPr="00026ACB">
          <w:rPr>
            <w:rStyle w:val="Hyperlink"/>
            <w:rFonts w:cs="Courier New"/>
            <w:noProof/>
          </w:rPr>
          <w:t>Separated awareness helps to overcome different types of between-group differences</w:t>
        </w:r>
        <w:r>
          <w:rPr>
            <w:noProof/>
            <w:webHidden/>
          </w:rPr>
          <w:tab/>
        </w:r>
        <w:r>
          <w:rPr>
            <w:noProof/>
            <w:webHidden/>
          </w:rPr>
          <w:fldChar w:fldCharType="begin"/>
        </w:r>
        <w:r>
          <w:rPr>
            <w:noProof/>
            <w:webHidden/>
          </w:rPr>
          <w:instrText xml:space="preserve"> PAGEREF _Toc121239037 \h </w:instrText>
        </w:r>
        <w:r>
          <w:rPr>
            <w:noProof/>
            <w:webHidden/>
          </w:rPr>
        </w:r>
        <w:r>
          <w:rPr>
            <w:noProof/>
            <w:webHidden/>
          </w:rPr>
          <w:fldChar w:fldCharType="separate"/>
        </w:r>
        <w:r>
          <w:rPr>
            <w:noProof/>
            <w:webHidden/>
          </w:rPr>
          <w:t>11</w:t>
        </w:r>
        <w:r>
          <w:rPr>
            <w:noProof/>
            <w:webHidden/>
          </w:rPr>
          <w:fldChar w:fldCharType="end"/>
        </w:r>
      </w:hyperlink>
    </w:p>
    <w:p w14:paraId="1CF05B9A" w14:textId="2818902B" w:rsidR="00507713" w:rsidRDefault="00507713">
      <w:pPr>
        <w:pStyle w:val="TOC2"/>
        <w:rPr>
          <w:rFonts w:asciiTheme="minorHAnsi" w:eastAsiaTheme="minorEastAsia" w:hAnsiTheme="minorHAnsi"/>
          <w:noProof/>
          <w:sz w:val="22"/>
          <w:szCs w:val="22"/>
        </w:rPr>
      </w:pPr>
      <w:hyperlink w:anchor="_Toc121239038" w:history="1">
        <w:r w:rsidRPr="00026ACB">
          <w:rPr>
            <w:rStyle w:val="Hyperlink"/>
            <w:noProof/>
          </w:rPr>
          <w:t>Supplementary Figure 6. Separated awareness reduces differences in epidemic size between groups in epidemic size that arise from differences in transmission rates coupled with separated mixing.</w:t>
        </w:r>
        <w:r>
          <w:rPr>
            <w:noProof/>
            <w:webHidden/>
          </w:rPr>
          <w:tab/>
        </w:r>
        <w:r>
          <w:rPr>
            <w:noProof/>
            <w:webHidden/>
          </w:rPr>
          <w:fldChar w:fldCharType="begin"/>
        </w:r>
        <w:r>
          <w:rPr>
            <w:noProof/>
            <w:webHidden/>
          </w:rPr>
          <w:instrText xml:space="preserve"> PAGEREF _Toc121239038 \h </w:instrText>
        </w:r>
        <w:r>
          <w:rPr>
            <w:noProof/>
            <w:webHidden/>
          </w:rPr>
        </w:r>
        <w:r>
          <w:rPr>
            <w:noProof/>
            <w:webHidden/>
          </w:rPr>
          <w:fldChar w:fldCharType="separate"/>
        </w:r>
        <w:r>
          <w:rPr>
            <w:noProof/>
            <w:webHidden/>
          </w:rPr>
          <w:t>12</w:t>
        </w:r>
        <w:r>
          <w:rPr>
            <w:noProof/>
            <w:webHidden/>
          </w:rPr>
          <w:fldChar w:fldCharType="end"/>
        </w:r>
      </w:hyperlink>
    </w:p>
    <w:p w14:paraId="4BF6F30B" w14:textId="3B89203C" w:rsidR="00507713" w:rsidRDefault="00507713">
      <w:pPr>
        <w:pStyle w:val="TOC2"/>
        <w:rPr>
          <w:rFonts w:asciiTheme="minorHAnsi" w:eastAsiaTheme="minorEastAsia" w:hAnsiTheme="minorHAnsi"/>
          <w:noProof/>
          <w:sz w:val="22"/>
          <w:szCs w:val="22"/>
        </w:rPr>
      </w:pPr>
      <w:hyperlink w:anchor="_Toc121239039" w:history="1">
        <w:r w:rsidRPr="00026ACB">
          <w:rPr>
            <w:rStyle w:val="Hyperlink"/>
            <w:noProof/>
          </w:rPr>
          <w:t>Supplementary Figure 7. Separated awareness reduces differences in epidemic size between groups in epidemic size that arise from differences in infectious period coupled with separated mixing.</w:t>
        </w:r>
        <w:r>
          <w:rPr>
            <w:noProof/>
            <w:webHidden/>
          </w:rPr>
          <w:tab/>
        </w:r>
        <w:r>
          <w:rPr>
            <w:noProof/>
            <w:webHidden/>
          </w:rPr>
          <w:fldChar w:fldCharType="begin"/>
        </w:r>
        <w:r>
          <w:rPr>
            <w:noProof/>
            <w:webHidden/>
          </w:rPr>
          <w:instrText xml:space="preserve"> PAGEREF _Toc121239039 \h </w:instrText>
        </w:r>
        <w:r>
          <w:rPr>
            <w:noProof/>
            <w:webHidden/>
          </w:rPr>
        </w:r>
        <w:r>
          <w:rPr>
            <w:noProof/>
            <w:webHidden/>
          </w:rPr>
          <w:fldChar w:fldCharType="separate"/>
        </w:r>
        <w:r>
          <w:rPr>
            <w:noProof/>
            <w:webHidden/>
          </w:rPr>
          <w:t>13</w:t>
        </w:r>
        <w:r>
          <w:rPr>
            <w:noProof/>
            <w:webHidden/>
          </w:rPr>
          <w:fldChar w:fldCharType="end"/>
        </w:r>
      </w:hyperlink>
    </w:p>
    <w:p w14:paraId="5BD6CD81" w14:textId="05673150" w:rsidR="00507713" w:rsidRDefault="00507713">
      <w:pPr>
        <w:pStyle w:val="TOC2"/>
        <w:rPr>
          <w:rFonts w:asciiTheme="minorHAnsi" w:eastAsiaTheme="minorEastAsia" w:hAnsiTheme="minorHAnsi"/>
          <w:noProof/>
          <w:sz w:val="22"/>
          <w:szCs w:val="22"/>
        </w:rPr>
      </w:pPr>
      <w:hyperlink w:anchor="_Toc121239040" w:history="1">
        <w:r w:rsidRPr="00026ACB">
          <w:rPr>
            <w:rStyle w:val="Hyperlink"/>
            <w:noProof/>
          </w:rPr>
          <w:t>Supplementary Figure 8. Separated awareness reduces differences in mortality between groups arising from differences in their fatality probabilities and causes differences in infections between the groups</w:t>
        </w:r>
        <w:r>
          <w:rPr>
            <w:noProof/>
            <w:webHidden/>
          </w:rPr>
          <w:tab/>
        </w:r>
        <w:r>
          <w:rPr>
            <w:noProof/>
            <w:webHidden/>
          </w:rPr>
          <w:fldChar w:fldCharType="begin"/>
        </w:r>
        <w:r>
          <w:rPr>
            <w:noProof/>
            <w:webHidden/>
          </w:rPr>
          <w:instrText xml:space="preserve"> PAGEREF _Toc121239040 \h </w:instrText>
        </w:r>
        <w:r>
          <w:rPr>
            <w:noProof/>
            <w:webHidden/>
          </w:rPr>
        </w:r>
        <w:r>
          <w:rPr>
            <w:noProof/>
            <w:webHidden/>
          </w:rPr>
          <w:fldChar w:fldCharType="separate"/>
        </w:r>
        <w:r>
          <w:rPr>
            <w:noProof/>
            <w:webHidden/>
          </w:rPr>
          <w:t>14</w:t>
        </w:r>
        <w:r>
          <w:rPr>
            <w:noProof/>
            <w:webHidden/>
          </w:rPr>
          <w:fldChar w:fldCharType="end"/>
        </w:r>
      </w:hyperlink>
    </w:p>
    <w:p w14:paraId="5A96A5E7" w14:textId="61E40DA2" w:rsidR="00507713" w:rsidRDefault="00507713" w:rsidP="00507713">
      <w:pPr>
        <w:pStyle w:val="TOC1"/>
        <w:rPr>
          <w:rFonts w:asciiTheme="minorHAnsi" w:eastAsiaTheme="minorEastAsia" w:hAnsiTheme="minorHAnsi"/>
          <w:noProof/>
          <w:sz w:val="22"/>
          <w:szCs w:val="22"/>
        </w:rPr>
      </w:pPr>
      <w:hyperlink w:anchor="_Toc121239041" w:history="1">
        <w:r w:rsidRPr="00026ACB">
          <w:rPr>
            <w:rStyle w:val="Hyperlink"/>
            <w:rFonts w:cs="Courier New"/>
            <w:noProof/>
          </w:rPr>
          <w:t>Sensitivity to transmissibility, protective measure efficacy, and responsiveness</w:t>
        </w:r>
        <w:r>
          <w:rPr>
            <w:noProof/>
            <w:webHidden/>
          </w:rPr>
          <w:tab/>
        </w:r>
        <w:r>
          <w:rPr>
            <w:noProof/>
            <w:webHidden/>
          </w:rPr>
          <w:fldChar w:fldCharType="begin"/>
        </w:r>
        <w:r>
          <w:rPr>
            <w:noProof/>
            <w:webHidden/>
          </w:rPr>
          <w:instrText xml:space="preserve"> PAGEREF _Toc121239041 \h </w:instrText>
        </w:r>
        <w:r>
          <w:rPr>
            <w:noProof/>
            <w:webHidden/>
          </w:rPr>
        </w:r>
        <w:r>
          <w:rPr>
            <w:noProof/>
            <w:webHidden/>
          </w:rPr>
          <w:fldChar w:fldCharType="separate"/>
        </w:r>
        <w:r>
          <w:rPr>
            <w:noProof/>
            <w:webHidden/>
          </w:rPr>
          <w:t>15</w:t>
        </w:r>
        <w:r>
          <w:rPr>
            <w:noProof/>
            <w:webHidden/>
          </w:rPr>
          <w:fldChar w:fldCharType="end"/>
        </w:r>
      </w:hyperlink>
    </w:p>
    <w:p w14:paraId="6067792A" w14:textId="469E89B8" w:rsidR="00507713" w:rsidRDefault="00507713">
      <w:pPr>
        <w:pStyle w:val="TOC2"/>
        <w:rPr>
          <w:rFonts w:asciiTheme="minorHAnsi" w:eastAsiaTheme="minorEastAsia" w:hAnsiTheme="minorHAnsi"/>
          <w:noProof/>
          <w:sz w:val="22"/>
          <w:szCs w:val="22"/>
        </w:rPr>
      </w:pPr>
      <w:hyperlink w:anchor="_Toc121239042" w:history="1">
        <w:r w:rsidRPr="00026ACB">
          <w:rPr>
            <w:rStyle w:val="Hyperlink"/>
            <w:noProof/>
          </w:rPr>
          <w:t>Supplementary Figure 9. The ratio of total infections in group a versus group b increases with reduced pathogen transmissibility, greater protective behavior efficacy, or greater responsiveness.</w:t>
        </w:r>
        <w:r>
          <w:rPr>
            <w:noProof/>
            <w:webHidden/>
          </w:rPr>
          <w:tab/>
        </w:r>
        <w:r>
          <w:rPr>
            <w:noProof/>
            <w:webHidden/>
          </w:rPr>
          <w:fldChar w:fldCharType="begin"/>
        </w:r>
        <w:r>
          <w:rPr>
            <w:noProof/>
            <w:webHidden/>
          </w:rPr>
          <w:instrText xml:space="preserve"> PAGEREF _Toc121239042 \h </w:instrText>
        </w:r>
        <w:r>
          <w:rPr>
            <w:noProof/>
            <w:webHidden/>
          </w:rPr>
        </w:r>
        <w:r>
          <w:rPr>
            <w:noProof/>
            <w:webHidden/>
          </w:rPr>
          <w:fldChar w:fldCharType="separate"/>
        </w:r>
        <w:r>
          <w:rPr>
            <w:noProof/>
            <w:webHidden/>
          </w:rPr>
          <w:t>17</w:t>
        </w:r>
        <w:r>
          <w:rPr>
            <w:noProof/>
            <w:webHidden/>
          </w:rPr>
          <w:fldChar w:fldCharType="end"/>
        </w:r>
      </w:hyperlink>
    </w:p>
    <w:p w14:paraId="7CA02FD3" w14:textId="5E82C1B6" w:rsidR="00507713" w:rsidRDefault="00507713" w:rsidP="00507713">
      <w:pPr>
        <w:pStyle w:val="TOC1"/>
        <w:rPr>
          <w:rFonts w:asciiTheme="minorHAnsi" w:eastAsiaTheme="minorEastAsia" w:hAnsiTheme="minorHAnsi"/>
          <w:noProof/>
          <w:sz w:val="22"/>
          <w:szCs w:val="22"/>
        </w:rPr>
      </w:pPr>
      <w:hyperlink w:anchor="_Toc121239043" w:history="1">
        <w:r w:rsidRPr="00026ACB">
          <w:rPr>
            <w:rStyle w:val="Hyperlink"/>
            <w:rFonts w:cs="Courier New"/>
            <w:noProof/>
          </w:rPr>
          <w:t>Long-term memory and fatigue</w:t>
        </w:r>
        <w:r>
          <w:rPr>
            <w:noProof/>
            <w:webHidden/>
          </w:rPr>
          <w:tab/>
        </w:r>
        <w:r>
          <w:rPr>
            <w:noProof/>
            <w:webHidden/>
          </w:rPr>
          <w:fldChar w:fldCharType="begin"/>
        </w:r>
        <w:r>
          <w:rPr>
            <w:noProof/>
            <w:webHidden/>
          </w:rPr>
          <w:instrText xml:space="preserve"> PAGEREF _Toc121239043 \h </w:instrText>
        </w:r>
        <w:r>
          <w:rPr>
            <w:noProof/>
            <w:webHidden/>
          </w:rPr>
        </w:r>
        <w:r>
          <w:rPr>
            <w:noProof/>
            <w:webHidden/>
          </w:rPr>
          <w:fldChar w:fldCharType="separate"/>
        </w:r>
        <w:r>
          <w:rPr>
            <w:noProof/>
            <w:webHidden/>
          </w:rPr>
          <w:t>18</w:t>
        </w:r>
        <w:r>
          <w:rPr>
            <w:noProof/>
            <w:webHidden/>
          </w:rPr>
          <w:fldChar w:fldCharType="end"/>
        </w:r>
      </w:hyperlink>
    </w:p>
    <w:p w14:paraId="28579D40" w14:textId="3C9FB1EF" w:rsidR="00507713" w:rsidRDefault="00507713">
      <w:pPr>
        <w:pStyle w:val="TOC2"/>
        <w:rPr>
          <w:rFonts w:asciiTheme="minorHAnsi" w:eastAsiaTheme="minorEastAsia" w:hAnsiTheme="minorHAnsi"/>
          <w:noProof/>
          <w:sz w:val="22"/>
          <w:szCs w:val="22"/>
        </w:rPr>
      </w:pPr>
      <w:hyperlink w:anchor="_Toc121239044" w:history="1">
        <w:r w:rsidRPr="00026ACB">
          <w:rPr>
            <w:rStyle w:val="Hyperlink"/>
            <w:noProof/>
          </w:rPr>
          <w:t>Supplementary Figure 10. At intermediate levels of awareness separation, the first and second waves in group b have similar infection peak sizes.</w:t>
        </w:r>
        <w:r>
          <w:rPr>
            <w:noProof/>
            <w:webHidden/>
          </w:rPr>
          <w:tab/>
        </w:r>
        <w:r>
          <w:rPr>
            <w:noProof/>
            <w:webHidden/>
          </w:rPr>
          <w:fldChar w:fldCharType="begin"/>
        </w:r>
        <w:r>
          <w:rPr>
            <w:noProof/>
            <w:webHidden/>
          </w:rPr>
          <w:instrText xml:space="preserve"> PAGEREF _Toc121239044 \h </w:instrText>
        </w:r>
        <w:r>
          <w:rPr>
            <w:noProof/>
            <w:webHidden/>
          </w:rPr>
        </w:r>
        <w:r>
          <w:rPr>
            <w:noProof/>
            <w:webHidden/>
          </w:rPr>
          <w:fldChar w:fldCharType="separate"/>
        </w:r>
        <w:r>
          <w:rPr>
            <w:noProof/>
            <w:webHidden/>
          </w:rPr>
          <w:t>18</w:t>
        </w:r>
        <w:r>
          <w:rPr>
            <w:noProof/>
            <w:webHidden/>
          </w:rPr>
          <w:fldChar w:fldCharType="end"/>
        </w:r>
      </w:hyperlink>
    </w:p>
    <w:p w14:paraId="443873CC" w14:textId="6C758967" w:rsidR="00507713" w:rsidRDefault="00507713">
      <w:pPr>
        <w:pStyle w:val="TOC2"/>
        <w:rPr>
          <w:rFonts w:asciiTheme="minorHAnsi" w:eastAsiaTheme="minorEastAsia" w:hAnsiTheme="minorHAnsi"/>
          <w:noProof/>
          <w:sz w:val="22"/>
          <w:szCs w:val="22"/>
        </w:rPr>
      </w:pPr>
      <w:hyperlink w:anchor="_Toc121239045" w:history="1">
        <w:r w:rsidRPr="00026ACB">
          <w:rPr>
            <w:rStyle w:val="Hyperlink"/>
            <w:noProof/>
          </w:rPr>
          <w:t>Supplementary Figure 11. In the full population, awareness separation alters the shapes of the first and second waves of infections but does not significantly change cumulative deaths over time.</w:t>
        </w:r>
        <w:r>
          <w:rPr>
            <w:noProof/>
            <w:webHidden/>
          </w:rPr>
          <w:tab/>
        </w:r>
        <w:r>
          <w:rPr>
            <w:noProof/>
            <w:webHidden/>
          </w:rPr>
          <w:fldChar w:fldCharType="begin"/>
        </w:r>
        <w:r>
          <w:rPr>
            <w:noProof/>
            <w:webHidden/>
          </w:rPr>
          <w:instrText xml:space="preserve"> PAGEREF _Toc121239045 \h </w:instrText>
        </w:r>
        <w:r>
          <w:rPr>
            <w:noProof/>
            <w:webHidden/>
          </w:rPr>
        </w:r>
        <w:r>
          <w:rPr>
            <w:noProof/>
            <w:webHidden/>
          </w:rPr>
          <w:fldChar w:fldCharType="separate"/>
        </w:r>
        <w:r>
          <w:rPr>
            <w:noProof/>
            <w:webHidden/>
          </w:rPr>
          <w:t>19</w:t>
        </w:r>
        <w:r>
          <w:rPr>
            <w:noProof/>
            <w:webHidden/>
          </w:rPr>
          <w:fldChar w:fldCharType="end"/>
        </w:r>
      </w:hyperlink>
    </w:p>
    <w:p w14:paraId="44BF20E4" w14:textId="5E15FEEA" w:rsidR="00507713" w:rsidRDefault="00507713" w:rsidP="00507713">
      <w:pPr>
        <w:pStyle w:val="TOC1"/>
        <w:rPr>
          <w:rFonts w:asciiTheme="minorHAnsi" w:eastAsiaTheme="minorEastAsia" w:hAnsiTheme="minorHAnsi"/>
          <w:noProof/>
          <w:sz w:val="22"/>
          <w:szCs w:val="22"/>
        </w:rPr>
      </w:pPr>
      <w:hyperlink w:anchor="_Toc121239046" w:history="1">
        <w:r w:rsidRPr="00026ACB">
          <w:rPr>
            <w:rStyle w:val="Hyperlink"/>
            <w:rFonts w:cs="Courier New"/>
            <w:noProof/>
          </w:rPr>
          <w:t>Time series with pre-vaccine period</w:t>
        </w:r>
        <w:r>
          <w:rPr>
            <w:noProof/>
            <w:webHidden/>
          </w:rPr>
          <w:tab/>
        </w:r>
        <w:r>
          <w:rPr>
            <w:noProof/>
            <w:webHidden/>
          </w:rPr>
          <w:fldChar w:fldCharType="begin"/>
        </w:r>
        <w:r>
          <w:rPr>
            <w:noProof/>
            <w:webHidden/>
          </w:rPr>
          <w:instrText xml:space="preserve"> PAGEREF _Toc121239046 \h </w:instrText>
        </w:r>
        <w:r>
          <w:rPr>
            <w:noProof/>
            <w:webHidden/>
          </w:rPr>
        </w:r>
        <w:r>
          <w:rPr>
            <w:noProof/>
            <w:webHidden/>
          </w:rPr>
          <w:fldChar w:fldCharType="separate"/>
        </w:r>
        <w:r>
          <w:rPr>
            <w:noProof/>
            <w:webHidden/>
          </w:rPr>
          <w:t>20</w:t>
        </w:r>
        <w:r>
          <w:rPr>
            <w:noProof/>
            <w:webHidden/>
          </w:rPr>
          <w:fldChar w:fldCharType="end"/>
        </w:r>
      </w:hyperlink>
    </w:p>
    <w:p w14:paraId="735DA51D" w14:textId="7160FD7A" w:rsidR="00507713" w:rsidRDefault="00507713">
      <w:pPr>
        <w:pStyle w:val="TOC2"/>
        <w:rPr>
          <w:rFonts w:asciiTheme="minorHAnsi" w:eastAsiaTheme="minorEastAsia" w:hAnsiTheme="minorHAnsi"/>
          <w:noProof/>
          <w:sz w:val="22"/>
          <w:szCs w:val="22"/>
        </w:rPr>
      </w:pPr>
      <w:hyperlink w:anchor="_Toc121239047" w:history="1">
        <w:r w:rsidRPr="00026ACB">
          <w:rPr>
            <w:rStyle w:val="Hyperlink"/>
            <w:noProof/>
          </w:rPr>
          <w:t>Supplementary Figure 12. Epidemic intensity is greatest in the pre-vaccine period compared to the post-vaccine period.</w:t>
        </w:r>
        <w:r>
          <w:rPr>
            <w:noProof/>
            <w:webHidden/>
          </w:rPr>
          <w:tab/>
        </w:r>
        <w:r>
          <w:rPr>
            <w:noProof/>
            <w:webHidden/>
          </w:rPr>
          <w:fldChar w:fldCharType="begin"/>
        </w:r>
        <w:r>
          <w:rPr>
            <w:noProof/>
            <w:webHidden/>
          </w:rPr>
          <w:instrText xml:space="preserve"> PAGEREF _Toc121239047 \h </w:instrText>
        </w:r>
        <w:r>
          <w:rPr>
            <w:noProof/>
            <w:webHidden/>
          </w:rPr>
        </w:r>
        <w:r>
          <w:rPr>
            <w:noProof/>
            <w:webHidden/>
          </w:rPr>
          <w:fldChar w:fldCharType="separate"/>
        </w:r>
        <w:r>
          <w:rPr>
            <w:noProof/>
            <w:webHidden/>
          </w:rPr>
          <w:t>20</w:t>
        </w:r>
        <w:r>
          <w:rPr>
            <w:noProof/>
            <w:webHidden/>
          </w:rPr>
          <w:fldChar w:fldCharType="end"/>
        </w:r>
      </w:hyperlink>
    </w:p>
    <w:p w14:paraId="6A944504" w14:textId="21D5BA3B" w:rsidR="00507713" w:rsidRDefault="00507713" w:rsidP="00507713">
      <w:pPr>
        <w:pStyle w:val="TOC1"/>
        <w:rPr>
          <w:rFonts w:asciiTheme="minorHAnsi" w:eastAsiaTheme="minorEastAsia" w:hAnsiTheme="minorHAnsi"/>
          <w:noProof/>
          <w:sz w:val="22"/>
          <w:szCs w:val="22"/>
        </w:rPr>
      </w:pPr>
      <w:hyperlink w:anchor="_Toc121239048" w:history="1">
        <w:r w:rsidRPr="00026ACB">
          <w:rPr>
            <w:rStyle w:val="Hyperlink"/>
            <w:rFonts w:cs="Courier New"/>
            <w:noProof/>
          </w:rPr>
          <w:t>Sensitivity of vaccination outcomes to timing of vaccine introduction</w:t>
        </w:r>
        <w:r>
          <w:rPr>
            <w:noProof/>
            <w:webHidden/>
          </w:rPr>
          <w:tab/>
        </w:r>
        <w:r>
          <w:rPr>
            <w:noProof/>
            <w:webHidden/>
          </w:rPr>
          <w:fldChar w:fldCharType="begin"/>
        </w:r>
        <w:r>
          <w:rPr>
            <w:noProof/>
            <w:webHidden/>
          </w:rPr>
          <w:instrText xml:space="preserve"> PAGEREF _Toc121239048 \h </w:instrText>
        </w:r>
        <w:r>
          <w:rPr>
            <w:noProof/>
            <w:webHidden/>
          </w:rPr>
        </w:r>
        <w:r>
          <w:rPr>
            <w:noProof/>
            <w:webHidden/>
          </w:rPr>
          <w:fldChar w:fldCharType="separate"/>
        </w:r>
        <w:r>
          <w:rPr>
            <w:noProof/>
            <w:webHidden/>
          </w:rPr>
          <w:t>21</w:t>
        </w:r>
        <w:r>
          <w:rPr>
            <w:noProof/>
            <w:webHidden/>
          </w:rPr>
          <w:fldChar w:fldCharType="end"/>
        </w:r>
      </w:hyperlink>
    </w:p>
    <w:p w14:paraId="5528917B" w14:textId="054002A5" w:rsidR="00507713" w:rsidRDefault="00507713">
      <w:pPr>
        <w:pStyle w:val="TOC2"/>
        <w:rPr>
          <w:rFonts w:asciiTheme="minorHAnsi" w:eastAsiaTheme="minorEastAsia" w:hAnsiTheme="minorHAnsi"/>
          <w:noProof/>
          <w:sz w:val="22"/>
          <w:szCs w:val="22"/>
        </w:rPr>
      </w:pPr>
      <w:hyperlink w:anchor="_Toc121239049" w:history="1">
        <w:r w:rsidRPr="00026ACB">
          <w:rPr>
            <w:rStyle w:val="Hyperlink"/>
            <w:noProof/>
          </w:rPr>
          <w:t>Supplementary Figure 13. Between-group differences in cumulative deaths increase most quickly at the beginning of the epidemic and may be reduced with earlier vaccine introduction.</w:t>
        </w:r>
        <w:r>
          <w:rPr>
            <w:noProof/>
            <w:webHidden/>
          </w:rPr>
          <w:tab/>
        </w:r>
        <w:r>
          <w:rPr>
            <w:noProof/>
            <w:webHidden/>
          </w:rPr>
          <w:fldChar w:fldCharType="begin"/>
        </w:r>
        <w:r>
          <w:rPr>
            <w:noProof/>
            <w:webHidden/>
          </w:rPr>
          <w:instrText xml:space="preserve"> PAGEREF _Toc121239049 \h </w:instrText>
        </w:r>
        <w:r>
          <w:rPr>
            <w:noProof/>
            <w:webHidden/>
          </w:rPr>
        </w:r>
        <w:r>
          <w:rPr>
            <w:noProof/>
            <w:webHidden/>
          </w:rPr>
          <w:fldChar w:fldCharType="separate"/>
        </w:r>
        <w:r>
          <w:rPr>
            <w:noProof/>
            <w:webHidden/>
          </w:rPr>
          <w:t>22</w:t>
        </w:r>
        <w:r>
          <w:rPr>
            <w:noProof/>
            <w:webHidden/>
          </w:rPr>
          <w:fldChar w:fldCharType="end"/>
        </w:r>
      </w:hyperlink>
    </w:p>
    <w:p w14:paraId="1061EC29" w14:textId="424BC322" w:rsidR="00507713" w:rsidRDefault="00507713">
      <w:pPr>
        <w:pStyle w:val="TOC2"/>
        <w:rPr>
          <w:rFonts w:asciiTheme="minorHAnsi" w:eastAsiaTheme="minorEastAsia" w:hAnsiTheme="minorHAnsi"/>
          <w:noProof/>
          <w:sz w:val="22"/>
          <w:szCs w:val="22"/>
        </w:rPr>
      </w:pPr>
      <w:hyperlink w:anchor="_Toc121239050" w:history="1">
        <w:r w:rsidRPr="00026ACB">
          <w:rPr>
            <w:rStyle w:val="Hyperlink"/>
            <w:noProof/>
          </w:rPr>
          <w:t>Supplementary Figure 14. Earlier vaccine introduction decreases cumulative deaths in both groups, has minimal impact on cumulative vaccinations, and may decrease cumulative infections if immune protection is low to intermediate.</w:t>
        </w:r>
        <w:r>
          <w:rPr>
            <w:noProof/>
            <w:webHidden/>
          </w:rPr>
          <w:tab/>
        </w:r>
        <w:r>
          <w:rPr>
            <w:noProof/>
            <w:webHidden/>
          </w:rPr>
          <w:fldChar w:fldCharType="begin"/>
        </w:r>
        <w:r>
          <w:rPr>
            <w:noProof/>
            <w:webHidden/>
          </w:rPr>
          <w:instrText xml:space="preserve"> PAGEREF _Toc121239050 \h </w:instrText>
        </w:r>
        <w:r>
          <w:rPr>
            <w:noProof/>
            <w:webHidden/>
          </w:rPr>
        </w:r>
        <w:r>
          <w:rPr>
            <w:noProof/>
            <w:webHidden/>
          </w:rPr>
          <w:fldChar w:fldCharType="separate"/>
        </w:r>
        <w:r>
          <w:rPr>
            <w:noProof/>
            <w:webHidden/>
          </w:rPr>
          <w:t>23</w:t>
        </w:r>
        <w:r>
          <w:rPr>
            <w:noProof/>
            <w:webHidden/>
          </w:rPr>
          <w:fldChar w:fldCharType="end"/>
        </w:r>
      </w:hyperlink>
    </w:p>
    <w:p w14:paraId="6A25D65C" w14:textId="17AD9785" w:rsidR="0063545F" w:rsidRDefault="00A2165D" w:rsidP="00F20DC8">
      <w:pPr>
        <w:pStyle w:val="Heading1"/>
        <w:suppressLineNumbers/>
        <w:rPr>
          <w:rFonts w:ascii="Palatino Linotype" w:eastAsiaTheme="minorHAnsi" w:hAnsi="Palatino Linotype" w:cs="Courier New"/>
          <w:color w:val="000000" w:themeColor="text1"/>
          <w:sz w:val="24"/>
          <w:szCs w:val="24"/>
        </w:rPr>
      </w:pPr>
      <w:r>
        <w:rPr>
          <w:rFonts w:ascii="Palatino Linotype" w:eastAsiaTheme="minorHAnsi" w:hAnsi="Palatino Linotype" w:cs="Courier New"/>
          <w:color w:val="000000" w:themeColor="text1"/>
          <w:sz w:val="24"/>
          <w:szCs w:val="24"/>
        </w:rPr>
        <w:fldChar w:fldCharType="end"/>
      </w:r>
    </w:p>
    <w:p w14:paraId="4BA712EF" w14:textId="77777777" w:rsidR="0063545F" w:rsidRDefault="0063545F" w:rsidP="00F20DC8">
      <w:pPr>
        <w:suppressLineNumbers/>
        <w:spacing w:after="160" w:line="259" w:lineRule="auto"/>
        <w:rPr>
          <w:rFonts w:ascii="Palatino Linotype" w:hAnsi="Palatino Linotype" w:cs="Courier New"/>
          <w:b/>
          <w:bCs/>
          <w:color w:val="000000" w:themeColor="text1"/>
        </w:rPr>
      </w:pPr>
      <w:r>
        <w:rPr>
          <w:rFonts w:ascii="Palatino Linotype" w:hAnsi="Palatino Linotype" w:cs="Courier New"/>
          <w:color w:val="000000" w:themeColor="text1"/>
        </w:rPr>
        <w:br w:type="page"/>
      </w:r>
    </w:p>
    <w:p w14:paraId="40AAE543" w14:textId="272F3B26" w:rsidR="00E821B7" w:rsidRPr="00E821B7" w:rsidRDefault="00E821B7" w:rsidP="00E821B7">
      <w:pPr>
        <w:pStyle w:val="Heading1"/>
        <w:rPr>
          <w:rFonts w:ascii="Palatino Linotype" w:hAnsi="Palatino Linotype" w:cs="Courier New"/>
          <w:color w:val="000000" w:themeColor="text1"/>
        </w:rPr>
      </w:pPr>
      <w:bookmarkStart w:id="0" w:name="_Toc121239027"/>
      <w:r>
        <w:rPr>
          <w:rFonts w:ascii="Palatino Linotype" w:hAnsi="Palatino Linotype" w:cs="Courier New"/>
          <w:color w:val="000000" w:themeColor="text1"/>
        </w:rPr>
        <w:lastRenderedPageBreak/>
        <w:t>Parameter dictionary</w:t>
      </w:r>
      <w:bookmarkEnd w:id="0"/>
    </w:p>
    <w:p w14:paraId="005C0020" w14:textId="778BE616" w:rsidR="00846B64" w:rsidRPr="00F20DC8" w:rsidRDefault="00846B64" w:rsidP="00F20DC8">
      <w:pPr>
        <w:rPr>
          <w:rStyle w:val="figureexplanationChar"/>
        </w:rPr>
      </w:pPr>
      <w:bookmarkStart w:id="1" w:name="_Toc121239028"/>
      <w:bookmarkStart w:id="2" w:name="parameter-definitions"/>
      <w:r w:rsidRPr="00F20DC8">
        <w:rPr>
          <w:rStyle w:val="CaptionChar"/>
        </w:rPr>
        <w:t>Supplementary Table 1. Parameter dictionary providing parameter symbols, descriptions, and values for different scenarios</w:t>
      </w:r>
      <w:bookmarkEnd w:id="1"/>
      <w:r w:rsidRPr="00F20DC8">
        <w:rPr>
          <w:rStyle w:val="figureexplanationChar"/>
        </w:rPr>
        <w:t>. The parenthetical numbers in the values column indicate the scenario where the parameter takes the given values (1: separated mixing and awareness; 2: fatigue and awareness separation; 3: immunity and awareness separation).</w:t>
      </w:r>
    </w:p>
    <w:tbl>
      <w:tblPr>
        <w:tblStyle w:val="Table"/>
        <w:tblW w:w="0" w:type="auto"/>
        <w:tblLook w:val="0020" w:firstRow="1" w:lastRow="0" w:firstColumn="0" w:lastColumn="0" w:noHBand="0" w:noVBand="0"/>
      </w:tblPr>
      <w:tblGrid>
        <w:gridCol w:w="1311"/>
        <w:gridCol w:w="3466"/>
        <w:gridCol w:w="4583"/>
      </w:tblGrid>
      <w:tr w:rsidR="00846B64" w:rsidRPr="004608DC" w14:paraId="6D79C76B" w14:textId="77777777" w:rsidTr="0056793B">
        <w:trPr>
          <w:cnfStyle w:val="100000000000" w:firstRow="1" w:lastRow="0" w:firstColumn="0" w:lastColumn="0" w:oddVBand="0" w:evenVBand="0" w:oddHBand="0" w:evenHBand="0" w:firstRowFirstColumn="0" w:firstRowLastColumn="0" w:lastRowFirstColumn="0" w:lastRowLastColumn="0"/>
        </w:trPr>
        <w:tc>
          <w:tcPr>
            <w:tcW w:w="0" w:type="auto"/>
          </w:tcPr>
          <w:p w14:paraId="647D8864" w14:textId="77777777" w:rsidR="00846B64" w:rsidRPr="00ED52F5" w:rsidRDefault="00846B64" w:rsidP="001B6AE9">
            <w:pPr>
              <w:pStyle w:val="Compact"/>
            </w:pPr>
            <w:bookmarkStart w:id="3" w:name="stable1"/>
            <w:r w:rsidRPr="00ED52F5">
              <w:t>Parameter</w:t>
            </w:r>
          </w:p>
        </w:tc>
        <w:tc>
          <w:tcPr>
            <w:tcW w:w="3466" w:type="dxa"/>
          </w:tcPr>
          <w:p w14:paraId="3EE64A15" w14:textId="77777777" w:rsidR="00846B64" w:rsidRPr="00ED52F5" w:rsidRDefault="00846B64" w:rsidP="001B6AE9">
            <w:pPr>
              <w:pStyle w:val="Compact"/>
            </w:pPr>
            <w:r w:rsidRPr="00ED52F5">
              <w:t>Description</w:t>
            </w:r>
          </w:p>
        </w:tc>
        <w:tc>
          <w:tcPr>
            <w:tcW w:w="4583" w:type="dxa"/>
          </w:tcPr>
          <w:p w14:paraId="23B4E31E" w14:textId="77777777" w:rsidR="00846B64" w:rsidRPr="00ED52F5" w:rsidRDefault="00846B64" w:rsidP="001B6AE9">
            <w:pPr>
              <w:pStyle w:val="Compact"/>
            </w:pPr>
            <w:r w:rsidRPr="00ED52F5">
              <w:t>Value</w:t>
            </w:r>
          </w:p>
        </w:tc>
      </w:tr>
      <w:tr w:rsidR="00846B64" w:rsidRPr="004608DC" w14:paraId="2007DACE" w14:textId="77777777" w:rsidTr="0056793B">
        <w:tc>
          <w:tcPr>
            <w:tcW w:w="0" w:type="auto"/>
          </w:tcPr>
          <w:p w14:paraId="73E445AF" w14:textId="77777777" w:rsidR="00846B64" w:rsidRPr="00ED52F5" w:rsidRDefault="00846B64" w:rsidP="001B6AE9">
            <w:pPr>
              <w:pStyle w:val="Compact"/>
            </w:pPr>
            <m:oMathPara>
              <m:oMath>
                <m:r>
                  <w:rPr>
                    <w:rFonts w:ascii="Cambria Math" w:hAnsi="Cambria Math"/>
                  </w:rPr>
                  <m:t>β</m:t>
                </m:r>
              </m:oMath>
            </m:oMathPara>
          </w:p>
        </w:tc>
        <w:tc>
          <w:tcPr>
            <w:tcW w:w="3466" w:type="dxa"/>
          </w:tcPr>
          <w:p w14:paraId="1752477C" w14:textId="77777777" w:rsidR="00846B64" w:rsidRPr="00ED52F5" w:rsidRDefault="00846B64" w:rsidP="001B6AE9">
            <w:pPr>
              <w:pStyle w:val="Compact"/>
            </w:pPr>
            <w:r w:rsidRPr="00ED52F5">
              <w:t>Transmission coefficient</w:t>
            </w:r>
          </w:p>
        </w:tc>
        <w:tc>
          <w:tcPr>
            <w:tcW w:w="4583" w:type="dxa"/>
          </w:tcPr>
          <w:p w14:paraId="4A8D0BBB" w14:textId="77777777" w:rsidR="00846B64" w:rsidRPr="00ED52F5" w:rsidRDefault="00846B64" w:rsidP="001B6AE9">
            <w:pPr>
              <w:pStyle w:val="Compact"/>
              <w:rPr>
                <w:vertAlign w:val="superscript"/>
              </w:rPr>
            </w:pPr>
            <w:r w:rsidRPr="00ED52F5">
              <w:t>0.2 (1, 2, 3)</w:t>
            </w:r>
          </w:p>
        </w:tc>
      </w:tr>
      <w:tr w:rsidR="00846B64" w:rsidRPr="004608DC" w14:paraId="5DD641CA" w14:textId="77777777" w:rsidTr="0056793B">
        <w:tc>
          <w:tcPr>
            <w:tcW w:w="0" w:type="auto"/>
          </w:tcPr>
          <w:p w14:paraId="6861CA74" w14:textId="77777777" w:rsidR="00846B64" w:rsidRPr="00ED52F5" w:rsidRDefault="00846B64" w:rsidP="001B6AE9">
            <w:pPr>
              <w:pStyle w:val="Compact"/>
            </w:pPr>
            <m:oMathPara>
              <m:oMath>
                <m:r>
                  <m:rPr>
                    <m:sty m:val="p"/>
                  </m:rPr>
                  <w:rPr>
                    <w:rFonts w:ascii="Cambria Math" w:hAnsi="Cambria Math"/>
                  </w:rPr>
                  <m:t>1/</m:t>
                </m:r>
                <m:r>
                  <w:rPr>
                    <w:rFonts w:ascii="Cambria Math" w:hAnsi="Cambria Math"/>
                  </w:rPr>
                  <m:t>ρ</m:t>
                </m:r>
              </m:oMath>
            </m:oMathPara>
          </w:p>
        </w:tc>
        <w:tc>
          <w:tcPr>
            <w:tcW w:w="3466" w:type="dxa"/>
          </w:tcPr>
          <w:p w14:paraId="0AA0B822" w14:textId="727CB7C9" w:rsidR="00846B64" w:rsidRPr="00ED52F5" w:rsidRDefault="00846B64" w:rsidP="001B6AE9">
            <w:pPr>
              <w:pStyle w:val="Compact"/>
            </w:pPr>
            <w:r w:rsidRPr="00ED52F5">
              <w:t>Infectious period</w:t>
            </w:r>
            <w:r w:rsidR="005E41C4">
              <w:t xml:space="preserve"> (days)</w:t>
            </w:r>
          </w:p>
        </w:tc>
        <w:tc>
          <w:tcPr>
            <w:tcW w:w="4583" w:type="dxa"/>
          </w:tcPr>
          <w:p w14:paraId="52C4AAB8" w14:textId="77777777" w:rsidR="00846B64" w:rsidRPr="00ED52F5" w:rsidRDefault="00846B64" w:rsidP="001B6AE9">
            <w:pPr>
              <w:pStyle w:val="Compact"/>
            </w:pPr>
            <w:r w:rsidRPr="00ED52F5">
              <w:t>10 (1, 2 ,3)</w:t>
            </w:r>
          </w:p>
        </w:tc>
      </w:tr>
      <w:tr w:rsidR="00846B64" w:rsidRPr="004608DC" w14:paraId="188F5BAA" w14:textId="77777777" w:rsidTr="0056793B">
        <w:tc>
          <w:tcPr>
            <w:tcW w:w="0" w:type="auto"/>
          </w:tcPr>
          <w:p w14:paraId="7FA6C044" w14:textId="77777777" w:rsidR="00846B64" w:rsidRPr="00ED52F5" w:rsidRDefault="00846B64" w:rsidP="001B6AE9">
            <w:pPr>
              <w:pStyle w:val="Compact"/>
            </w:pPr>
            <m:oMathPara>
              <m:oMath>
                <m:r>
                  <w:rPr>
                    <w:rFonts w:ascii="Cambria Math" w:hAnsi="Cambria Math"/>
                  </w:rPr>
                  <m:t>μ</m:t>
                </m:r>
              </m:oMath>
            </m:oMathPara>
          </w:p>
        </w:tc>
        <w:tc>
          <w:tcPr>
            <w:tcW w:w="3466" w:type="dxa"/>
          </w:tcPr>
          <w:p w14:paraId="3B2AE165" w14:textId="59FCE669" w:rsidR="00846B64" w:rsidRPr="00ED52F5" w:rsidRDefault="002101E9" w:rsidP="001B6AE9">
            <w:pPr>
              <w:pStyle w:val="Compact"/>
            </w:pPr>
            <w:r>
              <w:t>Fatality probability</w:t>
            </w:r>
          </w:p>
        </w:tc>
        <w:tc>
          <w:tcPr>
            <w:tcW w:w="4583" w:type="dxa"/>
          </w:tcPr>
          <w:p w14:paraId="7715C0B8" w14:textId="77777777" w:rsidR="00846B64" w:rsidRPr="00ED52F5" w:rsidRDefault="00846B64" w:rsidP="001B6AE9">
            <w:pPr>
              <w:pStyle w:val="Compact"/>
              <w:rPr>
                <w:rFonts w:eastAsiaTheme="minorEastAsia"/>
                <w:iCs/>
              </w:rPr>
            </w:pPr>
            <w:r w:rsidRPr="00ED52F5">
              <w:t xml:space="preserve">0.01 (1,2); </w:t>
            </w:r>
            <w:r w:rsidRPr="00ED52F5">
              <w:br/>
            </w:r>
            <m:oMath>
              <m:sSub>
                <m:sSubPr>
                  <m:ctrlPr>
                    <w:rPr>
                      <w:rFonts w:ascii="Cambria Math" w:hAnsi="Cambria Math"/>
                    </w:rPr>
                  </m:ctrlPr>
                </m:sSubPr>
                <m:e>
                  <m:r>
                    <w:rPr>
                      <w:rFonts w:ascii="Cambria Math" w:hAnsi="Cambria Math"/>
                    </w:rPr>
                    <m:t>μ</m:t>
                  </m:r>
                </m:e>
                <m:sub>
                  <m:r>
                    <w:rPr>
                      <w:rFonts w:ascii="Cambria Math" w:hAnsi="Cambria Math"/>
                    </w:rPr>
                    <m:t>a</m:t>
                  </m:r>
                </m:sub>
              </m:sSub>
              <m:r>
                <m:rPr>
                  <m:sty m:val="p"/>
                </m:rPr>
                <w:rPr>
                  <w:rFonts w:ascii="Cambria Math" w:hAnsi="Cambria Math"/>
                </w:rPr>
                <m:t>=0.01</m:t>
              </m:r>
            </m:oMath>
            <w:r w:rsidRPr="00ED52F5">
              <w:rPr>
                <w:rFonts w:eastAsiaTheme="minorEastAsia"/>
                <w:iCs/>
              </w:rPr>
              <w:t xml:space="preserve"> and </w:t>
            </w:r>
            <m:oMath>
              <m:sSub>
                <m:sSubPr>
                  <m:ctrlPr>
                    <w:rPr>
                      <w:rFonts w:ascii="Cambria Math" w:hAnsi="Cambria Math"/>
                    </w:rPr>
                  </m:ctrlPr>
                </m:sSubPr>
                <m:e>
                  <m:r>
                    <w:rPr>
                      <w:rFonts w:ascii="Cambria Math" w:hAnsi="Cambria Math"/>
                    </w:rPr>
                    <m:t>μ</m:t>
                  </m:r>
                </m:e>
                <m:sub>
                  <m:r>
                    <w:rPr>
                      <w:rFonts w:ascii="Cambria Math" w:hAnsi="Cambria Math"/>
                    </w:rPr>
                    <m:t>b</m:t>
                  </m:r>
                </m:sub>
              </m:sSub>
              <m:r>
                <m:rPr>
                  <m:sty m:val="p"/>
                </m:rPr>
                <w:rPr>
                  <w:rFonts w:ascii="Cambria Math" w:hAnsi="Cambria Math"/>
                </w:rPr>
                <m:t xml:space="preserve">=0.02 </m:t>
              </m:r>
            </m:oMath>
            <w:r w:rsidRPr="00ED52F5">
              <w:rPr>
                <w:rFonts w:eastAsiaTheme="minorEastAsia"/>
                <w:iCs/>
              </w:rPr>
              <w:t>(3)</w:t>
            </w:r>
          </w:p>
        </w:tc>
      </w:tr>
      <w:tr w:rsidR="00846B64" w:rsidRPr="004608DC" w14:paraId="601A4F55" w14:textId="77777777" w:rsidTr="0056793B">
        <w:tc>
          <w:tcPr>
            <w:tcW w:w="0" w:type="auto"/>
          </w:tcPr>
          <w:p w14:paraId="4EBC564F" w14:textId="77777777" w:rsidR="00846B64" w:rsidRPr="00ED52F5" w:rsidRDefault="00846B64" w:rsidP="001B6AE9">
            <w:pPr>
              <w:pStyle w:val="Compact"/>
            </w:pPr>
            <m:oMathPara>
              <m:oMath>
                <m:r>
                  <w:rPr>
                    <w:rFonts w:ascii="Cambria Math" w:hAnsi="Cambria Math"/>
                  </w:rPr>
                  <m:t>κ</m:t>
                </m:r>
              </m:oMath>
            </m:oMathPara>
          </w:p>
        </w:tc>
        <w:tc>
          <w:tcPr>
            <w:tcW w:w="3466" w:type="dxa"/>
          </w:tcPr>
          <w:p w14:paraId="2A47EE77" w14:textId="77777777" w:rsidR="00846B64" w:rsidRPr="00ED52F5" w:rsidRDefault="00846B64" w:rsidP="001B6AE9">
            <w:pPr>
              <w:pStyle w:val="Compact"/>
            </w:pPr>
            <w:r w:rsidRPr="00ED52F5">
              <w:t>Transmission and infection reduction with protective behavior</w:t>
            </w:r>
          </w:p>
        </w:tc>
        <w:tc>
          <w:tcPr>
            <w:tcW w:w="4583" w:type="dxa"/>
          </w:tcPr>
          <w:p w14:paraId="249415F0" w14:textId="77777777" w:rsidR="00846B64" w:rsidRPr="00ED52F5" w:rsidRDefault="00846B64" w:rsidP="001B6AE9">
            <w:pPr>
              <w:pStyle w:val="Compact"/>
            </w:pPr>
            <w:r w:rsidRPr="00ED52F5">
              <w:t>0.3 (1, 2); 0.05 (3)</w:t>
            </w:r>
          </w:p>
        </w:tc>
      </w:tr>
      <w:tr w:rsidR="00846B64" w:rsidRPr="004608DC" w14:paraId="294C7350" w14:textId="77777777" w:rsidTr="0056793B">
        <w:tc>
          <w:tcPr>
            <w:tcW w:w="0" w:type="auto"/>
          </w:tcPr>
          <w:p w14:paraId="6C626417" w14:textId="77777777" w:rsidR="00846B64" w:rsidRPr="00ED52F5" w:rsidRDefault="00846B64" w:rsidP="001B6AE9">
            <w:pPr>
              <w:pStyle w:val="Compact"/>
            </w:pPr>
            <m:oMathPara>
              <m:oMath>
                <m:r>
                  <w:rPr>
                    <w:rFonts w:ascii="Cambria Math" w:hAnsi="Cambria Math"/>
                  </w:rPr>
                  <m:t>θ</m:t>
                </m:r>
              </m:oMath>
            </m:oMathPara>
          </w:p>
        </w:tc>
        <w:tc>
          <w:tcPr>
            <w:tcW w:w="3466" w:type="dxa"/>
          </w:tcPr>
          <w:p w14:paraId="15A6BBFF" w14:textId="77777777" w:rsidR="00846B64" w:rsidRPr="00ED52F5" w:rsidRDefault="00846B64" w:rsidP="001B6AE9">
            <w:pPr>
              <w:pStyle w:val="Compact"/>
            </w:pPr>
            <w:r w:rsidRPr="00ED52F5">
              <w:t>Responsiveness</w:t>
            </w:r>
          </w:p>
        </w:tc>
        <w:tc>
          <w:tcPr>
            <w:tcW w:w="4583" w:type="dxa"/>
          </w:tcPr>
          <w:p w14:paraId="3886E002" w14:textId="77777777" w:rsidR="00846B64" w:rsidRPr="00ED52F5" w:rsidRDefault="00846B64" w:rsidP="001B6AE9">
            <w:pPr>
              <w:pStyle w:val="Compact"/>
            </w:pPr>
            <w:r w:rsidRPr="00ED52F5">
              <w:t>100 (1, 2); 20 (3)</w:t>
            </w:r>
          </w:p>
        </w:tc>
      </w:tr>
      <w:tr w:rsidR="00846B64" w:rsidRPr="004608DC" w14:paraId="2D1A4C3F" w14:textId="77777777" w:rsidTr="0056793B">
        <w:tc>
          <w:tcPr>
            <w:tcW w:w="0" w:type="auto"/>
          </w:tcPr>
          <w:p w14:paraId="74F07B95" w14:textId="77777777" w:rsidR="00846B64" w:rsidRPr="00ED52F5" w:rsidRDefault="00846B64" w:rsidP="001B6AE9">
            <w:pPr>
              <w:pStyle w:val="Compact"/>
            </w:pPr>
            <m:oMathPara>
              <m:oMath>
                <m:r>
                  <m:rPr>
                    <m:scr m:val="script"/>
                    <m:sty m:val="p"/>
                  </m:rPr>
                  <w:rPr>
                    <w:rFonts w:ascii="Cambria Math" w:hAnsi="Cambria Math"/>
                  </w:rPr>
                  <m:t>l</m:t>
                </m:r>
              </m:oMath>
            </m:oMathPara>
          </w:p>
        </w:tc>
        <w:tc>
          <w:tcPr>
            <w:tcW w:w="3466" w:type="dxa"/>
          </w:tcPr>
          <w:p w14:paraId="48C1F3D2" w14:textId="77777777" w:rsidR="00846B64" w:rsidRPr="00ED52F5" w:rsidRDefault="00846B64" w:rsidP="001B6AE9">
            <w:pPr>
              <w:pStyle w:val="Compact"/>
            </w:pPr>
            <w:r w:rsidRPr="00ED52F5">
              <w:t>Memory</w:t>
            </w:r>
          </w:p>
        </w:tc>
        <w:tc>
          <w:tcPr>
            <w:tcW w:w="4583" w:type="dxa"/>
          </w:tcPr>
          <w:p w14:paraId="53B3A052" w14:textId="77777777" w:rsidR="00846B64" w:rsidRPr="00ED52F5" w:rsidRDefault="00846B64" w:rsidP="001B6AE9">
            <w:pPr>
              <w:pStyle w:val="Compact"/>
            </w:pPr>
            <w:r w:rsidRPr="00ED52F5">
              <w:t>0 (1); 30 (2, 3)</w:t>
            </w:r>
          </w:p>
        </w:tc>
      </w:tr>
      <w:tr w:rsidR="00846B64" w:rsidRPr="004608DC" w14:paraId="5ADC0B93" w14:textId="77777777" w:rsidTr="0056793B">
        <w:tc>
          <w:tcPr>
            <w:tcW w:w="0" w:type="auto"/>
          </w:tcPr>
          <w:p w14:paraId="64EBDA49" w14:textId="77777777" w:rsidR="00846B64" w:rsidRPr="00ED52F5" w:rsidRDefault="00846B64" w:rsidP="001B6AE9">
            <w:pPr>
              <w:pStyle w:val="Compact"/>
            </w:pPr>
            <m:oMathPara>
              <m:oMath>
                <m:r>
                  <w:rPr>
                    <w:rFonts w:ascii="Cambria Math" w:hAnsi="Cambria Math"/>
                  </w:rPr>
                  <m:t>ϕ</m:t>
                </m:r>
              </m:oMath>
            </m:oMathPara>
          </w:p>
        </w:tc>
        <w:tc>
          <w:tcPr>
            <w:tcW w:w="3466" w:type="dxa"/>
          </w:tcPr>
          <w:p w14:paraId="472214B6" w14:textId="77777777" w:rsidR="00846B64" w:rsidRPr="00ED52F5" w:rsidRDefault="00846B64" w:rsidP="001B6AE9">
            <w:pPr>
              <w:pStyle w:val="Compact"/>
            </w:pPr>
            <w:r w:rsidRPr="00ED52F5">
              <w:t>Fatigue (NPI model)/waning transmission-reducing immunity (vaccine model)</w:t>
            </w:r>
          </w:p>
        </w:tc>
        <w:tc>
          <w:tcPr>
            <w:tcW w:w="4583" w:type="dxa"/>
          </w:tcPr>
          <w:p w14:paraId="01815D11" w14:textId="77777777" w:rsidR="00846B64" w:rsidRPr="00ED52F5" w:rsidRDefault="00846B64" w:rsidP="001B6AE9">
            <w:pPr>
              <w:pStyle w:val="Compact"/>
            </w:pPr>
            <w:r w:rsidRPr="00ED52F5">
              <w:t>0 (1); 0.02 (2); 0.01 (3)</w:t>
            </w:r>
          </w:p>
        </w:tc>
      </w:tr>
      <w:tr w:rsidR="00846B64" w:rsidRPr="004608DC" w14:paraId="5A1CBC0F" w14:textId="77777777" w:rsidTr="00F20DC8">
        <w:tc>
          <w:tcPr>
            <w:tcW w:w="0" w:type="auto"/>
          </w:tcPr>
          <w:p w14:paraId="46B4DB4C" w14:textId="77777777" w:rsidR="00846B64" w:rsidRPr="00ED52F5" w:rsidRDefault="00846B64" w:rsidP="00F20DC8">
            <w:pPr>
              <w:pStyle w:val="Compact"/>
              <w:jc w:val="center"/>
            </w:pPr>
            <w:r w:rsidRPr="00ED52F5">
              <w:t>h</w:t>
            </w:r>
          </w:p>
        </w:tc>
        <w:tc>
          <w:tcPr>
            <w:tcW w:w="0" w:type="dxa"/>
          </w:tcPr>
          <w:p w14:paraId="234DD032" w14:textId="77777777" w:rsidR="00846B64" w:rsidRPr="00ED52F5" w:rsidRDefault="00846B64" w:rsidP="001B6AE9">
            <w:pPr>
              <w:pStyle w:val="Compact"/>
            </w:pPr>
            <w:r w:rsidRPr="00ED52F5">
              <w:t>Homophily</w:t>
            </w:r>
          </w:p>
        </w:tc>
        <w:tc>
          <w:tcPr>
            <w:tcW w:w="0" w:type="dxa"/>
          </w:tcPr>
          <w:p w14:paraId="7B38E2FB" w14:textId="77777777" w:rsidR="00846B64" w:rsidRPr="00ED52F5" w:rsidRDefault="00846B64" w:rsidP="001B6AE9">
            <w:pPr>
              <w:pStyle w:val="Compact"/>
            </w:pPr>
            <w:r w:rsidRPr="00ED52F5">
              <w:t>0.5 (uniform) or 0.99 (separated) (1</w:t>
            </w:r>
            <w:proofErr w:type="gramStart"/>
            <w:r w:rsidRPr="00ED52F5">
              <w:t>);</w:t>
            </w:r>
            <w:proofErr w:type="gramEnd"/>
          </w:p>
          <w:p w14:paraId="5068A8B3" w14:textId="77777777" w:rsidR="00846B64" w:rsidRPr="00ED52F5" w:rsidRDefault="00846B64" w:rsidP="001B6AE9">
            <w:pPr>
              <w:pStyle w:val="Compact"/>
            </w:pPr>
            <w:r w:rsidRPr="00ED52F5">
              <w:t>0.99 (separated) (2, 3)</w:t>
            </w:r>
          </w:p>
        </w:tc>
      </w:tr>
      <w:tr w:rsidR="00846B64" w:rsidRPr="004608DC" w14:paraId="159A0D5E" w14:textId="77777777" w:rsidTr="0056793B">
        <w:tc>
          <w:tcPr>
            <w:tcW w:w="0" w:type="auto"/>
          </w:tcPr>
          <w:p w14:paraId="1B676DE8" w14:textId="77777777" w:rsidR="00846B64" w:rsidRPr="00ED52F5" w:rsidRDefault="00846B64" w:rsidP="001B6AE9">
            <w:pPr>
              <w:pStyle w:val="Compact"/>
            </w:pPr>
            <m:oMathPara>
              <m:oMath>
                <m:r>
                  <w:rPr>
                    <w:rFonts w:ascii="Cambria Math" w:hAnsi="Cambria Math"/>
                  </w:rPr>
                  <m:t>ϵ</m:t>
                </m:r>
              </m:oMath>
            </m:oMathPara>
          </w:p>
        </w:tc>
        <w:tc>
          <w:tcPr>
            <w:tcW w:w="3466" w:type="dxa"/>
          </w:tcPr>
          <w:p w14:paraId="69F02AAE" w14:textId="77777777" w:rsidR="00846B64" w:rsidRPr="00ED52F5" w:rsidRDefault="00846B64" w:rsidP="001B6AE9">
            <w:pPr>
              <w:pStyle w:val="Compact"/>
            </w:pPr>
            <w:r w:rsidRPr="00ED52F5">
              <w:t>Assortative awareness level</w:t>
            </w:r>
          </w:p>
        </w:tc>
        <w:tc>
          <w:tcPr>
            <w:tcW w:w="4583" w:type="dxa"/>
          </w:tcPr>
          <w:p w14:paraId="3DA24767" w14:textId="77777777" w:rsidR="00846B64" w:rsidRPr="00ED52F5" w:rsidRDefault="00846B64" w:rsidP="001B6AE9">
            <w:pPr>
              <w:pStyle w:val="Compact"/>
            </w:pPr>
            <w:r w:rsidRPr="00ED52F5">
              <w:t>0.5 (uniform) or 0.99 (separated) (1, 2, 3)</w:t>
            </w:r>
          </w:p>
        </w:tc>
      </w:tr>
      <w:tr w:rsidR="00846B64" w:rsidRPr="004608DC" w14:paraId="38B800A2" w14:textId="77777777" w:rsidTr="0056793B">
        <w:tc>
          <w:tcPr>
            <w:tcW w:w="0" w:type="auto"/>
          </w:tcPr>
          <w:p w14:paraId="51FF858C" w14:textId="77777777" w:rsidR="00846B64" w:rsidRPr="00ED52F5" w:rsidRDefault="00846B64" w:rsidP="001B6AE9">
            <w:pPr>
              <w:pStyle w:val="Compact"/>
            </w:pPr>
            <m:oMathPara>
              <m:oMath>
                <m:r>
                  <w:rPr>
                    <w:rFonts w:ascii="Cambria Math" w:hAnsi="Cambria Math"/>
                  </w:rPr>
                  <m:t>ω</m:t>
                </m:r>
              </m:oMath>
            </m:oMathPara>
          </w:p>
        </w:tc>
        <w:tc>
          <w:tcPr>
            <w:tcW w:w="3466" w:type="dxa"/>
          </w:tcPr>
          <w:p w14:paraId="52B320C1" w14:textId="4C9021B3" w:rsidR="00846B64" w:rsidRPr="00ED52F5" w:rsidRDefault="00846B64" w:rsidP="001B6AE9">
            <w:pPr>
              <w:pStyle w:val="Compact"/>
            </w:pPr>
            <w:r w:rsidRPr="00ED52F5">
              <w:t>Return to susceptibility (waning immunity</w:t>
            </w:r>
            <w:r w:rsidR="005E41C4">
              <w:t>; 1/days</w:t>
            </w:r>
            <w:r w:rsidRPr="00ED52F5">
              <w:t>)</w:t>
            </w:r>
          </w:p>
        </w:tc>
        <w:tc>
          <w:tcPr>
            <w:tcW w:w="4583" w:type="dxa"/>
          </w:tcPr>
          <w:p w14:paraId="3CFC5E3C" w14:textId="77777777" w:rsidR="00846B64" w:rsidRPr="00ED52F5" w:rsidRDefault="00846B64" w:rsidP="001B6AE9">
            <w:pPr>
              <w:pStyle w:val="Compact"/>
            </w:pPr>
            <w:r w:rsidRPr="00ED52F5">
              <w:t>0.01 (3)</w:t>
            </w:r>
          </w:p>
        </w:tc>
      </w:tr>
      <w:tr w:rsidR="00846B64" w:rsidRPr="004608DC" w14:paraId="4C989C88" w14:textId="77777777" w:rsidTr="0056793B">
        <w:tc>
          <w:tcPr>
            <w:tcW w:w="0" w:type="auto"/>
          </w:tcPr>
          <w:p w14:paraId="05FD22B8" w14:textId="77777777" w:rsidR="00846B64" w:rsidRPr="00ED52F5" w:rsidRDefault="00846B64" w:rsidP="001B6AE9">
            <w:pPr>
              <w:pStyle w:val="Compact"/>
            </w:pPr>
            <m:oMathPara>
              <m:oMath>
                <m:r>
                  <w:rPr>
                    <w:rFonts w:ascii="Cambria Math" w:hAnsi="Cambria Math"/>
                  </w:rPr>
                  <m:t>ζ</m:t>
                </m:r>
              </m:oMath>
            </m:oMathPara>
          </w:p>
        </w:tc>
        <w:tc>
          <w:tcPr>
            <w:tcW w:w="3466" w:type="dxa"/>
          </w:tcPr>
          <w:p w14:paraId="5B29947B" w14:textId="77777777" w:rsidR="00846B64" w:rsidRPr="00ED52F5" w:rsidRDefault="00846B64" w:rsidP="001B6AE9">
            <w:pPr>
              <w:pStyle w:val="Compact"/>
            </w:pPr>
            <w:r w:rsidRPr="00ED52F5">
              <w:t>Mortality reduction</w:t>
            </w:r>
          </w:p>
        </w:tc>
        <w:tc>
          <w:tcPr>
            <w:tcW w:w="4583" w:type="dxa"/>
          </w:tcPr>
          <w:p w14:paraId="65320FE4" w14:textId="77777777" w:rsidR="00846B64" w:rsidRPr="00ED52F5" w:rsidRDefault="00846B64" w:rsidP="001B6AE9">
            <w:pPr>
              <w:pStyle w:val="Compact"/>
            </w:pPr>
            <w:r w:rsidRPr="00ED52F5">
              <w:t>0.05 (3)</w:t>
            </w:r>
          </w:p>
        </w:tc>
      </w:tr>
      <w:tr w:rsidR="00846B64" w:rsidRPr="004608DC" w14:paraId="10F1B7DA" w14:textId="77777777" w:rsidTr="0056793B">
        <w:tc>
          <w:tcPr>
            <w:tcW w:w="0" w:type="auto"/>
          </w:tcPr>
          <w:p w14:paraId="15B9ED2B" w14:textId="77777777" w:rsidR="00846B64" w:rsidRPr="00ED52F5" w:rsidRDefault="00000000" w:rsidP="001B6AE9">
            <w:pPr>
              <w:pStyle w:val="Compact"/>
              <w:rPr>
                <w:rFonts w:eastAsiaTheme="minorEastAsia"/>
              </w:rPr>
            </w:pPr>
            <m:oMathPara>
              <m:oMath>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 xml:space="preserve"> </m:t>
                </m:r>
              </m:oMath>
            </m:oMathPara>
          </w:p>
        </w:tc>
        <w:tc>
          <w:tcPr>
            <w:tcW w:w="3466" w:type="dxa"/>
          </w:tcPr>
          <w:p w14:paraId="18CC4358" w14:textId="2BA20603" w:rsidR="00846B64" w:rsidRPr="00ED52F5" w:rsidRDefault="00846B64" w:rsidP="001B6AE9">
            <w:pPr>
              <w:pStyle w:val="Compact"/>
            </w:pPr>
            <w:r w:rsidRPr="00ED52F5">
              <w:t>Vaccination Start Time</w:t>
            </w:r>
            <w:r w:rsidR="005E41C4">
              <w:t xml:space="preserve"> (days)</w:t>
            </w:r>
          </w:p>
        </w:tc>
        <w:tc>
          <w:tcPr>
            <w:tcW w:w="4583" w:type="dxa"/>
          </w:tcPr>
          <w:p w14:paraId="6F404DB3" w14:textId="77777777" w:rsidR="00846B64" w:rsidRPr="00ED52F5" w:rsidRDefault="00846B64" w:rsidP="001B6AE9">
            <w:pPr>
              <w:pStyle w:val="Compact"/>
            </w:pPr>
            <w:r w:rsidRPr="00ED52F5">
              <w:t>200 (3)</w:t>
            </w:r>
          </w:p>
        </w:tc>
      </w:tr>
    </w:tbl>
    <w:p w14:paraId="2426E85C" w14:textId="103B07F1" w:rsidR="00846B64" w:rsidRPr="00F20DC8" w:rsidRDefault="00E821B7" w:rsidP="00F20DC8">
      <w:pPr>
        <w:pStyle w:val="Heading1"/>
        <w:rPr>
          <w:rFonts w:ascii="Palatino Linotype" w:hAnsi="Palatino Linotype" w:cs="Courier New"/>
          <w:color w:val="000000" w:themeColor="text1"/>
        </w:rPr>
      </w:pPr>
      <w:bookmarkStart w:id="4" w:name="_Toc121239029"/>
      <w:bookmarkStart w:id="5" w:name="compartmental-diagrams"/>
      <w:bookmarkEnd w:id="2"/>
      <w:bookmarkEnd w:id="3"/>
      <w:r>
        <w:rPr>
          <w:rFonts w:ascii="Palatino Linotype" w:hAnsi="Palatino Linotype" w:cs="Courier New"/>
          <w:color w:val="000000" w:themeColor="text1"/>
        </w:rPr>
        <w:lastRenderedPageBreak/>
        <w:t>Compartmental diagrams</w:t>
      </w:r>
      <w:bookmarkEnd w:id="4"/>
    </w:p>
    <w:p w14:paraId="03ACD3D0" w14:textId="77777777" w:rsidR="00846B64" w:rsidRPr="00ED52F5" w:rsidRDefault="00846B64" w:rsidP="00846B64">
      <w:pPr>
        <w:pStyle w:val="CaptionedFigure"/>
        <w:jc w:val="center"/>
        <w:rPr>
          <w:rFonts w:ascii="Palatino Linotype" w:hAnsi="Palatino Linotype" w:cs="Courier New"/>
        </w:rPr>
      </w:pPr>
      <w:bookmarkStart w:id="6" w:name="figs1npidiag"/>
      <w:bookmarkStart w:id="7" w:name="figs1"/>
      <w:bookmarkStart w:id="8" w:name="figsupp1"/>
      <w:r w:rsidRPr="00ED52F5">
        <w:rPr>
          <w:rFonts w:ascii="Palatino Linotype" w:hAnsi="Palatino Linotype" w:cs="Courier New"/>
          <w:noProof/>
        </w:rPr>
        <w:drawing>
          <wp:inline distT="0" distB="0" distL="0" distR="0" wp14:anchorId="6CEB3972" wp14:editId="1707BBDC">
            <wp:extent cx="4191215" cy="4670665"/>
            <wp:effectExtent l="0" t="0" r="0" b="0"/>
            <wp:docPr id="10" name="Picture 10" descr="A picture containing text,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lock&#10;&#10;Description automatically generated"/>
                    <pic:cNvPicPr/>
                  </pic:nvPicPr>
                  <pic:blipFill>
                    <a:blip r:embed="rId8"/>
                    <a:stretch>
                      <a:fillRect/>
                    </a:stretch>
                  </pic:blipFill>
                  <pic:spPr>
                    <a:xfrm>
                      <a:off x="0" y="0"/>
                      <a:ext cx="4191215" cy="4670665"/>
                    </a:xfrm>
                    <a:prstGeom prst="rect">
                      <a:avLst/>
                    </a:prstGeom>
                  </pic:spPr>
                </pic:pic>
              </a:graphicData>
            </a:graphic>
          </wp:inline>
        </w:drawing>
      </w:r>
      <w:bookmarkEnd w:id="6"/>
      <w:bookmarkEnd w:id="7"/>
      <w:bookmarkEnd w:id="8"/>
    </w:p>
    <w:p w14:paraId="1846837E" w14:textId="02322CC8" w:rsidR="00846B64" w:rsidRPr="00A2165D" w:rsidRDefault="00846B64" w:rsidP="00F20DC8">
      <w:bookmarkStart w:id="9" w:name="_Toc121239030"/>
      <w:r w:rsidRPr="00F20DC8">
        <w:rPr>
          <w:rStyle w:val="CaptionChar"/>
        </w:rPr>
        <w:t>Supplementary Figure 1. Compartmental diagram for non-pharmaceutical intervention model that tracks status with respect to infection and attitude toward protective behaviors.</w:t>
      </w:r>
      <w:bookmarkEnd w:id="9"/>
      <w:r w:rsidRPr="00F20DC8">
        <w:rPr>
          <w:rStyle w:val="CaptionChar"/>
        </w:rPr>
        <w:t xml:space="preserve"> </w:t>
      </w:r>
      <w:r w:rsidRPr="00F20DC8">
        <w:rPr>
          <w:rStyle w:val="figureexplanationChar"/>
        </w:rPr>
        <w:t>The first letter of each compartment name gives the state with respect to the disease transmission process (S</w:t>
      </w:r>
      <w:r w:rsidR="003939E2">
        <w:rPr>
          <w:rStyle w:val="figureexplanationChar"/>
        </w:rPr>
        <w:t xml:space="preserve"> </w:t>
      </w:r>
      <w:r w:rsidRPr="00F20DC8">
        <w:rPr>
          <w:rStyle w:val="figureexplanationChar"/>
        </w:rPr>
        <w:t>=</w:t>
      </w:r>
      <w:r w:rsidR="003939E2">
        <w:rPr>
          <w:rStyle w:val="figureexplanationChar"/>
        </w:rPr>
        <w:t xml:space="preserve"> </w:t>
      </w:r>
      <w:r w:rsidRPr="00F20DC8">
        <w:rPr>
          <w:rStyle w:val="figureexplanationChar"/>
        </w:rPr>
        <w:t>Susceptible, I</w:t>
      </w:r>
      <w:r w:rsidR="003939E2">
        <w:rPr>
          <w:rStyle w:val="figureexplanationChar"/>
        </w:rPr>
        <w:t xml:space="preserve"> </w:t>
      </w:r>
      <w:r w:rsidRPr="00F20DC8">
        <w:rPr>
          <w:rStyle w:val="figureexplanationChar"/>
        </w:rPr>
        <w:t>=</w:t>
      </w:r>
      <w:r w:rsidR="003939E2">
        <w:rPr>
          <w:rStyle w:val="figureexplanationChar"/>
        </w:rPr>
        <w:t xml:space="preserve"> </w:t>
      </w:r>
      <w:r w:rsidRPr="00F20DC8">
        <w:rPr>
          <w:rStyle w:val="figureexplanationChar"/>
        </w:rPr>
        <w:t>Infectious, R</w:t>
      </w:r>
      <w:r w:rsidR="003939E2">
        <w:rPr>
          <w:rStyle w:val="figureexplanationChar"/>
        </w:rPr>
        <w:t xml:space="preserve"> </w:t>
      </w:r>
      <w:r w:rsidRPr="00F20DC8">
        <w:rPr>
          <w:rStyle w:val="figureexplanationChar"/>
        </w:rPr>
        <w:t>=</w:t>
      </w:r>
      <w:r w:rsidR="003939E2">
        <w:rPr>
          <w:rStyle w:val="figureexplanationChar"/>
        </w:rPr>
        <w:t xml:space="preserve"> </w:t>
      </w:r>
      <w:r w:rsidRPr="00F20DC8">
        <w:rPr>
          <w:rStyle w:val="figureexplanationChar"/>
        </w:rPr>
        <w:t>Recovered, D</w:t>
      </w:r>
      <w:r w:rsidR="003939E2">
        <w:rPr>
          <w:rStyle w:val="figureexplanationChar"/>
        </w:rPr>
        <w:t xml:space="preserve"> </w:t>
      </w:r>
      <w:r w:rsidR="003939E2" w:rsidRPr="00332C1C">
        <w:rPr>
          <w:rStyle w:val="figureexplanationChar"/>
        </w:rPr>
        <w:t>=</w:t>
      </w:r>
      <w:r w:rsidR="003939E2">
        <w:rPr>
          <w:rStyle w:val="figureexplanationChar"/>
        </w:rPr>
        <w:t xml:space="preserve"> </w:t>
      </w:r>
      <w:r w:rsidRPr="00F20DC8">
        <w:rPr>
          <w:rStyle w:val="figureexplanationChar"/>
        </w:rPr>
        <w:t>Deceased) and the second letter of each compartment name gives state with respect to awareness-driven protective behavior (U</w:t>
      </w:r>
      <w:r w:rsidR="003939E2">
        <w:rPr>
          <w:rStyle w:val="figureexplanationChar"/>
        </w:rPr>
        <w:t xml:space="preserve"> </w:t>
      </w:r>
      <w:r w:rsidR="003939E2" w:rsidRPr="00332C1C">
        <w:rPr>
          <w:rStyle w:val="figureexplanationChar"/>
        </w:rPr>
        <w:t>=</w:t>
      </w:r>
      <w:r w:rsidR="003939E2">
        <w:rPr>
          <w:rStyle w:val="figureexplanationChar"/>
        </w:rPr>
        <w:t xml:space="preserve"> </w:t>
      </w:r>
      <w:r w:rsidRPr="00F20DC8">
        <w:rPr>
          <w:rStyle w:val="figureexplanationChar"/>
        </w:rPr>
        <w:t>Unprotective, P</w:t>
      </w:r>
      <w:r w:rsidR="003939E2">
        <w:rPr>
          <w:rStyle w:val="figureexplanationChar"/>
        </w:rPr>
        <w:t xml:space="preserve"> </w:t>
      </w:r>
      <w:r w:rsidR="003939E2" w:rsidRPr="00332C1C">
        <w:rPr>
          <w:rStyle w:val="figureexplanationChar"/>
        </w:rPr>
        <w:t>=</w:t>
      </w:r>
      <w:r w:rsidR="003939E2">
        <w:rPr>
          <w:rStyle w:val="figureexplanationChar"/>
        </w:rPr>
        <w:t xml:space="preserve"> </w:t>
      </w:r>
      <w:r w:rsidRPr="00F20DC8">
        <w:rPr>
          <w:rStyle w:val="figureexplanationChar"/>
        </w:rPr>
        <w:t>Protective). Squares are colored based on state with respect to disease. Potential transitions are indicated with arrows. Brown arrows indicate awareness-based adoption of protective measures</w:t>
      </w:r>
      <w:r w:rsidR="005E41C4">
        <w:rPr>
          <w:rStyle w:val="figureexplanationChar"/>
        </w:rPr>
        <w:t xml:space="preserve"> while black arrows indicate </w:t>
      </w:r>
      <w:r w:rsidR="002A03FC">
        <w:rPr>
          <w:rStyle w:val="figureexplanationChar"/>
        </w:rPr>
        <w:t xml:space="preserve">other transitions, specifically </w:t>
      </w:r>
      <w:r w:rsidR="005E41C4">
        <w:rPr>
          <w:rStyle w:val="figureexplanationChar"/>
        </w:rPr>
        <w:t>disease state transitions</w:t>
      </w:r>
      <w:r w:rsidR="002A03FC">
        <w:rPr>
          <w:rStyle w:val="figureexplanationChar"/>
        </w:rPr>
        <w:t xml:space="preserve"> and abandonment of protective measures with fatigue</w:t>
      </w:r>
      <w:r w:rsidRPr="00F20DC8">
        <w:rPr>
          <w:rStyle w:val="figureexplanationChar"/>
        </w:rPr>
        <w:t>. This diagram corresponds to the model described in Equation 1</w:t>
      </w:r>
      <w:r w:rsidR="00EE1A89">
        <w:rPr>
          <w:rStyle w:val="figureexplanationChar"/>
        </w:rPr>
        <w:t xml:space="preserve"> without groups.</w:t>
      </w:r>
      <w:r w:rsidR="00FC5AD3">
        <w:rPr>
          <w:rStyle w:val="figureexplanationChar"/>
        </w:rPr>
        <w:t xml:space="preserve"> </w:t>
      </w:r>
      <w:r w:rsidR="00891667">
        <w:rPr>
          <w:rStyle w:val="figureexplanationChar"/>
        </w:rPr>
        <w:t>Each group contains the compartments and transitions displayed</w:t>
      </w:r>
      <w:r w:rsidR="00245FE3">
        <w:rPr>
          <w:rStyle w:val="figureexplanationChar"/>
        </w:rPr>
        <w:t>. T</w:t>
      </w:r>
      <w:r w:rsidR="00891667">
        <w:rPr>
          <w:rStyle w:val="figureexplanationChar"/>
        </w:rPr>
        <w:t>ransitions between group</w:t>
      </w:r>
      <w:r w:rsidR="00171E29">
        <w:rPr>
          <w:rStyle w:val="figureexplanationChar"/>
        </w:rPr>
        <w:t>s</w:t>
      </w:r>
      <w:r w:rsidR="00171E29">
        <w:rPr>
          <w:rStyle w:val="figureexplanationChar"/>
          <w:i w:val="0"/>
          <w:iCs w:val="0"/>
        </w:rPr>
        <w:t xml:space="preserve"> a </w:t>
      </w:r>
      <w:r w:rsidR="00171E29">
        <w:rPr>
          <w:rStyle w:val="figureexplanationChar"/>
        </w:rPr>
        <w:t xml:space="preserve">and </w:t>
      </w:r>
      <w:r w:rsidR="00171E29">
        <w:rPr>
          <w:rStyle w:val="figureexplanationChar"/>
          <w:i w:val="0"/>
          <w:iCs w:val="0"/>
        </w:rPr>
        <w:t xml:space="preserve">b </w:t>
      </w:r>
      <w:r w:rsidR="00171E29">
        <w:rPr>
          <w:rStyle w:val="figureexplanationChar"/>
        </w:rPr>
        <w:t xml:space="preserve">are not possible, but </w:t>
      </w:r>
      <w:r w:rsidR="000775DD">
        <w:rPr>
          <w:rStyle w:val="figureexplanationChar"/>
        </w:rPr>
        <w:t>transition rates in one group may be dependent</w:t>
      </w:r>
      <w:r w:rsidR="00193725">
        <w:rPr>
          <w:rStyle w:val="figureexplanationChar"/>
        </w:rPr>
        <w:t xml:space="preserve"> on infection prevalence and mortality in the opposite group.</w:t>
      </w:r>
    </w:p>
    <w:p w14:paraId="642F43B3" w14:textId="77777777" w:rsidR="00846B64" w:rsidRPr="00ED52F5" w:rsidRDefault="00846B64" w:rsidP="00846B64">
      <w:pPr>
        <w:pStyle w:val="CaptionedFigure"/>
        <w:rPr>
          <w:rFonts w:ascii="Palatino Linotype" w:hAnsi="Palatino Linotype" w:cs="Courier New"/>
        </w:rPr>
      </w:pPr>
      <w:bookmarkStart w:id="10" w:name="figs2_vaxdiag"/>
      <w:bookmarkStart w:id="11" w:name="figsupp2"/>
      <w:r w:rsidRPr="00ED52F5">
        <w:rPr>
          <w:rFonts w:ascii="Palatino Linotype" w:hAnsi="Palatino Linotype" w:cs="Courier New"/>
          <w:noProof/>
        </w:rPr>
        <w:lastRenderedPageBreak/>
        <w:drawing>
          <wp:inline distT="0" distB="0" distL="0" distR="0" wp14:anchorId="1EBE9AB3" wp14:editId="11418C36">
            <wp:extent cx="5943600" cy="3148965"/>
            <wp:effectExtent l="0" t="0" r="0" b="0"/>
            <wp:docPr id="9" name="Picture 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ck&#10;&#10;Description automatically generated"/>
                    <pic:cNvPicPr/>
                  </pic:nvPicPr>
                  <pic:blipFill>
                    <a:blip r:embed="rId9"/>
                    <a:stretch>
                      <a:fillRect/>
                    </a:stretch>
                  </pic:blipFill>
                  <pic:spPr>
                    <a:xfrm>
                      <a:off x="0" y="0"/>
                      <a:ext cx="5943600" cy="3148965"/>
                    </a:xfrm>
                    <a:prstGeom prst="rect">
                      <a:avLst/>
                    </a:prstGeom>
                  </pic:spPr>
                </pic:pic>
              </a:graphicData>
            </a:graphic>
          </wp:inline>
        </w:drawing>
      </w:r>
      <w:bookmarkEnd w:id="10"/>
      <w:bookmarkEnd w:id="11"/>
    </w:p>
    <w:p w14:paraId="04451C72" w14:textId="0002357A" w:rsidR="00846B64" w:rsidRPr="00F20DC8" w:rsidRDefault="00846B64" w:rsidP="00F20DC8">
      <w:pPr>
        <w:rPr>
          <w:rStyle w:val="figureexplanationChar"/>
        </w:rPr>
      </w:pPr>
      <w:bookmarkStart w:id="12" w:name="_Toc121239031"/>
      <w:r w:rsidRPr="00F20DC8">
        <w:rPr>
          <w:rStyle w:val="CaptionChar"/>
        </w:rPr>
        <w:t>Supplementary Figure 2. Compartmental diagram for vaccination model that tracks status with respect to infection and immune status.</w:t>
      </w:r>
      <w:bookmarkEnd w:id="12"/>
      <w:r w:rsidRPr="00F20DC8">
        <w:rPr>
          <w:rStyle w:val="CaptionChar"/>
        </w:rPr>
        <w:t xml:space="preserve"> </w:t>
      </w:r>
      <w:r w:rsidRPr="00F20DC8">
        <w:rPr>
          <w:rStyle w:val="figureexplanationChar"/>
        </w:rPr>
        <w:t>The first letter of each compartment name gives the state with respect to the disease transmission process (S=Susceptible, I</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Infectious, R</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Recovered, D</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Deceased) and the second letter of each compartment name gives immune status (U</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Unprotective, T</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Transmission and Mortality-</w:t>
      </w:r>
      <w:r w:rsidR="00307DEA">
        <w:rPr>
          <w:rStyle w:val="figureexplanationChar"/>
        </w:rPr>
        <w:t>Reduc</w:t>
      </w:r>
      <w:r w:rsidRPr="00F20DC8">
        <w:rPr>
          <w:rStyle w:val="figureexplanationChar"/>
        </w:rPr>
        <w:t>ing, M</w:t>
      </w:r>
      <w:r w:rsidR="00307DEA">
        <w:rPr>
          <w:rStyle w:val="figureexplanationChar"/>
        </w:rPr>
        <w:t xml:space="preserve"> </w:t>
      </w:r>
      <w:r w:rsidR="00307DEA" w:rsidRPr="00332C1C">
        <w:rPr>
          <w:rStyle w:val="figureexplanationChar"/>
        </w:rPr>
        <w:t>=</w:t>
      </w:r>
      <w:r w:rsidR="00307DEA">
        <w:rPr>
          <w:rStyle w:val="figureexplanationChar"/>
        </w:rPr>
        <w:t xml:space="preserve"> </w:t>
      </w:r>
      <w:r w:rsidRPr="00F20DC8">
        <w:rPr>
          <w:rStyle w:val="figureexplanationChar"/>
        </w:rPr>
        <w:t>Mortality-</w:t>
      </w:r>
      <w:r w:rsidR="00307DEA">
        <w:rPr>
          <w:rStyle w:val="figureexplanationChar"/>
        </w:rPr>
        <w:t>Reduc</w:t>
      </w:r>
      <w:r w:rsidR="00307DEA" w:rsidRPr="00F20DC8">
        <w:rPr>
          <w:rStyle w:val="figureexplanationChar"/>
        </w:rPr>
        <w:t xml:space="preserve">ing </w:t>
      </w:r>
      <w:r w:rsidRPr="00F20DC8">
        <w:rPr>
          <w:rStyle w:val="figureexplanationChar"/>
        </w:rPr>
        <w:t>alone). Squares are colored based on state with respect to disease. Potential transitions are indicated with arrows. Brown arrows indicate awareness-based vaccination</w:t>
      </w:r>
      <w:r w:rsidR="005E41C4">
        <w:rPr>
          <w:rStyle w:val="figureexplanationChar"/>
        </w:rPr>
        <w:t xml:space="preserve"> while black arrows indicate disease state transitions</w:t>
      </w:r>
      <w:r w:rsidRPr="00F20DC8">
        <w:rPr>
          <w:rStyle w:val="figureexplanationChar"/>
        </w:rPr>
        <w:t>. This diagram corresponds to the model described in Equation 3</w:t>
      </w:r>
      <w:r w:rsidR="00193725">
        <w:rPr>
          <w:rStyle w:val="figureexplanationChar"/>
        </w:rPr>
        <w:t xml:space="preserve"> without groups. Each group contains the compartments and transitions displayed above</w:t>
      </w:r>
      <w:r w:rsidR="00245FE3">
        <w:rPr>
          <w:rStyle w:val="figureexplanationChar"/>
        </w:rPr>
        <w:t>.</w:t>
      </w:r>
      <w:r w:rsidR="00193725">
        <w:rPr>
          <w:rStyle w:val="figureexplanationChar"/>
        </w:rPr>
        <w:t xml:space="preserve"> </w:t>
      </w:r>
      <w:r w:rsidR="00245FE3">
        <w:rPr>
          <w:rStyle w:val="figureexplanationChar"/>
        </w:rPr>
        <w:t>T</w:t>
      </w:r>
      <w:r w:rsidR="00193725">
        <w:rPr>
          <w:rStyle w:val="figureexplanationChar"/>
        </w:rPr>
        <w:t>ransitions between groups</w:t>
      </w:r>
      <w:r w:rsidR="00193725">
        <w:rPr>
          <w:rStyle w:val="figureexplanationChar"/>
          <w:i w:val="0"/>
          <w:iCs w:val="0"/>
        </w:rPr>
        <w:t xml:space="preserve"> a </w:t>
      </w:r>
      <w:r w:rsidR="00193725">
        <w:rPr>
          <w:rStyle w:val="figureexplanationChar"/>
        </w:rPr>
        <w:t xml:space="preserve">and </w:t>
      </w:r>
      <w:r w:rsidR="00193725">
        <w:rPr>
          <w:rStyle w:val="figureexplanationChar"/>
          <w:i w:val="0"/>
          <w:iCs w:val="0"/>
        </w:rPr>
        <w:t xml:space="preserve">b </w:t>
      </w:r>
      <w:r w:rsidR="00193725">
        <w:rPr>
          <w:rStyle w:val="figureexplanationChar"/>
        </w:rPr>
        <w:t xml:space="preserve">are not possible, but transition rates in one group may be dependent on infection prevalence and mortality in the opposite group. </w:t>
      </w:r>
    </w:p>
    <w:p w14:paraId="227F284E" w14:textId="77777777" w:rsidR="001B6AE9" w:rsidRDefault="001B6AE9" w:rsidP="00846B64">
      <w:pPr>
        <w:rPr>
          <w:rFonts w:ascii="Palatino Linotype" w:hAnsi="Palatino Linotype" w:cs="Courier New"/>
        </w:rPr>
      </w:pPr>
    </w:p>
    <w:p w14:paraId="4B940D6C" w14:textId="2A52CEC1" w:rsidR="001B6AE9" w:rsidRDefault="001B6AE9" w:rsidP="00846B64">
      <w:pPr>
        <w:rPr>
          <w:rFonts w:ascii="Palatino Linotype" w:hAnsi="Palatino Linotype" w:cs="Courier New"/>
        </w:rPr>
      </w:pPr>
    </w:p>
    <w:p w14:paraId="45D29AC1" w14:textId="503200CD" w:rsidR="001B6AE9" w:rsidRDefault="001B6AE9" w:rsidP="00846B64">
      <w:pPr>
        <w:rPr>
          <w:rFonts w:ascii="Palatino Linotype" w:hAnsi="Palatino Linotype" w:cs="Courier New"/>
        </w:rPr>
      </w:pPr>
    </w:p>
    <w:p w14:paraId="2955A7D1" w14:textId="2005BEA9" w:rsidR="001B6AE9" w:rsidRDefault="001B6AE9" w:rsidP="00846B64">
      <w:pPr>
        <w:rPr>
          <w:rFonts w:ascii="Palatino Linotype" w:hAnsi="Palatino Linotype" w:cs="Courier New"/>
        </w:rPr>
      </w:pPr>
    </w:p>
    <w:p w14:paraId="17700DC6" w14:textId="10EA26E3" w:rsidR="001B6AE9" w:rsidRDefault="001B6AE9" w:rsidP="00846B64">
      <w:pPr>
        <w:rPr>
          <w:rFonts w:ascii="Palatino Linotype" w:hAnsi="Palatino Linotype" w:cs="Courier New"/>
        </w:rPr>
      </w:pPr>
    </w:p>
    <w:p w14:paraId="01E282A6" w14:textId="77777777" w:rsidR="001B6AE9" w:rsidRPr="00ED52F5" w:rsidRDefault="001B6AE9" w:rsidP="00846B64">
      <w:pPr>
        <w:rPr>
          <w:rFonts w:ascii="Palatino Linotype" w:hAnsi="Palatino Linotype" w:cs="Courier New"/>
        </w:rPr>
      </w:pPr>
    </w:p>
    <w:p w14:paraId="1A0EB9F9" w14:textId="568EF787" w:rsidR="00846B64" w:rsidRPr="00ED52F5" w:rsidRDefault="00846B64" w:rsidP="00F20DC8"/>
    <w:p w14:paraId="46A0FB96" w14:textId="433751C2" w:rsidR="00846B64" w:rsidRDefault="00080779">
      <w:pPr>
        <w:pStyle w:val="Heading1"/>
        <w:rPr>
          <w:rFonts w:ascii="Palatino Linotype" w:hAnsi="Palatino Linotype" w:cs="Courier New"/>
          <w:color w:val="000000" w:themeColor="text1"/>
        </w:rPr>
      </w:pPr>
      <w:bookmarkStart w:id="13" w:name="_Toc103941888"/>
      <w:bookmarkStart w:id="14" w:name="_Toc121239032"/>
      <w:r>
        <w:rPr>
          <w:rFonts w:ascii="Palatino Linotype" w:hAnsi="Palatino Linotype" w:cs="Courier New"/>
          <w:color w:val="000000" w:themeColor="text1"/>
        </w:rPr>
        <w:lastRenderedPageBreak/>
        <w:t xml:space="preserve">Cumulative </w:t>
      </w:r>
      <w:r w:rsidR="00D937AB">
        <w:rPr>
          <w:rFonts w:ascii="Palatino Linotype" w:hAnsi="Palatino Linotype" w:cs="Courier New"/>
          <w:color w:val="000000" w:themeColor="text1"/>
        </w:rPr>
        <w:t xml:space="preserve">deaths </w:t>
      </w:r>
      <w:r w:rsidR="007B6950">
        <w:rPr>
          <w:rFonts w:ascii="Palatino Linotype" w:hAnsi="Palatino Linotype" w:cs="Courier New"/>
          <w:color w:val="000000" w:themeColor="text1"/>
        </w:rPr>
        <w:t>at different levels of awareness and mixing</w:t>
      </w:r>
      <w:r w:rsidR="00FA2854">
        <w:rPr>
          <w:rFonts w:ascii="Palatino Linotype" w:hAnsi="Palatino Linotype" w:cs="Courier New"/>
          <w:color w:val="000000" w:themeColor="text1"/>
        </w:rPr>
        <w:t xml:space="preserve"> </w:t>
      </w:r>
      <w:r w:rsidR="007B6950">
        <w:rPr>
          <w:rFonts w:ascii="Palatino Linotype" w:hAnsi="Palatino Linotype" w:cs="Courier New"/>
          <w:color w:val="000000" w:themeColor="text1"/>
        </w:rPr>
        <w:t>separation</w:t>
      </w:r>
      <w:bookmarkEnd w:id="14"/>
    </w:p>
    <w:p w14:paraId="7DF9F072" w14:textId="05C1DC92" w:rsidR="00D713F7" w:rsidRDefault="001B6AE9" w:rsidP="001B6AE9">
      <w:pPr>
        <w:pStyle w:val="BodyText"/>
      </w:pPr>
      <w:r>
        <w:t xml:space="preserve">To better understand the impacts of awareness and mixing </w:t>
      </w:r>
      <w:r w:rsidR="001529EE">
        <w:t xml:space="preserve">separation, we plot cumulative deaths in group </w:t>
      </w:r>
      <w:r w:rsidR="001529EE">
        <w:rPr>
          <w:i/>
          <w:iCs/>
        </w:rPr>
        <w:t>a</w:t>
      </w:r>
      <w:r w:rsidR="001529EE">
        <w:t xml:space="preserve">, group </w:t>
      </w:r>
      <w:r w:rsidR="001529EE">
        <w:rPr>
          <w:i/>
          <w:iCs/>
        </w:rPr>
        <w:t>b</w:t>
      </w:r>
      <w:r w:rsidR="001529EE">
        <w:t xml:space="preserve">, and the full population (group </w:t>
      </w:r>
      <w:r w:rsidR="001529EE">
        <w:rPr>
          <w:i/>
          <w:iCs/>
        </w:rPr>
        <w:t xml:space="preserve">a </w:t>
      </w:r>
      <w:r w:rsidR="001529EE">
        <w:t xml:space="preserve">and group </w:t>
      </w:r>
      <w:r w:rsidR="001529EE">
        <w:rPr>
          <w:i/>
          <w:iCs/>
        </w:rPr>
        <w:t xml:space="preserve">b </w:t>
      </w:r>
      <w:r w:rsidR="001529EE">
        <w:t xml:space="preserve">combined) </w:t>
      </w:r>
      <w:r w:rsidR="005E41C4">
        <w:t xml:space="preserve">for the nonpharmaceutical intervention model in Equations 1-2 </w:t>
      </w:r>
      <w:r w:rsidR="001529EE">
        <w:t xml:space="preserve">(Supplementary Figure 3). </w:t>
      </w:r>
      <w:r w:rsidR="00C73A37">
        <w:t xml:space="preserve">Epidemic outcomes only vary </w:t>
      </w:r>
      <w:r w:rsidR="006019E2">
        <w:t xml:space="preserve">with separated mixing (Figure 1), which </w:t>
      </w:r>
      <w:r w:rsidR="002E4F4A">
        <w:t>reduc</w:t>
      </w:r>
      <w:r w:rsidR="00E22494">
        <w:t xml:space="preserve">es cumulative deaths </w:t>
      </w:r>
      <w:r w:rsidR="00A931B4">
        <w:t xml:space="preserve">in group </w:t>
      </w:r>
      <w:r w:rsidR="00A931B4">
        <w:rPr>
          <w:i/>
          <w:iCs/>
        </w:rPr>
        <w:t xml:space="preserve">b </w:t>
      </w:r>
      <w:r w:rsidR="00CE789E">
        <w:t xml:space="preserve">and increases cumulative deaths in group </w:t>
      </w:r>
      <w:proofErr w:type="gramStart"/>
      <w:r w:rsidR="00CE789E">
        <w:rPr>
          <w:i/>
          <w:iCs/>
        </w:rPr>
        <w:t xml:space="preserve">a </w:t>
      </w:r>
      <w:r w:rsidR="00294E65">
        <w:t>for</w:t>
      </w:r>
      <w:proofErr w:type="gramEnd"/>
      <w:r w:rsidR="00294E65">
        <w:t xml:space="preserve"> most of the epidemic</w:t>
      </w:r>
      <w:r w:rsidR="002E4F4A">
        <w:t xml:space="preserve">. </w:t>
      </w:r>
      <w:r w:rsidR="008F6E50">
        <w:t xml:space="preserve">The difference in cumulative deaths between the two groups </w:t>
      </w:r>
      <w:r w:rsidR="001E72C0">
        <w:t xml:space="preserve">is maintained across time given uniform awareness, as </w:t>
      </w:r>
      <w:r w:rsidR="00684785">
        <w:t xml:space="preserve">group </w:t>
      </w:r>
      <w:proofErr w:type="gramStart"/>
      <w:r w:rsidR="00684785">
        <w:rPr>
          <w:i/>
          <w:iCs/>
        </w:rPr>
        <w:t>a</w:t>
      </w:r>
      <w:proofErr w:type="gramEnd"/>
      <w:r w:rsidR="00684785">
        <w:rPr>
          <w:i/>
          <w:iCs/>
        </w:rPr>
        <w:t xml:space="preserve"> </w:t>
      </w:r>
      <w:r w:rsidR="00D713F7">
        <w:t>experiences a large epidemic with more cumulative infections (Figure</w:t>
      </w:r>
      <w:r w:rsidR="00F10D9F">
        <w:t>s</w:t>
      </w:r>
      <w:r w:rsidR="00D713F7">
        <w:t xml:space="preserve"> 1C, </w:t>
      </w:r>
      <w:r w:rsidR="00F10D9F">
        <w:t>2</w:t>
      </w:r>
      <w:r w:rsidR="00D17316">
        <w:t>E</w:t>
      </w:r>
      <w:r w:rsidR="00C41EFF">
        <w:t xml:space="preserve">, </w:t>
      </w:r>
      <w:r w:rsidR="00D713F7">
        <w:t xml:space="preserve">Supplementary Figure </w:t>
      </w:r>
      <w:r w:rsidR="003B307E">
        <w:t>3C and D</w:t>
      </w:r>
      <w:r w:rsidR="00D713F7">
        <w:t xml:space="preserve">). </w:t>
      </w:r>
      <w:r w:rsidR="008F6E50" w:rsidRPr="001E72C0">
        <w:t>With</w:t>
      </w:r>
      <w:r w:rsidR="008F6E50">
        <w:t xml:space="preserve"> </w:t>
      </w:r>
      <w:r w:rsidR="001E72C0">
        <w:t xml:space="preserve">separated </w:t>
      </w:r>
      <w:r w:rsidR="00EF2D6C">
        <w:t>awareness</w:t>
      </w:r>
      <w:r w:rsidR="00B03361">
        <w:t>, both groups</w:t>
      </w:r>
      <w:r w:rsidR="00EF2D6C">
        <w:t xml:space="preserve"> </w:t>
      </w:r>
      <w:r w:rsidR="006E6F71">
        <w:t xml:space="preserve">reach the same cumulative deaths by the end of the epidemic, experiencing </w:t>
      </w:r>
      <w:r w:rsidR="00EF2D6C">
        <w:t xml:space="preserve">epidemics of equivalent sizes </w:t>
      </w:r>
      <w:r w:rsidR="004169B1">
        <w:t xml:space="preserve">with a time delay (Figure 1D) </w:t>
      </w:r>
      <w:r w:rsidR="003B307E">
        <w:t xml:space="preserve">(Supplementary Figure </w:t>
      </w:r>
      <w:r w:rsidR="000F2279">
        <w:t>3</w:t>
      </w:r>
      <w:r w:rsidR="003B307E">
        <w:t>D)</w:t>
      </w:r>
      <w:r w:rsidR="004169B1">
        <w:t xml:space="preserve">. </w:t>
      </w:r>
      <w:r w:rsidR="001A1D1C">
        <w:t>Mixing and awareness separation ha</w:t>
      </w:r>
      <w:r w:rsidR="0056174F">
        <w:t xml:space="preserve">ve minimal impact on cumulative deaths in the full population; instead, disease burden shifts between group </w:t>
      </w:r>
      <w:r w:rsidR="0056174F">
        <w:rPr>
          <w:i/>
          <w:iCs/>
        </w:rPr>
        <w:t xml:space="preserve">a </w:t>
      </w:r>
      <w:r w:rsidR="0056174F">
        <w:t xml:space="preserve">and </w:t>
      </w:r>
      <w:r w:rsidR="0056174F">
        <w:rPr>
          <w:i/>
          <w:iCs/>
        </w:rPr>
        <w:t xml:space="preserve">b </w:t>
      </w:r>
      <w:r w:rsidR="0056174F">
        <w:t xml:space="preserve">in an approximately symmetric manner (Supplementary Figure </w:t>
      </w:r>
      <w:r w:rsidR="007C420D">
        <w:t>5</w:t>
      </w:r>
      <w:r w:rsidR="000F2279">
        <w:t xml:space="preserve">A and </w:t>
      </w:r>
      <w:r w:rsidR="007C420D">
        <w:t>C</w:t>
      </w:r>
      <w:r w:rsidR="0056174F">
        <w:t>).</w:t>
      </w:r>
    </w:p>
    <w:p w14:paraId="3975BB05" w14:textId="77777777" w:rsidR="00D713F7" w:rsidRDefault="00D713F7">
      <w:pPr>
        <w:spacing w:after="160" w:line="259" w:lineRule="auto"/>
        <w:rPr>
          <w:rFonts w:ascii="Palatino Linotype" w:hAnsi="Palatino Linotype" w:cs="Courier New"/>
        </w:rPr>
      </w:pPr>
      <w:r>
        <w:br w:type="page"/>
      </w:r>
    </w:p>
    <w:p w14:paraId="3F6C85BD" w14:textId="77777777" w:rsidR="001B6AE9" w:rsidRPr="00F20DC8" w:rsidRDefault="001B6AE9" w:rsidP="00F20DC8">
      <w:pPr>
        <w:pStyle w:val="BodyText"/>
      </w:pPr>
    </w:p>
    <w:p w14:paraId="3DBE4E53" w14:textId="01ECBCF5" w:rsidR="00D937AB" w:rsidRDefault="00813669" w:rsidP="001B6AE9">
      <w:pPr>
        <w:pStyle w:val="BodyText"/>
      </w:pPr>
      <w:r w:rsidRPr="00813669">
        <w:rPr>
          <w:noProof/>
        </w:rPr>
        <w:drawing>
          <wp:inline distT="0" distB="0" distL="0" distR="0" wp14:anchorId="7219B0A2" wp14:editId="52B57CA7">
            <wp:extent cx="5277121" cy="445094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77121" cy="4450949"/>
                    </a:xfrm>
                    <a:prstGeom prst="rect">
                      <a:avLst/>
                    </a:prstGeom>
                  </pic:spPr>
                </pic:pic>
              </a:graphicData>
            </a:graphic>
          </wp:inline>
        </w:drawing>
      </w:r>
    </w:p>
    <w:p w14:paraId="05FE4463" w14:textId="6F4EB3BD" w:rsidR="00193062" w:rsidRPr="00F20DC8" w:rsidRDefault="00AB0E67" w:rsidP="00F20DC8">
      <w:pPr>
        <w:rPr>
          <w:rStyle w:val="figureexplanationChar"/>
        </w:rPr>
      </w:pPr>
      <w:bookmarkStart w:id="15" w:name="_Toc121239033"/>
      <w:r w:rsidRPr="00F20DC8">
        <w:rPr>
          <w:rStyle w:val="CaptionChar"/>
        </w:rPr>
        <w:t xml:space="preserve">Supplementary Figure 3. </w:t>
      </w:r>
      <w:r w:rsidR="001311C3" w:rsidRPr="00F20DC8">
        <w:rPr>
          <w:rStyle w:val="CaptionChar"/>
        </w:rPr>
        <w:t>Separated mixing</w:t>
      </w:r>
      <w:r w:rsidRPr="00F20DC8">
        <w:rPr>
          <w:rStyle w:val="CaptionChar"/>
        </w:rPr>
        <w:t xml:space="preserve"> causes </w:t>
      </w:r>
      <w:r w:rsidR="00D213E9" w:rsidRPr="00F20DC8">
        <w:rPr>
          <w:rStyle w:val="CaptionChar"/>
        </w:rPr>
        <w:t xml:space="preserve">differences in cumulative deaths between the two groups, which </w:t>
      </w:r>
      <w:r w:rsidR="001311C3" w:rsidRPr="00F20DC8">
        <w:rPr>
          <w:rStyle w:val="CaptionChar"/>
        </w:rPr>
        <w:t>close over time under separated awareness.</w:t>
      </w:r>
      <w:bookmarkEnd w:id="15"/>
      <w:r w:rsidR="00D213E9" w:rsidRPr="00B76CA4">
        <w:t xml:space="preserve"> </w:t>
      </w:r>
      <w:r w:rsidRPr="00F20DC8">
        <w:rPr>
          <w:rStyle w:val="figureexplanationChar"/>
        </w:rPr>
        <w:t xml:space="preserve">Plots show </w:t>
      </w:r>
      <w:r w:rsidR="000655A5" w:rsidRPr="00F20DC8">
        <w:rPr>
          <w:rStyle w:val="figureexplanationChar"/>
        </w:rPr>
        <w:t>cumulative deaths</w:t>
      </w:r>
      <w:r w:rsidRPr="00F20DC8">
        <w:rPr>
          <w:rStyle w:val="figureexplanationChar"/>
        </w:rPr>
        <w:t xml:space="preserve"> over time in group a (pink)</w:t>
      </w:r>
      <w:r w:rsidR="002F534D">
        <w:rPr>
          <w:rStyle w:val="figureexplanationChar"/>
        </w:rPr>
        <w:t>,</w:t>
      </w:r>
      <w:r w:rsidRPr="00F20DC8">
        <w:rPr>
          <w:rStyle w:val="figureexplanationChar"/>
        </w:rPr>
        <w:t xml:space="preserve"> group b (green)</w:t>
      </w:r>
      <w:r w:rsidR="002F534D">
        <w:rPr>
          <w:rStyle w:val="figureexplanationChar"/>
        </w:rPr>
        <w:t>,</w:t>
      </w:r>
      <w:r w:rsidRPr="00F20DC8">
        <w:rPr>
          <w:rStyle w:val="figureexplanationChar"/>
        </w:rPr>
        <w:t xml:space="preserve"> </w:t>
      </w:r>
      <w:r w:rsidR="000655A5" w:rsidRPr="00F20DC8">
        <w:rPr>
          <w:rStyle w:val="figureexplanationChar"/>
        </w:rPr>
        <w:t xml:space="preserve">and the full population (black) </w:t>
      </w:r>
      <w:r w:rsidRPr="00F20DC8">
        <w:rPr>
          <w:rStyle w:val="figureexplanationChar"/>
        </w:rPr>
        <w:t>under four scenarios: awareness is uniform (A, C;</w:t>
      </w:r>
      <w:r w:rsidRPr="00F20DC8" w:rsidDel="00786CF1">
        <w:rPr>
          <w:rStyle w:val="figureexplanationChar"/>
        </w:rPr>
        <w:t xml:space="preserve"> </w:t>
      </w:r>
      <m:oMath>
        <m:r>
          <w:rPr>
            <w:rStyle w:val="figureexplanationChar"/>
            <w:rFonts w:ascii="Cambria Math" w:hAnsi="Cambria Math"/>
          </w:rPr>
          <m:t>ϵ</m:t>
        </m:r>
        <m:r>
          <m:rPr>
            <m:sty m:val="p"/>
          </m:rPr>
          <w:rPr>
            <w:rStyle w:val="figureexplanationChar"/>
            <w:rFonts w:ascii="Cambria Math" w:hAnsi="Cambria Math"/>
          </w:rPr>
          <m:t>=0.5</m:t>
        </m:r>
      </m:oMath>
      <w:r w:rsidRPr="00F20DC8">
        <w:rPr>
          <w:rStyle w:val="figureexplanationChar"/>
        </w:rPr>
        <w:t xml:space="preserve">) or separated (B, D; </w:t>
      </w:r>
      <m:oMath>
        <m:r>
          <w:rPr>
            <w:rStyle w:val="figureexplanationChar"/>
            <w:rFonts w:ascii="Cambria Math" w:hAnsi="Cambria Math"/>
          </w:rPr>
          <m:t>ϵ</m:t>
        </m:r>
        <m:r>
          <m:rPr>
            <m:sty m:val="p"/>
          </m:rPr>
          <w:rPr>
            <w:rStyle w:val="figureexplanationChar"/>
            <w:rFonts w:ascii="Cambria Math" w:hAnsi="Cambria Math"/>
          </w:rPr>
          <m:t>=0.99</m:t>
        </m:r>
      </m:oMath>
      <w:r w:rsidRPr="00F20DC8">
        <w:rPr>
          <w:rStyle w:val="figureexplanationChar"/>
        </w:rPr>
        <w:t xml:space="preserve">); mixing is uniform (A, B; </w:t>
      </w:r>
      <m:oMath>
        <m:r>
          <w:rPr>
            <w:rStyle w:val="figureexplanationChar"/>
            <w:rFonts w:ascii="Cambria Math" w:hAnsi="Cambria Math"/>
          </w:rPr>
          <m:t>h</m:t>
        </m:r>
        <m:r>
          <m:rPr>
            <m:sty m:val="p"/>
          </m:rPr>
          <w:rPr>
            <w:rStyle w:val="figureexplanationChar"/>
            <w:rFonts w:ascii="Cambria Math" w:hAnsi="Cambria Math"/>
          </w:rPr>
          <m:t>=0.5</m:t>
        </m:r>
      </m:oMath>
      <w:r w:rsidRPr="00F20DC8">
        <w:rPr>
          <w:rStyle w:val="figureexplanationChar"/>
        </w:rPr>
        <w:t xml:space="preserve">) or separated (C, D; </w:t>
      </w:r>
      <m:oMath>
        <m:r>
          <w:rPr>
            <w:rStyle w:val="figureexplanationChar"/>
            <w:rFonts w:ascii="Cambria Math" w:hAnsi="Cambria Math"/>
          </w:rPr>
          <m:t>h</m:t>
        </m:r>
        <m:r>
          <m:rPr>
            <m:sty m:val="p"/>
          </m:rPr>
          <w:rPr>
            <w:rStyle w:val="figureexplanationChar"/>
            <w:rFonts w:ascii="Cambria Math" w:hAnsi="Cambria Math"/>
          </w:rPr>
          <m:t>=0.99</m:t>
        </m:r>
      </m:oMath>
      <w:r w:rsidRPr="00F20DC8">
        <w:rPr>
          <w:rStyle w:val="figureexplanationChar"/>
        </w:rPr>
        <w:t xml:space="preserve">). </w:t>
      </w:r>
      <w:r w:rsidR="00570ADB" w:rsidRPr="00F20DC8">
        <w:rPr>
          <w:rStyle w:val="figureexplanationChar"/>
        </w:rPr>
        <w:t xml:space="preserve">All parameter values are the same as those used in Figure 1. </w:t>
      </w:r>
      <w:r w:rsidRPr="00F20DC8">
        <w:rPr>
          <w:rStyle w:val="figureexplanationChar"/>
        </w:rPr>
        <w:t>Lines overlap under uniform mixing (top row).</w:t>
      </w:r>
    </w:p>
    <w:p w14:paraId="12E7CFC9" w14:textId="77777777" w:rsidR="00193062" w:rsidRPr="00B76CA4" w:rsidRDefault="00193062" w:rsidP="00F20DC8">
      <w:r w:rsidRPr="00B76CA4">
        <w:br w:type="page"/>
      </w:r>
    </w:p>
    <w:p w14:paraId="4C5E74E9" w14:textId="3681CA7A" w:rsidR="00A363A6" w:rsidRDefault="0078577F">
      <w:pPr>
        <w:pStyle w:val="Heading1"/>
        <w:rPr>
          <w:rFonts w:ascii="Palatino Linotype" w:hAnsi="Palatino Linotype" w:cs="Courier New"/>
          <w:color w:val="000000" w:themeColor="text1"/>
        </w:rPr>
      </w:pPr>
      <w:bookmarkStart w:id="16" w:name="_Toc121239034"/>
      <w:r>
        <w:rPr>
          <w:rFonts w:ascii="Palatino Linotype" w:hAnsi="Palatino Linotype" w:cs="Courier New"/>
          <w:color w:val="000000" w:themeColor="text1"/>
        </w:rPr>
        <w:lastRenderedPageBreak/>
        <w:t>I</w:t>
      </w:r>
      <w:r w:rsidR="00A363A6">
        <w:rPr>
          <w:rFonts w:ascii="Palatino Linotype" w:hAnsi="Palatino Linotype" w:cs="Courier New"/>
          <w:color w:val="000000" w:themeColor="text1"/>
        </w:rPr>
        <w:t>ntermediate levels of awareness and mixing separation</w:t>
      </w:r>
      <w:bookmarkEnd w:id="16"/>
    </w:p>
    <w:p w14:paraId="50F6562B" w14:textId="5F63072A" w:rsidR="007E0E63" w:rsidRDefault="001A6135" w:rsidP="00D713F7">
      <w:pPr>
        <w:pStyle w:val="BodyText"/>
      </w:pPr>
      <w:r>
        <w:t xml:space="preserve">We further characterize the effects of awareness and mixing separation by comparing intermediate levels of </w:t>
      </w:r>
      <w:proofErr w:type="gramStart"/>
      <w:r>
        <w:t>either</w:t>
      </w:r>
      <w:r w:rsidR="005E41C4">
        <w:t xml:space="preserve"> in</w:t>
      </w:r>
      <w:proofErr w:type="gramEnd"/>
      <w:r w:rsidR="005E41C4">
        <w:t xml:space="preserve"> the nonpharmaceutical intervention model in Equations 1-2</w:t>
      </w:r>
      <w:r>
        <w:t xml:space="preserve">. </w:t>
      </w:r>
      <w:r w:rsidR="001F1B38">
        <w:t xml:space="preserve">In Supplementary Figure 4, </w:t>
      </w:r>
      <w:r w:rsidR="00137B0F">
        <w:t xml:space="preserve">we </w:t>
      </w:r>
      <w:r w:rsidR="00383382">
        <w:t xml:space="preserve">plot </w:t>
      </w:r>
      <w:r w:rsidR="00EA54EB">
        <w:t xml:space="preserve">infections over time for </w:t>
      </w:r>
      <w:r w:rsidR="00137B0F">
        <w:t xml:space="preserve">additional </w:t>
      </w:r>
      <w:r w:rsidR="00641BD2">
        <w:t>combinations of awareness and mixing separation</w:t>
      </w:r>
      <w:r w:rsidR="00FA48DF">
        <w:t xml:space="preserve"> (</w:t>
      </w:r>
      <m:oMath>
        <m:r>
          <w:rPr>
            <w:rStyle w:val="figureexplanationChar"/>
            <w:rFonts w:ascii="Cambria Math" w:hAnsi="Cambria Math"/>
          </w:rPr>
          <m:t>ϵ</m:t>
        </m:r>
        <m:r>
          <m:rPr>
            <m:sty m:val="p"/>
          </m:rPr>
          <w:rPr>
            <w:rStyle w:val="figureexplanationChar"/>
            <w:rFonts w:ascii="Cambria Math" w:hAnsi="Cambria Math"/>
          </w:rPr>
          <m:t>=0.75, 0.9; h=0.9, 0.97)</m:t>
        </m:r>
      </m:oMath>
      <w:r w:rsidR="00FA48DF">
        <w:t>, expanding on Figure 1</w:t>
      </w:r>
      <w:r w:rsidR="00C069F9">
        <w:t xml:space="preserve">. </w:t>
      </w:r>
      <w:r w:rsidR="00537E7A">
        <w:t xml:space="preserve">Supplementary Figure 5 shows how epidemic metrics (total infections, peak infections, and date of infection peak) </w:t>
      </w:r>
      <w:r w:rsidR="004457E7">
        <w:t xml:space="preserve">respond to </w:t>
      </w:r>
      <w:r w:rsidR="00271E08">
        <w:t xml:space="preserve">intermediate levels of </w:t>
      </w:r>
      <w:r w:rsidR="004457E7">
        <w:t xml:space="preserve">awareness and mixing separation by varying one parameter and fixing the other. </w:t>
      </w:r>
    </w:p>
    <w:p w14:paraId="79669F25" w14:textId="4BA4069D" w:rsidR="00D713F7" w:rsidRPr="00F20DC8" w:rsidRDefault="004457E7" w:rsidP="00F20DC8">
      <w:pPr>
        <w:pStyle w:val="BodyText"/>
      </w:pPr>
      <w:r>
        <w:t xml:space="preserve">Between-group differences </w:t>
      </w:r>
      <w:r w:rsidR="00EE52C9">
        <w:t xml:space="preserve">given uniform awareness </w:t>
      </w:r>
      <w:r>
        <w:t xml:space="preserve">only become apparent at high levels of mixing separation </w:t>
      </w:r>
      <w:r w:rsidR="00AC5084">
        <w:t>(</w:t>
      </w:r>
      <m:oMath>
        <m:r>
          <w:rPr>
            <w:rStyle w:val="figureexplanationChar"/>
            <w:rFonts w:ascii="Cambria Math" w:hAnsi="Cambria Math"/>
          </w:rPr>
          <m:t>h</m:t>
        </m:r>
        <m:r>
          <m:rPr>
            <m:sty m:val="p"/>
          </m:rPr>
          <w:rPr>
            <w:rStyle w:val="figureexplanationChar"/>
            <w:rFonts w:ascii="Cambria Math" w:hAnsi="Cambria Math"/>
          </w:rPr>
          <m:t>&gt;0.9</m:t>
        </m:r>
      </m:oMath>
      <w:r w:rsidR="00AC5084">
        <w:t>)</w:t>
      </w:r>
      <w:r w:rsidR="007F386F">
        <w:t xml:space="preserve"> (Supplementary Figures </w:t>
      </w:r>
      <w:r w:rsidR="00DE2507">
        <w:t>4</w:t>
      </w:r>
      <w:r w:rsidR="007F386F">
        <w:t xml:space="preserve">, </w:t>
      </w:r>
      <w:r w:rsidR="00DE2507">
        <w:t>and Supplementary Figure 5B and D)</w:t>
      </w:r>
      <w:r w:rsidR="00AC5084">
        <w:t>.</w:t>
      </w:r>
      <w:r w:rsidR="00F7448E">
        <w:t xml:space="preserve"> </w:t>
      </w:r>
      <w:r w:rsidR="00EE52C9">
        <w:t xml:space="preserve">Given separated mixing, </w:t>
      </w:r>
      <w:r w:rsidR="006D1398">
        <w:t xml:space="preserve">total infections and </w:t>
      </w:r>
      <w:r w:rsidR="00594A56">
        <w:t>peak infections vary approximately linearly with awareness separation</w:t>
      </w:r>
      <w:r w:rsidR="001C7A24">
        <w:t xml:space="preserve">, increasing </w:t>
      </w:r>
      <w:r w:rsidR="00A25A8B">
        <w:t xml:space="preserve">in group </w:t>
      </w:r>
      <w:r w:rsidR="00A25A8B">
        <w:rPr>
          <w:i/>
          <w:iCs/>
        </w:rPr>
        <w:t xml:space="preserve">b </w:t>
      </w:r>
      <w:r w:rsidR="00A25A8B">
        <w:t xml:space="preserve">and decreasing in group </w:t>
      </w:r>
      <w:r w:rsidR="00A25A8B">
        <w:rPr>
          <w:i/>
          <w:iCs/>
        </w:rPr>
        <w:t xml:space="preserve">a </w:t>
      </w:r>
      <w:r w:rsidR="00A25A8B">
        <w:t>with greater levels of awareness separation</w:t>
      </w:r>
      <w:r w:rsidR="00DE2507">
        <w:t xml:space="preserve"> (Supplementary Figure 4, Supplementary Figure 5A and C)</w:t>
      </w:r>
      <w:r w:rsidR="00A25A8B">
        <w:t>.</w:t>
      </w:r>
      <w:r w:rsidR="005A76FF">
        <w:t xml:space="preserve"> Peak and total infections in the full </w:t>
      </w:r>
      <w:r w:rsidR="003549A5">
        <w:t>population are approximately constant across different levels of awareness separation, suggesting that disease burden shifts between groups</w:t>
      </w:r>
      <w:r w:rsidR="00DE2507">
        <w:t xml:space="preserve"> (Supplementary Figure 5A and C)</w:t>
      </w:r>
      <w:r w:rsidR="003549A5">
        <w:t xml:space="preserve">. </w:t>
      </w:r>
      <w:r w:rsidR="00E5128C">
        <w:t xml:space="preserve">Given uniform awareness, separated mixing reduces peak infections in the full population </w:t>
      </w:r>
      <w:r w:rsidR="00DE2507">
        <w:t xml:space="preserve">(Supplementary Figure 5D) </w:t>
      </w:r>
      <w:r w:rsidR="0036418D">
        <w:t xml:space="preserve">because the peaks in </w:t>
      </w:r>
      <w:r w:rsidR="00686405">
        <w:t xml:space="preserve">the two groups do not coincide (the peak in group </w:t>
      </w:r>
      <w:r w:rsidR="00686405">
        <w:rPr>
          <w:i/>
          <w:iCs/>
        </w:rPr>
        <w:t xml:space="preserve">b </w:t>
      </w:r>
      <w:r w:rsidR="007E0E63">
        <w:t xml:space="preserve">occurs </w:t>
      </w:r>
      <w:r w:rsidR="00BF70DC">
        <w:t xml:space="preserve">approximately </w:t>
      </w:r>
      <w:r w:rsidR="007E0E63">
        <w:t>30 day</w:t>
      </w:r>
      <w:r w:rsidR="00BF70DC">
        <w:t>s</w:t>
      </w:r>
      <w:r w:rsidR="007E0E63">
        <w:t xml:space="preserve"> </w:t>
      </w:r>
      <w:r w:rsidR="00686405">
        <w:t xml:space="preserve">after the peak in group </w:t>
      </w:r>
      <w:r w:rsidR="00686405">
        <w:rPr>
          <w:i/>
          <w:iCs/>
        </w:rPr>
        <w:t>a</w:t>
      </w:r>
      <w:r w:rsidR="007E0E63">
        <w:t>)</w:t>
      </w:r>
      <w:r w:rsidR="00686405">
        <w:t xml:space="preserve"> </w:t>
      </w:r>
      <w:r w:rsidR="00DE2507">
        <w:t>(Supplementary Figure 5F)</w:t>
      </w:r>
      <w:r w:rsidR="007E0E63">
        <w:t>.</w:t>
      </w:r>
    </w:p>
    <w:p w14:paraId="329B2E52" w14:textId="67851B01" w:rsidR="007B2E3A" w:rsidRDefault="007B2E3A">
      <w:pPr>
        <w:pStyle w:val="CaptionedFigure"/>
        <w:keepNext w:val="0"/>
        <w:spacing w:after="0"/>
        <w:rPr>
          <w:rFonts w:ascii="Palatino Linotype" w:hAnsi="Palatino Linotype" w:cs="Courier New"/>
          <w:i/>
        </w:rPr>
      </w:pPr>
      <w:r w:rsidRPr="007B2E3A">
        <w:rPr>
          <w:rFonts w:ascii="Palatino Linotype" w:hAnsi="Palatino Linotype" w:cs="Courier New"/>
          <w:i/>
          <w:noProof/>
        </w:rPr>
        <w:lastRenderedPageBreak/>
        <w:drawing>
          <wp:inline distT="0" distB="0" distL="0" distR="0" wp14:anchorId="4FC501BB" wp14:editId="5A1A3DD8">
            <wp:extent cx="5943600" cy="59040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5904051"/>
                    </a:xfrm>
                    <a:prstGeom prst="rect">
                      <a:avLst/>
                    </a:prstGeom>
                  </pic:spPr>
                </pic:pic>
              </a:graphicData>
            </a:graphic>
          </wp:inline>
        </w:drawing>
      </w:r>
    </w:p>
    <w:p w14:paraId="0E501942" w14:textId="7B8C02A4" w:rsidR="007B2E3A" w:rsidRPr="00F20DC8" w:rsidRDefault="00A12A78" w:rsidP="00F20DC8">
      <w:pPr>
        <w:rPr>
          <w:rStyle w:val="figureexplanationChar"/>
        </w:rPr>
      </w:pPr>
      <w:bookmarkStart w:id="17" w:name="_Toc121239035"/>
      <w:r w:rsidRPr="00F20DC8">
        <w:rPr>
          <w:rStyle w:val="CaptionChar"/>
        </w:rPr>
        <w:t>Supplementary Figure 4.</w:t>
      </w:r>
      <w:r w:rsidR="008A38C0">
        <w:rPr>
          <w:rStyle w:val="CaptionChar"/>
        </w:rPr>
        <w:t xml:space="preserve"> </w:t>
      </w:r>
      <w:r w:rsidR="00513C69">
        <w:rPr>
          <w:rStyle w:val="CaptionChar"/>
        </w:rPr>
        <w:t>Infection time series at i</w:t>
      </w:r>
      <w:r w:rsidR="008A38C0">
        <w:rPr>
          <w:rStyle w:val="CaptionChar"/>
        </w:rPr>
        <w:t>ntermediate levels of mixing</w:t>
      </w:r>
      <w:r w:rsidR="00513C69">
        <w:rPr>
          <w:rStyle w:val="CaptionChar"/>
        </w:rPr>
        <w:t xml:space="preserve"> and awareness </w:t>
      </w:r>
      <w:r w:rsidR="008A38C0">
        <w:rPr>
          <w:rStyle w:val="CaptionChar"/>
        </w:rPr>
        <w:t xml:space="preserve">separation </w:t>
      </w:r>
      <w:r w:rsidR="00513C69">
        <w:rPr>
          <w:rStyle w:val="CaptionChar"/>
        </w:rPr>
        <w:t xml:space="preserve">demonstrate that </w:t>
      </w:r>
      <w:r w:rsidR="00AC5084">
        <w:rPr>
          <w:rStyle w:val="CaptionChar"/>
        </w:rPr>
        <w:t xml:space="preserve">a high level of mixing separation </w:t>
      </w:r>
      <w:r w:rsidR="00513C69">
        <w:rPr>
          <w:rStyle w:val="CaptionChar"/>
        </w:rPr>
        <w:t xml:space="preserve">is necessary to </w:t>
      </w:r>
      <w:r w:rsidR="008A38C0">
        <w:rPr>
          <w:rStyle w:val="CaptionChar"/>
        </w:rPr>
        <w:t xml:space="preserve">produce between-group differences in epidemic </w:t>
      </w:r>
      <w:r w:rsidR="00513C69">
        <w:rPr>
          <w:rStyle w:val="CaptionChar"/>
        </w:rPr>
        <w:t>trajectories</w:t>
      </w:r>
      <w:r w:rsidRPr="00F20DC8">
        <w:rPr>
          <w:rStyle w:val="CaptionChar"/>
        </w:rPr>
        <w:t>.</w:t>
      </w:r>
      <w:bookmarkEnd w:id="17"/>
      <w:r w:rsidRPr="00F20DC8">
        <w:t xml:space="preserve"> </w:t>
      </w:r>
      <w:r w:rsidRPr="00F20DC8">
        <w:rPr>
          <w:rStyle w:val="figureexplanationChar"/>
        </w:rPr>
        <w:t xml:space="preserve">Plots show </w:t>
      </w:r>
      <w:r w:rsidR="00657C9F">
        <w:rPr>
          <w:rStyle w:val="figureexplanationChar"/>
        </w:rPr>
        <w:t>infections</w:t>
      </w:r>
      <w:r w:rsidRPr="00F20DC8">
        <w:rPr>
          <w:rStyle w:val="figureexplanationChar"/>
        </w:rPr>
        <w:t xml:space="preserve"> over time in group a (pink) </w:t>
      </w:r>
      <w:r w:rsidR="00093956" w:rsidRPr="00F20DC8">
        <w:rPr>
          <w:rStyle w:val="figureexplanationChar"/>
        </w:rPr>
        <w:t xml:space="preserve">and </w:t>
      </w:r>
      <w:r w:rsidRPr="00F20DC8">
        <w:rPr>
          <w:rStyle w:val="figureexplanationChar"/>
        </w:rPr>
        <w:t>group b (green) under sixteen scenarios</w:t>
      </w:r>
      <w:r w:rsidR="000318AC" w:rsidRPr="00F20DC8">
        <w:rPr>
          <w:rStyle w:val="figureexplanationChar"/>
        </w:rPr>
        <w:t>.</w:t>
      </w:r>
      <w:r w:rsidRPr="00F20DC8">
        <w:rPr>
          <w:rStyle w:val="figureexplanationChar"/>
        </w:rPr>
        <w:t xml:space="preserve"> </w:t>
      </w:r>
      <w:r w:rsidR="009E7B16" w:rsidRPr="00F20DC8">
        <w:rPr>
          <w:rStyle w:val="figureexplanationChar"/>
        </w:rPr>
        <w:t>A</w:t>
      </w:r>
      <w:r w:rsidRPr="00F20DC8">
        <w:rPr>
          <w:rStyle w:val="figureexplanationChar"/>
        </w:rPr>
        <w:t xml:space="preserve">wareness </w:t>
      </w:r>
      <w:r w:rsidR="009E7B16" w:rsidRPr="00F20DC8">
        <w:rPr>
          <w:rStyle w:val="figureexplanationChar"/>
        </w:rPr>
        <w:t>varies across the row</w:t>
      </w:r>
      <w:r w:rsidR="00E52556">
        <w:rPr>
          <w:rStyle w:val="figureexplanationChar"/>
        </w:rPr>
        <w:t xml:space="preserve">s between </w:t>
      </w:r>
      <w:r w:rsidRPr="00F20DC8">
        <w:rPr>
          <w:rStyle w:val="figureexplanationChar"/>
        </w:rPr>
        <w:t xml:space="preserve">uniform </w:t>
      </w:r>
      <w:r w:rsidR="00E52556">
        <w:rPr>
          <w:rStyle w:val="figureexplanationChar"/>
        </w:rPr>
        <w:t xml:space="preserve">and separated </w:t>
      </w:r>
      <w:r w:rsidRPr="00F20DC8">
        <w:rPr>
          <w:rStyle w:val="figureexplanationChar"/>
        </w:rPr>
        <w:t>(</w:t>
      </w:r>
      <m:oMath>
        <m:r>
          <w:rPr>
            <w:rStyle w:val="figureexplanationChar"/>
            <w:rFonts w:ascii="Cambria Math" w:hAnsi="Cambria Math"/>
          </w:rPr>
          <m:t>ϵ</m:t>
        </m:r>
        <m:r>
          <m:rPr>
            <m:sty m:val="p"/>
          </m:rPr>
          <w:rPr>
            <w:rStyle w:val="figureexplanationChar"/>
            <w:rFonts w:ascii="Cambria Math" w:hAnsi="Cambria Math"/>
          </w:rPr>
          <m:t>=0.5</m:t>
        </m:r>
      </m:oMath>
      <w:r w:rsidR="00E52556">
        <w:rPr>
          <w:rStyle w:val="figureexplanationChar"/>
          <w:rFonts w:eastAsiaTheme="minorEastAsia"/>
          <w:bCs w:val="0"/>
          <w:iCs w:val="0"/>
        </w:rPr>
        <w:t>, 0.75, 0.9, 0.99</w:t>
      </w:r>
      <w:r w:rsidRPr="00F20DC8">
        <w:rPr>
          <w:rStyle w:val="figureexplanationChar"/>
        </w:rPr>
        <w:t>)</w:t>
      </w:r>
      <w:r w:rsidR="000318AC" w:rsidRPr="00F20DC8">
        <w:rPr>
          <w:rStyle w:val="figureexplanationChar"/>
        </w:rPr>
        <w:t xml:space="preserve">. </w:t>
      </w:r>
      <w:r w:rsidR="009E7B16" w:rsidRPr="00F20DC8">
        <w:rPr>
          <w:rStyle w:val="figureexplanationChar"/>
        </w:rPr>
        <w:t xml:space="preserve">Mixing varies across the </w:t>
      </w:r>
      <w:r w:rsidR="00E52556">
        <w:rPr>
          <w:rStyle w:val="figureexplanationChar"/>
        </w:rPr>
        <w:t xml:space="preserve">between </w:t>
      </w:r>
      <w:r w:rsidR="00E52556" w:rsidRPr="00332C1C">
        <w:rPr>
          <w:rStyle w:val="figureexplanationChar"/>
        </w:rPr>
        <w:t xml:space="preserve">uniform </w:t>
      </w:r>
      <w:r w:rsidR="00E52556">
        <w:rPr>
          <w:rStyle w:val="figureexplanationChar"/>
        </w:rPr>
        <w:t xml:space="preserve">and separated </w:t>
      </w:r>
      <w:r w:rsidR="00E52556" w:rsidRPr="00332C1C">
        <w:rPr>
          <w:rStyle w:val="figureexplanationChar"/>
        </w:rPr>
        <w:t>(</w:t>
      </w:r>
      <m:oMath>
        <m:r>
          <m:rPr>
            <m:sty m:val="p"/>
          </m:rPr>
          <w:rPr>
            <w:rStyle w:val="figureexplanationChar"/>
            <w:rFonts w:ascii="Cambria Math" w:hAnsi="Cambria Math"/>
          </w:rPr>
          <m:t>h=0.5</m:t>
        </m:r>
      </m:oMath>
      <w:r w:rsidR="00E52556">
        <w:rPr>
          <w:rStyle w:val="figureexplanationChar"/>
          <w:rFonts w:eastAsiaTheme="minorEastAsia"/>
          <w:bCs w:val="0"/>
          <w:iCs w:val="0"/>
        </w:rPr>
        <w:t>, 0.9, 0.97, 0.99</w:t>
      </w:r>
      <w:r w:rsidR="00E52556" w:rsidRPr="00332C1C">
        <w:rPr>
          <w:rStyle w:val="figureexplanationChar"/>
        </w:rPr>
        <w:t>)</w:t>
      </w:r>
      <w:r w:rsidRPr="00F20DC8">
        <w:rPr>
          <w:rStyle w:val="figureexplanationChar"/>
        </w:rPr>
        <w:t xml:space="preserve">. </w:t>
      </w:r>
      <w:r w:rsidR="001E3EE1" w:rsidRPr="00F20DC8">
        <w:rPr>
          <w:rStyle w:val="figureexplanationChar"/>
        </w:rPr>
        <w:t>All other parameter values are the same as those used in Figure 1.</w:t>
      </w:r>
    </w:p>
    <w:p w14:paraId="29E19BDD" w14:textId="6AFF1227" w:rsidR="00AB0E67" w:rsidRDefault="00803892" w:rsidP="00F20DC8">
      <w:pPr>
        <w:pStyle w:val="CaptionedFigure"/>
        <w:keepNext w:val="0"/>
        <w:spacing w:after="0"/>
        <w:jc w:val="center"/>
      </w:pPr>
      <w:r w:rsidRPr="00803892">
        <w:rPr>
          <w:noProof/>
        </w:rPr>
        <w:lastRenderedPageBreak/>
        <w:drawing>
          <wp:inline distT="0" distB="0" distL="0" distR="0" wp14:anchorId="56684107" wp14:editId="6FC50107">
            <wp:extent cx="4572000" cy="632792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2"/>
                    <a:srcRect l="236" t="239"/>
                    <a:stretch/>
                  </pic:blipFill>
                  <pic:spPr bwMode="auto">
                    <a:xfrm>
                      <a:off x="0" y="0"/>
                      <a:ext cx="4576512" cy="6334165"/>
                    </a:xfrm>
                    <a:prstGeom prst="rect">
                      <a:avLst/>
                    </a:prstGeom>
                    <a:ln>
                      <a:noFill/>
                    </a:ln>
                    <a:extLst>
                      <a:ext uri="{53640926-AAD7-44D8-BBD7-CCE9431645EC}">
                        <a14:shadowObscured xmlns:a14="http://schemas.microsoft.com/office/drawing/2010/main"/>
                      </a:ext>
                    </a:extLst>
                  </pic:spPr>
                </pic:pic>
              </a:graphicData>
            </a:graphic>
          </wp:inline>
        </w:drawing>
      </w:r>
    </w:p>
    <w:p w14:paraId="089B9F4F" w14:textId="6C91EFD2" w:rsidR="0074342B" w:rsidRPr="00F20DC8" w:rsidRDefault="000507B1" w:rsidP="00F20DC8">
      <w:pPr>
        <w:rPr>
          <w:rFonts w:ascii="Palatino Linotype" w:hAnsi="Palatino Linotype" w:cs="Courier New"/>
          <w:i/>
          <w:iCs/>
          <w:color w:val="000000" w:themeColor="text1"/>
        </w:rPr>
      </w:pPr>
      <w:bookmarkStart w:id="18" w:name="_Toc121239036"/>
      <w:r w:rsidRPr="00F20DC8">
        <w:rPr>
          <w:rStyle w:val="CaptionChar"/>
        </w:rPr>
        <w:t>Supplementary Figure 5.</w:t>
      </w:r>
      <w:r w:rsidR="00CD1C67">
        <w:rPr>
          <w:rStyle w:val="CaptionChar"/>
        </w:rPr>
        <w:t xml:space="preserve"> </w:t>
      </w:r>
      <w:r w:rsidR="00442ED5">
        <w:rPr>
          <w:rStyle w:val="CaptionChar"/>
        </w:rPr>
        <w:t xml:space="preserve">Given </w:t>
      </w:r>
      <w:r w:rsidR="006E78E9">
        <w:rPr>
          <w:rStyle w:val="CaptionChar"/>
        </w:rPr>
        <w:t xml:space="preserve">highly </w:t>
      </w:r>
      <w:r w:rsidR="00442ED5">
        <w:rPr>
          <w:rStyle w:val="CaptionChar"/>
        </w:rPr>
        <w:t xml:space="preserve">separated mixing, between-group differences in total and peak infection prevalence </w:t>
      </w:r>
      <w:r w:rsidR="00E97869">
        <w:rPr>
          <w:rStyle w:val="CaptionChar"/>
        </w:rPr>
        <w:t>decrease</w:t>
      </w:r>
      <w:bookmarkEnd w:id="18"/>
      <w:r w:rsidR="00E97869">
        <w:rPr>
          <w:rStyle w:val="CaptionChar"/>
        </w:rPr>
        <w:t xml:space="preserve"> with increasing awareness separation</w:t>
      </w:r>
      <w:r w:rsidR="006E78E9">
        <w:rPr>
          <w:rStyle w:val="CaptionChar"/>
        </w:rPr>
        <w:t xml:space="preserve">; </w:t>
      </w:r>
      <w:r w:rsidR="00563F47">
        <w:rPr>
          <w:rStyle w:val="CaptionChar"/>
        </w:rPr>
        <w:t>at intermediate levels of mixing separation, the groups experience identical epidemic trajectories</w:t>
      </w:r>
      <w:r w:rsidRPr="00F20DC8">
        <w:rPr>
          <w:rStyle w:val="CaptionChar"/>
        </w:rPr>
        <w:t xml:space="preserve">. </w:t>
      </w:r>
      <w:r w:rsidRPr="00F20DC8">
        <w:rPr>
          <w:rStyle w:val="figureexplanationChar"/>
        </w:rPr>
        <w:t xml:space="preserve">Plots show </w:t>
      </w:r>
      <w:r w:rsidR="00096B9C" w:rsidRPr="00F20DC8">
        <w:rPr>
          <w:rStyle w:val="figureexplanationChar"/>
        </w:rPr>
        <w:t>epidemic</w:t>
      </w:r>
      <w:r w:rsidR="00931719" w:rsidRPr="00F20DC8">
        <w:rPr>
          <w:rStyle w:val="figureexplanationChar"/>
        </w:rPr>
        <w:t xml:space="preserve"> metrics </w:t>
      </w:r>
      <w:r w:rsidR="00D0185C" w:rsidRPr="00F20DC8">
        <w:rPr>
          <w:rStyle w:val="figureexplanationChar"/>
        </w:rPr>
        <w:t>for</w:t>
      </w:r>
      <w:r w:rsidRPr="00F20DC8">
        <w:rPr>
          <w:rStyle w:val="figureexplanationChar"/>
        </w:rPr>
        <w:t xml:space="preserve"> group a (pink) group b (green) and the full population (black) </w:t>
      </w:r>
      <w:r w:rsidR="00D0185C" w:rsidRPr="00F20DC8">
        <w:rPr>
          <w:rStyle w:val="figureexplanationChar"/>
        </w:rPr>
        <w:t xml:space="preserve">across different </w:t>
      </w:r>
      <w:r w:rsidR="00096B9C" w:rsidRPr="00F20DC8">
        <w:rPr>
          <w:rStyle w:val="figureexplanationChar"/>
        </w:rPr>
        <w:t>levels</w:t>
      </w:r>
      <w:r w:rsidR="00D0185C" w:rsidRPr="00F20DC8">
        <w:rPr>
          <w:rStyle w:val="figureexplanationChar"/>
        </w:rPr>
        <w:t xml:space="preserve"> of </w:t>
      </w:r>
      <w:r w:rsidR="00096B9C" w:rsidRPr="00F20DC8">
        <w:rPr>
          <w:rStyle w:val="figureexplanationChar"/>
        </w:rPr>
        <w:t>awareness separation (</w:t>
      </w:r>
      <m:oMath>
        <m:r>
          <w:rPr>
            <w:rStyle w:val="figureexplanationChar"/>
            <w:rFonts w:ascii="Cambria Math" w:hAnsi="Cambria Math"/>
          </w:rPr>
          <m:t>ϵ</m:t>
        </m:r>
        <m:r>
          <m:rPr>
            <m:sty m:val="p"/>
          </m:rPr>
          <w:rPr>
            <w:rStyle w:val="figureexplanationChar"/>
            <w:rFonts w:ascii="Cambria Math" w:hAnsi="Cambria Math"/>
          </w:rPr>
          <m:t>)</m:t>
        </m:r>
      </m:oMath>
      <w:r w:rsidR="004C35C4" w:rsidRPr="00F20DC8">
        <w:rPr>
          <w:rStyle w:val="figureexplanationChar"/>
        </w:rPr>
        <w:t xml:space="preserve"> </w:t>
      </w:r>
      <w:r w:rsidR="006933BC" w:rsidRPr="00F20DC8">
        <w:rPr>
          <w:rStyle w:val="figureexplanationChar"/>
        </w:rPr>
        <w:t xml:space="preserve">with </w:t>
      </w:r>
      <w:r w:rsidR="00FC2C84" w:rsidRPr="00F20DC8">
        <w:rPr>
          <w:rStyle w:val="figureexplanationChar"/>
        </w:rPr>
        <w:t>separated mixing (</w:t>
      </w:r>
      <m:oMath>
        <m:r>
          <w:rPr>
            <w:rStyle w:val="figureexplanationChar"/>
            <w:rFonts w:ascii="Cambria Math" w:hAnsi="Cambria Math"/>
          </w:rPr>
          <m:t>h</m:t>
        </m:r>
        <m:r>
          <m:rPr>
            <m:sty m:val="p"/>
          </m:rPr>
          <w:rPr>
            <w:rStyle w:val="figureexplanationChar"/>
            <w:rFonts w:ascii="Cambria Math" w:hAnsi="Cambria Math"/>
          </w:rPr>
          <m:t>= 0.99</m:t>
        </m:r>
      </m:oMath>
      <w:r w:rsidR="00FC2C84" w:rsidRPr="00F20DC8">
        <w:rPr>
          <w:rStyle w:val="figureexplanationChar"/>
        </w:rPr>
        <w:t xml:space="preserve">) </w:t>
      </w:r>
      <w:r w:rsidR="004C35C4" w:rsidRPr="00F20DC8">
        <w:rPr>
          <w:rStyle w:val="figureexplanationChar"/>
        </w:rPr>
        <w:t>(A, C, E)</w:t>
      </w:r>
      <w:r w:rsidR="00096B9C" w:rsidRPr="00F20DC8">
        <w:rPr>
          <w:rStyle w:val="figureexplanationChar"/>
        </w:rPr>
        <w:t xml:space="preserve"> </w:t>
      </w:r>
      <w:r w:rsidR="00522C8D">
        <w:rPr>
          <w:rStyle w:val="figureexplanationChar"/>
        </w:rPr>
        <w:t xml:space="preserve">or different levels of </w:t>
      </w:r>
      <w:r w:rsidR="00096B9C" w:rsidRPr="00F20DC8">
        <w:rPr>
          <w:rStyle w:val="figureexplanationChar"/>
        </w:rPr>
        <w:t>mixing separation (</w:t>
      </w:r>
      <m:oMath>
        <m:r>
          <w:rPr>
            <w:rStyle w:val="figureexplanationChar"/>
            <w:rFonts w:ascii="Cambria Math" w:hAnsi="Cambria Math"/>
          </w:rPr>
          <m:t>h</m:t>
        </m:r>
        <m:r>
          <m:rPr>
            <m:sty m:val="p"/>
          </m:rPr>
          <w:rPr>
            <w:rStyle w:val="figureexplanationChar"/>
            <w:rFonts w:ascii="Cambria Math" w:hAnsi="Cambria Math"/>
          </w:rPr>
          <m:t>)</m:t>
        </m:r>
      </m:oMath>
      <w:r w:rsidR="004C35C4" w:rsidRPr="00F20DC8">
        <w:rPr>
          <w:rStyle w:val="figureexplanationChar"/>
        </w:rPr>
        <w:t xml:space="preserve"> </w:t>
      </w:r>
      <w:r w:rsidR="00FC2C84" w:rsidRPr="00F20DC8">
        <w:rPr>
          <w:rStyle w:val="figureexplanationChar"/>
        </w:rPr>
        <w:t>with uniform awareness (</w:t>
      </w:r>
      <m:oMath>
        <m:r>
          <w:rPr>
            <w:rStyle w:val="figureexplanationChar"/>
            <w:rFonts w:ascii="Cambria Math" w:hAnsi="Cambria Math"/>
          </w:rPr>
          <m:t>ϵ</m:t>
        </m:r>
        <m:r>
          <m:rPr>
            <m:sty m:val="p"/>
          </m:rPr>
          <w:rPr>
            <w:rStyle w:val="figureexplanationChar"/>
            <w:rFonts w:ascii="Cambria Math" w:hAnsi="Cambria Math"/>
          </w:rPr>
          <m:t>= 0.5</m:t>
        </m:r>
      </m:oMath>
      <w:r w:rsidR="00FC2C84" w:rsidRPr="00F20DC8">
        <w:rPr>
          <w:rStyle w:val="figureexplanationChar"/>
        </w:rPr>
        <w:t xml:space="preserve">) </w:t>
      </w:r>
      <w:r w:rsidR="004C35C4" w:rsidRPr="00F20DC8">
        <w:rPr>
          <w:rStyle w:val="figureexplanationChar"/>
        </w:rPr>
        <w:t>(B, D, F)</w:t>
      </w:r>
      <w:r w:rsidR="00096B9C" w:rsidRPr="00F20DC8">
        <w:rPr>
          <w:rStyle w:val="figureexplanationChar"/>
        </w:rPr>
        <w:t xml:space="preserve">. The </w:t>
      </w:r>
      <w:r w:rsidR="00105F48" w:rsidRPr="00F20DC8">
        <w:rPr>
          <w:rStyle w:val="figureexplanationChar"/>
        </w:rPr>
        <w:t>epidemic metrics are total infections</w:t>
      </w:r>
      <w:r w:rsidR="00B67B98" w:rsidRPr="00F20DC8">
        <w:rPr>
          <w:rStyle w:val="figureexplanationChar"/>
        </w:rPr>
        <w:t xml:space="preserve"> across the full epidemic</w:t>
      </w:r>
      <w:r w:rsidR="00105F48" w:rsidRPr="00F20DC8">
        <w:rPr>
          <w:rStyle w:val="figureexplanationChar"/>
        </w:rPr>
        <w:t xml:space="preserve"> </w:t>
      </w:r>
      <w:r w:rsidR="004C35C4" w:rsidRPr="00F20DC8">
        <w:rPr>
          <w:rStyle w:val="figureexplanationChar"/>
        </w:rPr>
        <w:t>(A, B), peak infection</w:t>
      </w:r>
      <w:r w:rsidR="00B67B98" w:rsidRPr="00F20DC8">
        <w:rPr>
          <w:rStyle w:val="figureexplanationChar"/>
        </w:rPr>
        <w:t xml:space="preserve"> prevalence in a single day (C, D), and the </w:t>
      </w:r>
      <w:r w:rsidR="00A840B8" w:rsidRPr="00F20DC8">
        <w:rPr>
          <w:rStyle w:val="figureexplanationChar"/>
        </w:rPr>
        <w:t>day on which peak infection prevalence occurs (E, F).</w:t>
      </w:r>
      <w:r w:rsidR="00DD7194">
        <w:rPr>
          <w:rStyle w:val="figureexplanationChar"/>
        </w:rPr>
        <w:t xml:space="preserve"> </w:t>
      </w:r>
      <w:r w:rsidR="007E1D03" w:rsidRPr="00F20DC8">
        <w:rPr>
          <w:rStyle w:val="figureexplanationChar"/>
        </w:rPr>
        <w:t>All other parameter values are the same as those used in Figure 1.</w:t>
      </w:r>
    </w:p>
    <w:p w14:paraId="28E08F65" w14:textId="1174EA94" w:rsidR="00846B64" w:rsidRPr="00ED52F5" w:rsidRDefault="00352CCD" w:rsidP="00F20DC8">
      <w:pPr>
        <w:pStyle w:val="Heading1"/>
        <w:rPr>
          <w:rFonts w:ascii="Palatino Linotype" w:hAnsi="Palatino Linotype" w:cs="Courier New"/>
          <w:color w:val="000000" w:themeColor="text1"/>
        </w:rPr>
      </w:pPr>
      <w:bookmarkStart w:id="19" w:name="_Toc121239037"/>
      <w:r>
        <w:rPr>
          <w:rFonts w:ascii="Palatino Linotype" w:hAnsi="Palatino Linotype" w:cs="Courier New"/>
          <w:color w:val="000000" w:themeColor="text1"/>
        </w:rPr>
        <w:lastRenderedPageBreak/>
        <w:t>Separated awareness helps to overcome d</w:t>
      </w:r>
      <w:r w:rsidR="0078577F">
        <w:rPr>
          <w:rFonts w:ascii="Palatino Linotype" w:hAnsi="Palatino Linotype" w:cs="Courier New"/>
          <w:color w:val="000000" w:themeColor="text1"/>
        </w:rPr>
        <w:t>ifferent types of</w:t>
      </w:r>
      <w:r w:rsidR="00846B64" w:rsidRPr="00ED52F5">
        <w:rPr>
          <w:rFonts w:ascii="Palatino Linotype" w:hAnsi="Palatino Linotype" w:cs="Courier New"/>
          <w:color w:val="000000" w:themeColor="text1"/>
        </w:rPr>
        <w:t xml:space="preserve"> between-group differences</w:t>
      </w:r>
      <w:bookmarkEnd w:id="13"/>
      <w:bookmarkEnd w:id="19"/>
    </w:p>
    <w:p w14:paraId="49E9F0BB" w14:textId="413C819B" w:rsidR="00846B64" w:rsidRPr="00ED52F5" w:rsidRDefault="00846B64" w:rsidP="001B6AE9">
      <w:pPr>
        <w:pStyle w:val="FirstParagraph"/>
      </w:pPr>
      <w:r w:rsidRPr="00ED52F5">
        <w:t xml:space="preserve">We demonstrate that the finding in Figure </w:t>
      </w:r>
      <w:r w:rsidRPr="00F20DC8">
        <w:rPr>
          <w:rFonts w:asciiTheme="minorHAnsi" w:hAnsiTheme="minorHAnsi" w:cstheme="minorBidi"/>
        </w:rPr>
        <w:t>1</w:t>
      </w:r>
      <w:r w:rsidRPr="00ED52F5">
        <w:t xml:space="preserve"> applies across alternative scenarios where the pathogen is introduced in both groups at the same prevalence, but the groups differ in their transmission coefficients (</w:t>
      </w:r>
      <m:oMath>
        <m:r>
          <w:rPr>
            <w:rFonts w:ascii="Cambria Math" w:hAnsi="Cambria Math"/>
          </w:rPr>
          <m:t>β</m:t>
        </m:r>
      </m:oMath>
      <w:r w:rsidRPr="00ED52F5">
        <w:t xml:space="preserve">), </w:t>
      </w:r>
      <w:r w:rsidR="002101E9">
        <w:t>fatality probabilities</w:t>
      </w:r>
      <w:r w:rsidRPr="00ED52F5">
        <w:t xml:space="preserve"> (</w:t>
      </w:r>
      <m:oMath>
        <m:r>
          <w:rPr>
            <w:rFonts w:ascii="Cambria Math" w:hAnsi="Cambria Math"/>
          </w:rPr>
          <m:t>μ</m:t>
        </m:r>
      </m:oMath>
      <w:r w:rsidRPr="00ED52F5">
        <w:t>), or infectious period (</w:t>
      </w:r>
      <m:oMath>
        <m:f>
          <m:fPr>
            <m:ctrlPr>
              <w:rPr>
                <w:rFonts w:ascii="Cambria Math" w:hAnsi="Cambria Math"/>
              </w:rPr>
            </m:ctrlPr>
          </m:fPr>
          <m:num>
            <m:r>
              <w:rPr>
                <w:rFonts w:ascii="Cambria Math" w:hAnsi="Cambria Math"/>
              </w:rPr>
              <m:t>1</m:t>
            </m:r>
          </m:num>
          <m:den>
            <m:r>
              <w:rPr>
                <w:rFonts w:ascii="Cambria Math" w:hAnsi="Cambria Math"/>
              </w:rPr>
              <m:t>ρ</m:t>
            </m:r>
          </m:den>
        </m:f>
      </m:oMath>
      <w:r w:rsidRPr="00ED52F5">
        <w:t xml:space="preserve">) (Supplementary Figures </w:t>
      </w:r>
      <w:r w:rsidRPr="00F20DC8">
        <w:rPr>
          <w:rFonts w:asciiTheme="minorHAnsi" w:hAnsiTheme="minorHAnsi" w:cstheme="minorBidi"/>
        </w:rPr>
        <w:t>4</w:t>
      </w:r>
      <w:r w:rsidRPr="00ED52F5">
        <w:t xml:space="preserve">, </w:t>
      </w:r>
      <w:r w:rsidRPr="00F20DC8">
        <w:rPr>
          <w:rFonts w:asciiTheme="minorHAnsi" w:hAnsiTheme="minorHAnsi" w:cstheme="minorBidi"/>
        </w:rPr>
        <w:t>5</w:t>
      </w:r>
      <w:r w:rsidRPr="00ED52F5">
        <w:t xml:space="preserve">, </w:t>
      </w:r>
      <w:r w:rsidRPr="00F20DC8">
        <w:rPr>
          <w:rFonts w:asciiTheme="minorHAnsi" w:hAnsiTheme="minorHAnsi" w:cstheme="minorBidi"/>
        </w:rPr>
        <w:t>6</w:t>
      </w:r>
      <w:r w:rsidRPr="00ED52F5">
        <w:t>). Note that, when transmission coefficient (</w:t>
      </w:r>
      <m:oMath>
        <m:r>
          <w:rPr>
            <w:rFonts w:ascii="Cambria Math" w:hAnsi="Cambria Math"/>
          </w:rPr>
          <m:t>β</m:t>
        </m:r>
      </m:oMath>
      <w:r w:rsidRPr="00ED52F5">
        <w:t xml:space="preserve">) varies between groups, contacts between group </w:t>
      </w:r>
      <w:r w:rsidRPr="00ED52F5">
        <w:rPr>
          <w:i/>
          <w:iCs/>
        </w:rPr>
        <w:t>a</w:t>
      </w:r>
      <w:r w:rsidRPr="00ED52F5">
        <w:t xml:space="preserve"> and group </w:t>
      </w:r>
      <w:r w:rsidRPr="00ED52F5">
        <w:rPr>
          <w:i/>
          <w:iCs/>
        </w:rPr>
        <w:t>b</w:t>
      </w:r>
      <w:r w:rsidRPr="00ED52F5">
        <w:t xml:space="preserve"> will have transmission coefficient </w:t>
      </w:r>
      <m:oMath>
        <m:rad>
          <m:radPr>
            <m:degHide m:val="1"/>
            <m:ctrlPr>
              <w:rPr>
                <w:rFonts w:ascii="Cambria Math" w:hAnsi="Cambria Math"/>
              </w:rPr>
            </m:ctrlPr>
          </m:radPr>
          <m:deg/>
          <m:e>
            <m:sSub>
              <m:sSubPr>
                <m:ctrlPr>
                  <w:rPr>
                    <w:rFonts w:ascii="Cambria Math" w:hAnsi="Cambria Math"/>
                  </w:rPr>
                </m:ctrlPr>
              </m:sSubPr>
              <m:e>
                <m:r>
                  <w:rPr>
                    <w:rFonts w:ascii="Cambria Math" w:hAnsi="Cambria Math"/>
                  </w:rPr>
                  <m:t>β</m:t>
                </m:r>
              </m:e>
              <m:sub>
                <m:r>
                  <w:rPr>
                    <w:rFonts w:ascii="Cambria Math" w:hAnsi="Cambria Math"/>
                  </w:rPr>
                  <m:t>a</m:t>
                </m:r>
              </m:sub>
            </m:sSub>
            <m:sSub>
              <m:sSubPr>
                <m:ctrlPr>
                  <w:rPr>
                    <w:rFonts w:ascii="Cambria Math" w:hAnsi="Cambria Math"/>
                  </w:rPr>
                </m:ctrlPr>
              </m:sSubPr>
              <m:e>
                <m:r>
                  <w:rPr>
                    <w:rFonts w:ascii="Cambria Math" w:hAnsi="Cambria Math"/>
                  </w:rPr>
                  <m:t>β</m:t>
                </m:r>
              </m:e>
              <m:sub>
                <m:r>
                  <w:rPr>
                    <w:rFonts w:ascii="Cambria Math" w:hAnsi="Cambria Math"/>
                  </w:rPr>
                  <m:t>b</m:t>
                </m:r>
              </m:sub>
            </m:sSub>
          </m:e>
        </m:rad>
      </m:oMath>
      <w:r w:rsidRPr="00ED52F5">
        <w:t>, the geometric mean of the transmission coefficient of both groups.</w:t>
      </w:r>
    </w:p>
    <w:p w14:paraId="2EC50403" w14:textId="2AF44F89" w:rsidR="00846B64" w:rsidRPr="00ED52F5" w:rsidRDefault="00846B64" w:rsidP="001B6AE9">
      <w:pPr>
        <w:pStyle w:val="BodyText"/>
      </w:pPr>
      <w:r w:rsidRPr="00ED52F5">
        <w:t xml:space="preserve">Differences between groups that directly influence force of infection </w:t>
      </w:r>
      <w:r w:rsidR="00F52CE1">
        <w:t xml:space="preserve">(e.g., </w:t>
      </w:r>
      <w:r w:rsidRPr="00ED52F5">
        <w:t>variation in transmission coefficient and infectious period</w:t>
      </w:r>
      <w:r w:rsidR="00F52CE1">
        <w:t>)</w:t>
      </w:r>
      <w:r w:rsidRPr="00ED52F5">
        <w:t xml:space="preserve"> lead to differences in epidemic shape between the groups when mixing is separated (Supplementary Figures </w:t>
      </w:r>
      <w:r w:rsidR="003A12D3">
        <w:t>6</w:t>
      </w:r>
      <w:r w:rsidRPr="00ED52F5">
        <w:t xml:space="preserve">, </w:t>
      </w:r>
      <w:r w:rsidR="003A12D3">
        <w:t>7</w:t>
      </w:r>
      <w:r w:rsidRPr="00ED52F5">
        <w:t xml:space="preserve">). Given uniform awareness, epidemic shape is unaffected by mixing separation when group differences do not directly affect the transmission process (e.g., heterogeneity in </w:t>
      </w:r>
      <w:r w:rsidR="002101E9">
        <w:t>fatality probabilities</w:t>
      </w:r>
      <w:r w:rsidR="001C61F7">
        <w:t>)</w:t>
      </w:r>
      <w:r w:rsidRPr="00ED52F5">
        <w:t xml:space="preserve"> (Supplementary Figure </w:t>
      </w:r>
      <w:r w:rsidR="003A12D3">
        <w:t>8</w:t>
      </w:r>
      <w:r w:rsidRPr="00ED52F5">
        <w:t xml:space="preserve">). In all scenarios, separated awareness decreases differences in deaths between the two groups, although it may not eliminate differences in epidemic burden. In scenarios where groups have different forces of infections, </w:t>
      </w:r>
      <w:r w:rsidR="000D6A67">
        <w:t>separated awareness also reduces differences in infections</w:t>
      </w:r>
      <w:r w:rsidR="00E7529B">
        <w:t xml:space="preserve"> </w:t>
      </w:r>
      <w:r w:rsidRPr="00ED52F5">
        <w:t xml:space="preserve">(Supplementary Figures </w:t>
      </w:r>
      <w:r w:rsidR="003A12D3">
        <w:t>6</w:t>
      </w:r>
      <w:r w:rsidRPr="00ED52F5">
        <w:t xml:space="preserve">, </w:t>
      </w:r>
      <w:r w:rsidR="003A12D3">
        <w:t>7</w:t>
      </w:r>
      <w:r w:rsidRPr="00ED52F5">
        <w:t xml:space="preserve">). However, separated awareness increases the difference in infections when groups have different </w:t>
      </w:r>
      <w:r w:rsidR="002101E9">
        <w:t>fatality probabilitie</w:t>
      </w:r>
      <w:r w:rsidRPr="00ED52F5">
        <w:t xml:space="preserve">s, as observed in the vaccination scenario in the main text (Figures </w:t>
      </w:r>
      <w:r w:rsidR="001B5A1F">
        <w:t>4</w:t>
      </w:r>
      <w:r w:rsidRPr="00ED52F5">
        <w:t xml:space="preserve">, </w:t>
      </w:r>
      <w:r w:rsidR="001B5A1F">
        <w:t>5</w:t>
      </w:r>
      <w:r w:rsidRPr="00ED52F5">
        <w:t>).</w:t>
      </w:r>
    </w:p>
    <w:p w14:paraId="5737A4E8" w14:textId="799C11D5" w:rsidR="00846B64" w:rsidRPr="00ED52F5" w:rsidRDefault="008D0AE3" w:rsidP="00846B64">
      <w:pPr>
        <w:pStyle w:val="CaptionedFigure"/>
        <w:jc w:val="center"/>
        <w:rPr>
          <w:rFonts w:ascii="Palatino Linotype" w:hAnsi="Palatino Linotype" w:cs="Courier New"/>
        </w:rPr>
      </w:pPr>
      <w:r w:rsidRPr="008D0AE3">
        <w:rPr>
          <w:noProof/>
        </w:rPr>
        <w:lastRenderedPageBreak/>
        <w:t xml:space="preserve"> </w:t>
      </w:r>
      <w:r w:rsidRPr="008D0AE3">
        <w:rPr>
          <w:rFonts w:ascii="Palatino Linotype" w:hAnsi="Palatino Linotype" w:cs="Courier New"/>
          <w:noProof/>
        </w:rPr>
        <w:drawing>
          <wp:inline distT="0" distB="0" distL="0" distR="0" wp14:anchorId="6010FBC1" wp14:editId="301203BF">
            <wp:extent cx="4373880" cy="5712602"/>
            <wp:effectExtent l="0" t="0" r="7620" b="254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3"/>
                    <a:stretch>
                      <a:fillRect/>
                    </a:stretch>
                  </pic:blipFill>
                  <pic:spPr>
                    <a:xfrm>
                      <a:off x="0" y="0"/>
                      <a:ext cx="4390598" cy="5734437"/>
                    </a:xfrm>
                    <a:prstGeom prst="rect">
                      <a:avLst/>
                    </a:prstGeom>
                  </pic:spPr>
                </pic:pic>
              </a:graphicData>
            </a:graphic>
          </wp:inline>
        </w:drawing>
      </w:r>
    </w:p>
    <w:p w14:paraId="0CBE2C81" w14:textId="53AF4974" w:rsidR="00846B64" w:rsidRPr="00C556F0" w:rsidRDefault="00846B64" w:rsidP="00F20DC8">
      <w:bookmarkStart w:id="20" w:name="_Toc121239038"/>
      <w:r w:rsidRPr="00F20DC8">
        <w:rPr>
          <w:rStyle w:val="CaptionChar"/>
        </w:rPr>
        <w:t xml:space="preserve">Supplementary Figure </w:t>
      </w:r>
      <w:r w:rsidR="000E31E6" w:rsidRPr="00F20DC8">
        <w:rPr>
          <w:rStyle w:val="CaptionChar"/>
        </w:rPr>
        <w:t>6</w:t>
      </w:r>
      <w:r w:rsidRPr="00F20DC8">
        <w:rPr>
          <w:rStyle w:val="CaptionChar"/>
        </w:rPr>
        <w:t>. Separated awareness reduces differences in epidemic size between groups in epidemic size that arise from differences in transmission rates coupled with separated mixing.</w:t>
      </w:r>
      <w:bookmarkEnd w:id="20"/>
      <w:r w:rsidRPr="00F20DC8">
        <w:rPr>
          <w:rStyle w:val="CaptionChar"/>
        </w:rPr>
        <w:t xml:space="preserve"> </w:t>
      </w:r>
      <w:r w:rsidRPr="00F20DC8">
        <w:rPr>
          <w:rStyle w:val="figureexplanationChar"/>
        </w:rPr>
        <w:t>Plots of (A) infections and (B) deaths over time in group a (</w:t>
      </w:r>
      <w:r w:rsidR="00F3212E" w:rsidRPr="00F20DC8">
        <w:rPr>
          <w:rStyle w:val="figureexplanationChar"/>
        </w:rPr>
        <w:t>pink</w:t>
      </w:r>
      <w:r w:rsidRPr="00F20DC8">
        <w:rPr>
          <w:rStyle w:val="figureexplanationChar"/>
        </w:rPr>
        <w:t>) and group b (</w:t>
      </w:r>
      <w:r w:rsidR="00F3212E" w:rsidRPr="00F20DC8">
        <w:rPr>
          <w:rStyle w:val="figureexplanationChar"/>
        </w:rPr>
        <w:t>green</w:t>
      </w:r>
      <w:r w:rsidRPr="00F20DC8">
        <w:rPr>
          <w:rStyle w:val="figureexplanationChar"/>
        </w:rPr>
        <w:t>). We consider different levels of awareness separation [left column: uniform awareness (</w:t>
      </w:r>
      <m:oMath>
        <m:r>
          <w:rPr>
            <w:rStyle w:val="figureexplanationChar"/>
            <w:rFonts w:ascii="Cambria Math" w:hAnsi="Cambria Math"/>
          </w:rPr>
          <m:t>ϵ=0.5</m:t>
        </m:r>
      </m:oMath>
      <w:r w:rsidRPr="00F20DC8">
        <w:rPr>
          <w:rStyle w:val="figureexplanationChar"/>
        </w:rPr>
        <w:t>); right column: separated awareness (</w:t>
      </w:r>
      <m:oMath>
        <m:r>
          <w:rPr>
            <w:rStyle w:val="figureexplanationChar"/>
            <w:rFonts w:ascii="Cambria Math" w:hAnsi="Cambria Math"/>
          </w:rPr>
          <m:t>ϵ=0.99</m:t>
        </m:r>
      </m:oMath>
      <w:r w:rsidRPr="00F20DC8">
        <w:rPr>
          <w:rStyle w:val="figureexplanationChar"/>
        </w:rPr>
        <w:t>)] and mixing separation [top row: uniform mixing (</w:t>
      </w:r>
      <m:oMath>
        <m:r>
          <w:rPr>
            <w:rStyle w:val="figureexplanationChar"/>
            <w:rFonts w:ascii="Cambria Math" w:hAnsi="Cambria Math"/>
          </w:rPr>
          <m:t>h=0.5</m:t>
        </m:r>
      </m:oMath>
      <w:r w:rsidRPr="00F20DC8">
        <w:rPr>
          <w:rStyle w:val="figureexplanationChar"/>
        </w:rPr>
        <w:t>); bottom row: separated mixing (</w:t>
      </w:r>
      <m:oMath>
        <m:r>
          <w:rPr>
            <w:rStyle w:val="figureexplanationChar"/>
            <w:rFonts w:ascii="Cambria Math" w:hAnsi="Cambria Math"/>
          </w:rPr>
          <m:t>h=0.99</m:t>
        </m:r>
      </m:oMath>
      <w:r w:rsidRPr="00F20DC8">
        <w:rPr>
          <w:rStyle w:val="figureexplanationChar"/>
        </w:rPr>
        <w:t>)]. The groups are initialized so that group a has a greater transmission coefficient than group b (</w:t>
      </w:r>
      <m:oMath>
        <m:sSub>
          <m:sSubPr>
            <m:ctrlPr>
              <w:rPr>
                <w:rStyle w:val="figureexplanationChar"/>
                <w:rFonts w:ascii="Cambria Math" w:hAnsi="Cambria Math"/>
                <w:bCs w:val="0"/>
                <w:i w:val="0"/>
                <w:iCs w:val="0"/>
              </w:rPr>
            </m:ctrlPr>
          </m:sSubPr>
          <m:e>
            <m:r>
              <w:rPr>
                <w:rStyle w:val="figureexplanationChar"/>
                <w:rFonts w:ascii="Cambria Math" w:hAnsi="Cambria Math"/>
              </w:rPr>
              <m:t>β</m:t>
            </m:r>
          </m:e>
          <m:sub>
            <m:r>
              <w:rPr>
                <w:rStyle w:val="figureexplanationChar"/>
                <w:rFonts w:ascii="Cambria Math" w:hAnsi="Cambria Math"/>
              </w:rPr>
              <m:t>a</m:t>
            </m:r>
          </m:sub>
        </m:sSub>
        <m:r>
          <w:rPr>
            <w:rStyle w:val="figureexplanationChar"/>
            <w:rFonts w:ascii="Cambria Math" w:hAnsi="Cambria Math"/>
          </w:rPr>
          <m:t>=0.21</m:t>
        </m:r>
      </m:oMath>
      <w:r w:rsidRPr="00F20DC8">
        <w:rPr>
          <w:rStyle w:val="figureexplanationChar"/>
        </w:rPr>
        <w:t xml:space="preserve"> and </w:t>
      </w:r>
      <m:oMath>
        <m:sSub>
          <m:sSubPr>
            <m:ctrlPr>
              <w:rPr>
                <w:rStyle w:val="figureexplanationChar"/>
                <w:rFonts w:ascii="Cambria Math" w:hAnsi="Cambria Math"/>
                <w:bCs w:val="0"/>
                <w:i w:val="0"/>
                <w:iCs w:val="0"/>
              </w:rPr>
            </m:ctrlPr>
          </m:sSubPr>
          <m:e>
            <m:r>
              <w:rPr>
                <w:rStyle w:val="figureexplanationChar"/>
                <w:rFonts w:ascii="Cambria Math" w:hAnsi="Cambria Math"/>
              </w:rPr>
              <m:t>β</m:t>
            </m:r>
          </m:e>
          <m:sub>
            <m:r>
              <w:rPr>
                <w:rStyle w:val="figureexplanationChar"/>
                <w:rFonts w:ascii="Cambria Math" w:hAnsi="Cambria Math"/>
              </w:rPr>
              <m:t>b</m:t>
            </m:r>
          </m:sub>
        </m:sSub>
        <m:r>
          <w:rPr>
            <w:rStyle w:val="figureexplanationChar"/>
            <w:rFonts w:ascii="Cambria Math" w:hAnsi="Cambria Math"/>
          </w:rPr>
          <m:t>=0.19</m:t>
        </m:r>
      </m:oMath>
      <w:r w:rsidRPr="00F20DC8">
        <w:rPr>
          <w:rStyle w:val="figureexplanationChar"/>
        </w:rPr>
        <w:t xml:space="preserve">). We assume the pathogen is introduced in both groups at prevalence </w:t>
      </w:r>
      <m:oMath>
        <m:r>
          <w:rPr>
            <w:rStyle w:val="figureexplanationChar"/>
            <w:rFonts w:ascii="Cambria Math" w:hAnsi="Cambria Math"/>
          </w:rPr>
          <m:t>0.0005</m:t>
        </m:r>
      </m:oMath>
      <w:r w:rsidRPr="00F20DC8">
        <w:rPr>
          <w:rStyle w:val="figureexplanationChar"/>
        </w:rPr>
        <w:t>. All other parameter values are the same as those used in Figure 1</w:t>
      </w:r>
      <w:r w:rsidR="004560C1" w:rsidRPr="00F20DC8">
        <w:rPr>
          <w:rStyle w:val="figureexplanationChar"/>
        </w:rPr>
        <w:t>.</w:t>
      </w:r>
    </w:p>
    <w:p w14:paraId="76BE0AA1" w14:textId="06A1C9AD" w:rsidR="00846B64" w:rsidRPr="00ED52F5" w:rsidRDefault="007657EF" w:rsidP="00846B64">
      <w:pPr>
        <w:pStyle w:val="CaptionedFigure"/>
        <w:jc w:val="center"/>
        <w:rPr>
          <w:rFonts w:ascii="Palatino Linotype" w:hAnsi="Palatino Linotype" w:cs="Courier New"/>
        </w:rPr>
      </w:pPr>
      <w:r w:rsidRPr="007657EF">
        <w:rPr>
          <w:noProof/>
        </w:rPr>
        <w:lastRenderedPageBreak/>
        <w:t xml:space="preserve"> </w:t>
      </w:r>
      <w:r w:rsidRPr="007657EF">
        <w:rPr>
          <w:rFonts w:ascii="Palatino Linotype" w:hAnsi="Palatino Linotype" w:cs="Courier New"/>
          <w:noProof/>
        </w:rPr>
        <w:drawing>
          <wp:inline distT="0" distB="0" distL="0" distR="0" wp14:anchorId="1BE7B025" wp14:editId="3C8DDA11">
            <wp:extent cx="4374292" cy="5701812"/>
            <wp:effectExtent l="0" t="0" r="762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4"/>
                    <a:stretch>
                      <a:fillRect/>
                    </a:stretch>
                  </pic:blipFill>
                  <pic:spPr>
                    <a:xfrm>
                      <a:off x="0" y="0"/>
                      <a:ext cx="4391265" cy="5723935"/>
                    </a:xfrm>
                    <a:prstGeom prst="rect">
                      <a:avLst/>
                    </a:prstGeom>
                  </pic:spPr>
                </pic:pic>
              </a:graphicData>
            </a:graphic>
          </wp:inline>
        </w:drawing>
      </w:r>
    </w:p>
    <w:p w14:paraId="73AAC469" w14:textId="32ABAE14" w:rsidR="00846B64" w:rsidRPr="00F20DC8" w:rsidRDefault="00846B64" w:rsidP="00F20DC8">
      <w:pPr>
        <w:rPr>
          <w:rStyle w:val="figureexplanationChar"/>
        </w:rPr>
      </w:pPr>
      <w:bookmarkStart w:id="21" w:name="_Toc121239039"/>
      <w:r w:rsidRPr="00F20DC8">
        <w:rPr>
          <w:rStyle w:val="CaptionChar"/>
        </w:rPr>
        <w:t xml:space="preserve">Supplementary Figure </w:t>
      </w:r>
      <w:r w:rsidR="000E31E6" w:rsidRPr="00F20DC8">
        <w:rPr>
          <w:rStyle w:val="CaptionChar"/>
        </w:rPr>
        <w:t>7</w:t>
      </w:r>
      <w:r w:rsidRPr="00F20DC8">
        <w:rPr>
          <w:rStyle w:val="CaptionChar"/>
        </w:rPr>
        <w:t>. Separated awareness reduces differences in epidemic size between groups in epidemic size that arise from differences in infectious period coupled with separated mixing.</w:t>
      </w:r>
      <w:bookmarkEnd w:id="21"/>
      <w:r w:rsidRPr="00C459A1">
        <w:t xml:space="preserve"> </w:t>
      </w:r>
      <w:r w:rsidRPr="00F20DC8">
        <w:rPr>
          <w:rStyle w:val="figureexplanationChar"/>
        </w:rPr>
        <w:t>Plots of (A) infections and (B) deaths over time in group a (</w:t>
      </w:r>
      <w:r w:rsidR="00F3212E" w:rsidRPr="00F20DC8">
        <w:rPr>
          <w:rStyle w:val="figureexplanationChar"/>
        </w:rPr>
        <w:t>pink</w:t>
      </w:r>
      <w:r w:rsidRPr="00F20DC8">
        <w:rPr>
          <w:rStyle w:val="figureexplanationChar"/>
        </w:rPr>
        <w:t>) and group b (</w:t>
      </w:r>
      <w:r w:rsidR="00F3212E" w:rsidRPr="00F20DC8">
        <w:rPr>
          <w:rStyle w:val="figureexplanationChar"/>
        </w:rPr>
        <w:t>green</w:t>
      </w:r>
      <w:r w:rsidRPr="00F20DC8">
        <w:rPr>
          <w:rStyle w:val="figureexplanationChar"/>
        </w:rPr>
        <w:t>). We consider different levels of awareness separation [left column: uniform awareness (</w:t>
      </w:r>
      <m:oMath>
        <m:r>
          <w:rPr>
            <w:rStyle w:val="figureexplanationChar"/>
            <w:rFonts w:ascii="Cambria Math" w:hAnsi="Cambria Math"/>
          </w:rPr>
          <m:t>ϵ=0.5</m:t>
        </m:r>
      </m:oMath>
      <w:r w:rsidRPr="00F20DC8">
        <w:rPr>
          <w:rStyle w:val="figureexplanationChar"/>
        </w:rPr>
        <w:t>); right column: separated awareness (</w:t>
      </w:r>
      <m:oMath>
        <m:r>
          <w:rPr>
            <w:rStyle w:val="figureexplanationChar"/>
            <w:rFonts w:ascii="Cambria Math" w:hAnsi="Cambria Math"/>
          </w:rPr>
          <m:t>ϵ=0.99</m:t>
        </m:r>
      </m:oMath>
      <w:r w:rsidRPr="00F20DC8">
        <w:rPr>
          <w:rStyle w:val="figureexplanationChar"/>
        </w:rPr>
        <w:t>)] and mixing separation [top row: uniform mixing (</w:t>
      </w:r>
      <m:oMath>
        <m:r>
          <w:rPr>
            <w:rStyle w:val="figureexplanationChar"/>
            <w:rFonts w:ascii="Cambria Math" w:hAnsi="Cambria Math"/>
          </w:rPr>
          <m:t>h=0.5</m:t>
        </m:r>
      </m:oMath>
      <w:r w:rsidRPr="00F20DC8">
        <w:rPr>
          <w:rStyle w:val="figureexplanationChar"/>
        </w:rPr>
        <w:t>); bottom row: separated mixing (</w:t>
      </w:r>
      <m:oMath>
        <m:r>
          <w:rPr>
            <w:rStyle w:val="figureexplanationChar"/>
            <w:rFonts w:ascii="Cambria Math" w:hAnsi="Cambria Math"/>
          </w:rPr>
          <m:t>h=0.99</m:t>
        </m:r>
      </m:oMath>
      <w:r w:rsidRPr="00F20DC8">
        <w:rPr>
          <w:rStyle w:val="figureexplanationChar"/>
        </w:rPr>
        <w:t>)]. The groups are initialized so that group a has a longer infectious period than group b (</w:t>
      </w:r>
      <m:oMath>
        <m:f>
          <m:fPr>
            <m:ctrlPr>
              <w:rPr>
                <w:rStyle w:val="figureexplanationChar"/>
                <w:rFonts w:ascii="Cambria Math" w:hAnsi="Cambria Math"/>
                <w:bCs w:val="0"/>
                <w:i w:val="0"/>
                <w:iCs w:val="0"/>
              </w:rPr>
            </m:ctrlPr>
          </m:fPr>
          <m:num>
            <m:r>
              <w:rPr>
                <w:rStyle w:val="figureexplanationChar"/>
                <w:rFonts w:ascii="Cambria Math" w:hAnsi="Cambria Math"/>
              </w:rPr>
              <m:t>1</m:t>
            </m:r>
          </m:num>
          <m:den>
            <m:sSub>
              <m:sSubPr>
                <m:ctrlPr>
                  <w:rPr>
                    <w:rStyle w:val="figureexplanationChar"/>
                    <w:rFonts w:ascii="Cambria Math" w:hAnsi="Cambria Math"/>
                    <w:bCs w:val="0"/>
                    <w:i w:val="0"/>
                    <w:iCs w:val="0"/>
                  </w:rPr>
                </m:ctrlPr>
              </m:sSubPr>
              <m:e>
                <m:r>
                  <w:rPr>
                    <w:rStyle w:val="figureexplanationChar"/>
                    <w:rFonts w:ascii="Cambria Math" w:hAnsi="Cambria Math"/>
                  </w:rPr>
                  <m:t>ρ</m:t>
                </m:r>
              </m:e>
              <m:sub>
                <m:r>
                  <w:rPr>
                    <w:rStyle w:val="figureexplanationChar"/>
                    <w:rFonts w:ascii="Cambria Math" w:hAnsi="Cambria Math"/>
                  </w:rPr>
                  <m:t>a</m:t>
                </m:r>
              </m:sub>
            </m:sSub>
          </m:den>
        </m:f>
        <m:r>
          <w:rPr>
            <w:rStyle w:val="figureexplanationChar"/>
            <w:rFonts w:ascii="Cambria Math" w:hAnsi="Cambria Math"/>
          </w:rPr>
          <m:t>=11.11</m:t>
        </m:r>
      </m:oMath>
      <w:r w:rsidRPr="00F20DC8">
        <w:rPr>
          <w:rStyle w:val="figureexplanationChar"/>
        </w:rPr>
        <w:t xml:space="preserve"> and </w:t>
      </w:r>
      <m:oMath>
        <m:f>
          <m:fPr>
            <m:ctrlPr>
              <w:rPr>
                <w:rStyle w:val="figureexplanationChar"/>
                <w:rFonts w:ascii="Cambria Math" w:hAnsi="Cambria Math"/>
                <w:bCs w:val="0"/>
                <w:i w:val="0"/>
                <w:iCs w:val="0"/>
              </w:rPr>
            </m:ctrlPr>
          </m:fPr>
          <m:num>
            <m:r>
              <w:rPr>
                <w:rStyle w:val="figureexplanationChar"/>
                <w:rFonts w:ascii="Cambria Math" w:hAnsi="Cambria Math"/>
              </w:rPr>
              <m:t>1</m:t>
            </m:r>
          </m:num>
          <m:den>
            <m:sSub>
              <m:sSubPr>
                <m:ctrlPr>
                  <w:rPr>
                    <w:rStyle w:val="figureexplanationChar"/>
                    <w:rFonts w:ascii="Cambria Math" w:hAnsi="Cambria Math"/>
                    <w:bCs w:val="0"/>
                    <w:i w:val="0"/>
                    <w:iCs w:val="0"/>
                  </w:rPr>
                </m:ctrlPr>
              </m:sSubPr>
              <m:e>
                <m:r>
                  <w:rPr>
                    <w:rStyle w:val="figureexplanationChar"/>
                    <w:rFonts w:ascii="Cambria Math" w:hAnsi="Cambria Math"/>
                  </w:rPr>
                  <m:t>ρ</m:t>
                </m:r>
              </m:e>
              <m:sub>
                <m:r>
                  <w:rPr>
                    <w:rStyle w:val="figureexplanationChar"/>
                    <w:rFonts w:ascii="Cambria Math" w:hAnsi="Cambria Math"/>
                  </w:rPr>
                  <m:t>b</m:t>
                </m:r>
              </m:sub>
            </m:sSub>
          </m:den>
        </m:f>
        <m:r>
          <w:rPr>
            <w:rStyle w:val="figureexplanationChar"/>
            <w:rFonts w:ascii="Cambria Math" w:hAnsi="Cambria Math"/>
          </w:rPr>
          <m:t>=9.09</m:t>
        </m:r>
      </m:oMath>
      <w:r w:rsidRPr="00F20DC8">
        <w:rPr>
          <w:rStyle w:val="figureexplanationChar"/>
        </w:rPr>
        <w:t xml:space="preserve">). We assume the pathogen is introduced in both groups at prevalence </w:t>
      </w:r>
      <m:oMath>
        <m:r>
          <w:rPr>
            <w:rStyle w:val="figureexplanationChar"/>
            <w:rFonts w:ascii="Cambria Math" w:hAnsi="Cambria Math"/>
          </w:rPr>
          <m:t>0.0005</m:t>
        </m:r>
      </m:oMath>
      <w:r w:rsidRPr="00F20DC8">
        <w:rPr>
          <w:rStyle w:val="figureexplanationChar"/>
        </w:rPr>
        <w:t>. All other parameter values are the same as those used in Figure 1</w:t>
      </w:r>
      <w:r w:rsidR="004560C1" w:rsidRPr="00F20DC8">
        <w:rPr>
          <w:rStyle w:val="figureexplanationChar"/>
        </w:rPr>
        <w:t>.</w:t>
      </w:r>
    </w:p>
    <w:p w14:paraId="793DEF25" w14:textId="7F41F0E8" w:rsidR="00846B64" w:rsidRPr="00ED52F5" w:rsidRDefault="009A174E" w:rsidP="00846B64">
      <w:pPr>
        <w:pStyle w:val="CaptionedFigure"/>
        <w:jc w:val="center"/>
        <w:rPr>
          <w:rFonts w:ascii="Palatino Linotype" w:hAnsi="Palatino Linotype" w:cs="Courier New"/>
        </w:rPr>
      </w:pPr>
      <w:bookmarkStart w:id="22" w:name="figsupp6"/>
      <w:r w:rsidRPr="009A174E">
        <w:rPr>
          <w:noProof/>
        </w:rPr>
        <w:lastRenderedPageBreak/>
        <w:drawing>
          <wp:inline distT="0" distB="0" distL="0" distR="0" wp14:anchorId="7882EA19" wp14:editId="493F5B7A">
            <wp:extent cx="4397922" cy="5705856"/>
            <wp:effectExtent l="0" t="0" r="3175"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5"/>
                    <a:stretch>
                      <a:fillRect/>
                    </a:stretch>
                  </pic:blipFill>
                  <pic:spPr>
                    <a:xfrm>
                      <a:off x="0" y="0"/>
                      <a:ext cx="4397922" cy="5705856"/>
                    </a:xfrm>
                    <a:prstGeom prst="rect">
                      <a:avLst/>
                    </a:prstGeom>
                  </pic:spPr>
                </pic:pic>
              </a:graphicData>
            </a:graphic>
          </wp:inline>
        </w:drawing>
      </w:r>
      <w:bookmarkEnd w:id="22"/>
      <w:r w:rsidR="006E24D3" w:rsidRPr="006E24D3">
        <w:rPr>
          <w:noProof/>
        </w:rPr>
        <w:t xml:space="preserve"> </w:t>
      </w:r>
    </w:p>
    <w:p w14:paraId="09653BBB" w14:textId="7C089372" w:rsidR="00DA5228" w:rsidRPr="00C459A1" w:rsidRDefault="00846B64" w:rsidP="00F20DC8">
      <w:bookmarkStart w:id="23" w:name="_Toc121239040"/>
      <w:r w:rsidRPr="00F20DC8">
        <w:rPr>
          <w:rStyle w:val="CaptionChar"/>
        </w:rPr>
        <w:t xml:space="preserve">Supplementary Figure </w:t>
      </w:r>
      <w:r w:rsidR="000E31E6" w:rsidRPr="00F20DC8">
        <w:rPr>
          <w:rStyle w:val="CaptionChar"/>
        </w:rPr>
        <w:t>8</w:t>
      </w:r>
      <w:r w:rsidRPr="00F20DC8">
        <w:rPr>
          <w:rStyle w:val="CaptionChar"/>
        </w:rPr>
        <w:t xml:space="preserve">. Separated awareness reduces differences in mortality between groups arising from differences in their </w:t>
      </w:r>
      <w:r w:rsidR="002101E9">
        <w:rPr>
          <w:rStyle w:val="CaptionChar"/>
        </w:rPr>
        <w:t>fatality probabilitie</w:t>
      </w:r>
      <w:r w:rsidRPr="00F20DC8">
        <w:rPr>
          <w:rStyle w:val="CaptionChar"/>
        </w:rPr>
        <w:t>s and causes differences in infections between the groups</w:t>
      </w:r>
      <w:bookmarkEnd w:id="23"/>
      <w:r w:rsidRPr="00C459A1">
        <w:t xml:space="preserve">. </w:t>
      </w:r>
      <w:r w:rsidRPr="00F20DC8">
        <w:rPr>
          <w:rStyle w:val="figureexplanationChar"/>
        </w:rPr>
        <w:t>Plots of (A) infections and (B) deaths over time in group a (</w:t>
      </w:r>
      <w:r w:rsidR="00F3212E" w:rsidRPr="00F20DC8">
        <w:rPr>
          <w:rStyle w:val="figureexplanationChar"/>
        </w:rPr>
        <w:t>pink</w:t>
      </w:r>
      <w:r w:rsidRPr="00F20DC8">
        <w:rPr>
          <w:rStyle w:val="figureexplanationChar"/>
        </w:rPr>
        <w:t>) and group b (</w:t>
      </w:r>
      <w:r w:rsidR="00F3212E" w:rsidRPr="00F20DC8">
        <w:rPr>
          <w:rStyle w:val="figureexplanationChar"/>
        </w:rPr>
        <w:t>green</w:t>
      </w:r>
      <w:r w:rsidRPr="00F20DC8">
        <w:rPr>
          <w:rStyle w:val="figureexplanationChar"/>
        </w:rPr>
        <w:t>). We consider different levels of awareness separation [left column: uniform awareness (</w:t>
      </w:r>
      <m:oMath>
        <m:r>
          <w:rPr>
            <w:rStyle w:val="figureexplanationChar"/>
            <w:rFonts w:ascii="Cambria Math" w:hAnsi="Cambria Math"/>
          </w:rPr>
          <m:t>ϵ=0.5</m:t>
        </m:r>
      </m:oMath>
      <w:r w:rsidRPr="00F20DC8">
        <w:rPr>
          <w:rStyle w:val="figureexplanationChar"/>
        </w:rPr>
        <w:t>); right column: separated awareness (</w:t>
      </w:r>
      <m:oMath>
        <m:r>
          <w:rPr>
            <w:rStyle w:val="figureexplanationChar"/>
            <w:rFonts w:ascii="Cambria Math" w:hAnsi="Cambria Math"/>
          </w:rPr>
          <m:t>ϵ=0.99</m:t>
        </m:r>
      </m:oMath>
      <w:r w:rsidRPr="00F20DC8">
        <w:rPr>
          <w:rStyle w:val="figureexplanationChar"/>
        </w:rPr>
        <w:t>)] and mixing separation [top row: uniform mixing (</w:t>
      </w:r>
      <m:oMath>
        <m:r>
          <w:rPr>
            <w:rStyle w:val="figureexplanationChar"/>
            <w:rFonts w:ascii="Cambria Math" w:hAnsi="Cambria Math"/>
          </w:rPr>
          <m:t>h=0.5</m:t>
        </m:r>
      </m:oMath>
      <w:r w:rsidRPr="00F20DC8">
        <w:rPr>
          <w:rStyle w:val="figureexplanationChar"/>
        </w:rPr>
        <w:t>); bottom row: separated mixing (</w:t>
      </w:r>
      <m:oMath>
        <m:r>
          <w:rPr>
            <w:rStyle w:val="figureexplanationChar"/>
            <w:rFonts w:ascii="Cambria Math" w:hAnsi="Cambria Math"/>
          </w:rPr>
          <m:t>h=0.99</m:t>
        </m:r>
      </m:oMath>
      <w:r w:rsidRPr="00F20DC8">
        <w:rPr>
          <w:rStyle w:val="figureexplanationChar"/>
        </w:rPr>
        <w:t xml:space="preserve">)]. The groups are initialized so that group a has a higher </w:t>
      </w:r>
      <w:r w:rsidR="002101E9">
        <w:rPr>
          <w:rStyle w:val="figureexplanationChar"/>
        </w:rPr>
        <w:t>fatality probability</w:t>
      </w:r>
      <w:r w:rsidRPr="00F20DC8">
        <w:rPr>
          <w:rStyle w:val="figureexplanationChar"/>
        </w:rPr>
        <w:t xml:space="preserve"> than group b (</w:t>
      </w:r>
      <m:oMath>
        <m:sSub>
          <m:sSubPr>
            <m:ctrlPr>
              <w:rPr>
                <w:rStyle w:val="figureexplanationChar"/>
                <w:rFonts w:ascii="Cambria Math" w:hAnsi="Cambria Math"/>
                <w:bCs w:val="0"/>
                <w:i w:val="0"/>
                <w:iCs w:val="0"/>
              </w:rPr>
            </m:ctrlPr>
          </m:sSubPr>
          <m:e>
            <m:r>
              <w:rPr>
                <w:rStyle w:val="figureexplanationChar"/>
                <w:rFonts w:ascii="Cambria Math" w:hAnsi="Cambria Math"/>
              </w:rPr>
              <m:t>μ</m:t>
            </m:r>
          </m:e>
          <m:sub>
            <m:r>
              <w:rPr>
                <w:rStyle w:val="figureexplanationChar"/>
                <w:rFonts w:ascii="Cambria Math" w:hAnsi="Cambria Math"/>
              </w:rPr>
              <m:t>a</m:t>
            </m:r>
          </m:sub>
        </m:sSub>
        <m:r>
          <w:rPr>
            <w:rStyle w:val="figureexplanationChar"/>
            <w:rFonts w:ascii="Cambria Math" w:hAnsi="Cambria Math"/>
          </w:rPr>
          <m:t>=0.015</m:t>
        </m:r>
      </m:oMath>
      <w:r w:rsidRPr="00F20DC8">
        <w:rPr>
          <w:rStyle w:val="figureexplanationChar"/>
        </w:rPr>
        <w:t xml:space="preserve"> and </w:t>
      </w:r>
      <m:oMath>
        <m:sSub>
          <m:sSubPr>
            <m:ctrlPr>
              <w:rPr>
                <w:rStyle w:val="figureexplanationChar"/>
                <w:rFonts w:ascii="Cambria Math" w:hAnsi="Cambria Math"/>
                <w:bCs w:val="0"/>
                <w:i w:val="0"/>
                <w:iCs w:val="0"/>
              </w:rPr>
            </m:ctrlPr>
          </m:sSubPr>
          <m:e>
            <m:r>
              <w:rPr>
                <w:rStyle w:val="figureexplanationChar"/>
                <w:rFonts w:ascii="Cambria Math" w:hAnsi="Cambria Math"/>
              </w:rPr>
              <m:t>μ</m:t>
            </m:r>
          </m:e>
          <m:sub>
            <m:r>
              <w:rPr>
                <w:rStyle w:val="figureexplanationChar"/>
                <w:rFonts w:ascii="Cambria Math" w:hAnsi="Cambria Math"/>
              </w:rPr>
              <m:t>b</m:t>
            </m:r>
          </m:sub>
        </m:sSub>
        <m:r>
          <w:rPr>
            <w:rStyle w:val="figureexplanationChar"/>
            <w:rFonts w:ascii="Cambria Math" w:hAnsi="Cambria Math"/>
          </w:rPr>
          <m:t>=0.0067</m:t>
        </m:r>
      </m:oMath>
      <w:r w:rsidRPr="00F20DC8">
        <w:rPr>
          <w:rStyle w:val="figureexplanationChar"/>
        </w:rPr>
        <w:t xml:space="preserve">). We assume the pathogen is introduced in both groups at prevalence </w:t>
      </w:r>
      <m:oMath>
        <m:r>
          <w:rPr>
            <w:rStyle w:val="figureexplanationChar"/>
            <w:rFonts w:ascii="Cambria Math" w:hAnsi="Cambria Math"/>
          </w:rPr>
          <m:t>0.0005</m:t>
        </m:r>
      </m:oMath>
      <w:r w:rsidRPr="00F20DC8">
        <w:rPr>
          <w:rStyle w:val="figureexplanationChar"/>
        </w:rPr>
        <w:t xml:space="preserve">. All other parameter values are the same as those used in Figure </w:t>
      </w:r>
      <w:bookmarkEnd w:id="5"/>
      <w:r w:rsidR="001E3EE1" w:rsidRPr="00F20DC8">
        <w:rPr>
          <w:rStyle w:val="figureexplanationChar"/>
        </w:rPr>
        <w:t>1.</w:t>
      </w:r>
    </w:p>
    <w:p w14:paraId="2CB3512E" w14:textId="78669E9C" w:rsidR="0078577F" w:rsidRDefault="0078577F">
      <w:pPr>
        <w:pStyle w:val="Heading1"/>
        <w:rPr>
          <w:rFonts w:ascii="Palatino Linotype" w:hAnsi="Palatino Linotype" w:cs="Courier New"/>
          <w:color w:val="000000" w:themeColor="text1"/>
        </w:rPr>
      </w:pPr>
      <w:bookmarkStart w:id="24" w:name="_Toc121239041"/>
      <w:r w:rsidRPr="00F20DC8">
        <w:rPr>
          <w:rFonts w:ascii="Palatino Linotype" w:hAnsi="Palatino Linotype" w:cs="Courier New"/>
          <w:color w:val="000000" w:themeColor="text1"/>
        </w:rPr>
        <w:lastRenderedPageBreak/>
        <w:t xml:space="preserve">Sensitivity </w:t>
      </w:r>
      <w:r w:rsidR="00352CCD">
        <w:rPr>
          <w:rFonts w:ascii="Palatino Linotype" w:hAnsi="Palatino Linotype" w:cs="Courier New"/>
          <w:color w:val="000000" w:themeColor="text1"/>
        </w:rPr>
        <w:t>to</w:t>
      </w:r>
      <w:r w:rsidR="001F195D" w:rsidRPr="00F20DC8">
        <w:rPr>
          <w:rFonts w:ascii="Palatino Linotype" w:hAnsi="Palatino Linotype" w:cs="Courier New"/>
          <w:color w:val="000000" w:themeColor="text1"/>
        </w:rPr>
        <w:t xml:space="preserve"> transmissibility, </w:t>
      </w:r>
      <w:r w:rsidR="00980D53" w:rsidRPr="00F20DC8">
        <w:rPr>
          <w:rFonts w:ascii="Palatino Linotype" w:hAnsi="Palatino Linotype" w:cs="Courier New"/>
          <w:color w:val="000000" w:themeColor="text1"/>
        </w:rPr>
        <w:t>protective measure efficacy, and responsiveness</w:t>
      </w:r>
      <w:bookmarkEnd w:id="24"/>
    </w:p>
    <w:p w14:paraId="6F2449C5" w14:textId="223C5372" w:rsidR="00936006" w:rsidRPr="00F20DC8" w:rsidRDefault="00ED4C0B" w:rsidP="00F20DC8">
      <w:pPr>
        <w:pStyle w:val="BodyText"/>
        <w:rPr>
          <w:i/>
          <w:iCs/>
        </w:rPr>
      </w:pPr>
      <w:r>
        <w:t xml:space="preserve">Supplementary Figure 9 </w:t>
      </w:r>
      <w:r w:rsidR="00366593">
        <w:t>shows that the</w:t>
      </w:r>
      <w:r w:rsidR="00D13EE8">
        <w:t xml:space="preserve"> difference in epidemic size between groups </w:t>
      </w:r>
      <w:r w:rsidR="00FC2954">
        <w:t xml:space="preserve">under uniform awareness and separated mixing </w:t>
      </w:r>
      <w:r w:rsidR="00D13EE8">
        <w:t xml:space="preserve">is sensitive to </w:t>
      </w:r>
      <w:r w:rsidR="0004413C">
        <w:t>pathogen transmissibility (</w:t>
      </w:r>
      <m:oMath>
        <m:r>
          <m:rPr>
            <m:sty m:val="p"/>
          </m:rPr>
          <w:rPr>
            <w:rStyle w:val="figureexplanationChar"/>
            <w:rFonts w:ascii="Cambria Math" w:hAnsi="Cambria Math"/>
          </w:rPr>
          <m:t>β</m:t>
        </m:r>
      </m:oMath>
      <w:r w:rsidR="0004413C">
        <w:rPr>
          <w:rStyle w:val="figureexplanationChar"/>
          <w:rFonts w:eastAsiaTheme="minorEastAsia"/>
          <w:bCs w:val="0"/>
          <w:i w:val="0"/>
          <w:iCs w:val="0"/>
        </w:rPr>
        <w:t>), the efficacy of protective measures (</w:t>
      </w:r>
      <m:oMath>
        <m:r>
          <m:rPr>
            <m:sty m:val="p"/>
          </m:rPr>
          <w:rPr>
            <w:rStyle w:val="figureexplanationChar"/>
            <w:rFonts w:ascii="Cambria Math" w:eastAsiaTheme="minorEastAsia" w:hAnsi="Cambria Math"/>
          </w:rPr>
          <m:t>κ</m:t>
        </m:r>
      </m:oMath>
      <w:r w:rsidR="0004413C">
        <w:rPr>
          <w:rStyle w:val="figureexplanationChar"/>
          <w:rFonts w:eastAsiaTheme="minorEastAsia"/>
          <w:bCs w:val="0"/>
          <w:i w:val="0"/>
          <w:iCs w:val="0"/>
        </w:rPr>
        <w:t>), and behavioral responsiveness to mortality (</w:t>
      </w:r>
      <m:oMath>
        <m:r>
          <m:rPr>
            <m:sty m:val="p"/>
          </m:rPr>
          <w:rPr>
            <w:rStyle w:val="figureexplanationChar"/>
            <w:rFonts w:ascii="Cambria Math" w:eastAsiaTheme="minorEastAsia" w:hAnsi="Cambria Math"/>
          </w:rPr>
          <m:t xml:space="preserve">θ). </m:t>
        </m:r>
      </m:oMath>
      <w:r w:rsidR="00B03C69">
        <w:rPr>
          <w:rStyle w:val="figureexplanationChar"/>
          <w:rFonts w:eastAsiaTheme="minorEastAsia"/>
          <w:bCs w:val="0"/>
          <w:i w:val="0"/>
          <w:iCs w:val="0"/>
        </w:rPr>
        <w:t xml:space="preserve">In general, the </w:t>
      </w:r>
      <w:r w:rsidR="00C5105E">
        <w:rPr>
          <w:rStyle w:val="figureexplanationChar"/>
          <w:rFonts w:eastAsiaTheme="minorEastAsia"/>
          <w:bCs w:val="0"/>
          <w:i w:val="0"/>
          <w:iCs w:val="0"/>
        </w:rPr>
        <w:t xml:space="preserve">ratio of cases in group </w:t>
      </w:r>
      <w:r w:rsidR="00C5105E">
        <w:rPr>
          <w:rStyle w:val="figureexplanationChar"/>
          <w:rFonts w:eastAsiaTheme="minorEastAsia"/>
          <w:bCs w:val="0"/>
        </w:rPr>
        <w:t xml:space="preserve">a </w:t>
      </w:r>
      <w:r w:rsidR="00C5105E">
        <w:rPr>
          <w:rStyle w:val="figureexplanationChar"/>
          <w:rFonts w:eastAsiaTheme="minorEastAsia"/>
          <w:bCs w:val="0"/>
          <w:i w:val="0"/>
          <w:iCs w:val="0"/>
        </w:rPr>
        <w:t xml:space="preserve">versus group </w:t>
      </w:r>
      <w:r w:rsidR="00C5105E">
        <w:rPr>
          <w:rStyle w:val="figureexplanationChar"/>
          <w:rFonts w:eastAsiaTheme="minorEastAsia"/>
          <w:bCs w:val="0"/>
        </w:rPr>
        <w:t xml:space="preserve">b </w:t>
      </w:r>
      <w:r w:rsidR="00C5105E">
        <w:rPr>
          <w:rStyle w:val="figureexplanationChar"/>
          <w:rFonts w:eastAsiaTheme="minorEastAsia"/>
          <w:bCs w:val="0"/>
          <w:i w:val="0"/>
          <w:iCs w:val="0"/>
        </w:rPr>
        <w:t xml:space="preserve">increases </w:t>
      </w:r>
      <w:r w:rsidR="004A58BD">
        <w:rPr>
          <w:rStyle w:val="figureexplanationChar"/>
          <w:rFonts w:eastAsiaTheme="minorEastAsia"/>
          <w:bCs w:val="0"/>
          <w:i w:val="0"/>
          <w:iCs w:val="0"/>
        </w:rPr>
        <w:t>under condition</w:t>
      </w:r>
      <w:r w:rsidR="00464C9B">
        <w:rPr>
          <w:rStyle w:val="figureexplanationChar"/>
          <w:rFonts w:eastAsiaTheme="minorEastAsia"/>
          <w:bCs w:val="0"/>
          <w:i w:val="0"/>
          <w:iCs w:val="0"/>
        </w:rPr>
        <w:t>s</w:t>
      </w:r>
      <w:r w:rsidR="00670A3A">
        <w:rPr>
          <w:rStyle w:val="figureexplanationChar"/>
          <w:rFonts w:eastAsiaTheme="minorEastAsia"/>
          <w:bCs w:val="0"/>
          <w:i w:val="0"/>
          <w:iCs w:val="0"/>
        </w:rPr>
        <w:t xml:space="preserve"> with reduced transmission</w:t>
      </w:r>
      <w:r w:rsidR="007972DC">
        <w:rPr>
          <w:rStyle w:val="figureexplanationChar"/>
          <w:rFonts w:eastAsiaTheme="minorEastAsia"/>
          <w:bCs w:val="0"/>
          <w:i w:val="0"/>
          <w:iCs w:val="0"/>
        </w:rPr>
        <w:t xml:space="preserve"> due to pathogen characteristics</w:t>
      </w:r>
      <w:r w:rsidR="009845B2">
        <w:rPr>
          <w:rStyle w:val="figureexplanationChar"/>
          <w:rFonts w:eastAsiaTheme="minorEastAsia"/>
          <w:bCs w:val="0"/>
          <w:i w:val="0"/>
          <w:iCs w:val="0"/>
        </w:rPr>
        <w:t xml:space="preserve"> (decreasing</w:t>
      </w:r>
      <w:r w:rsidR="009845B2">
        <w:rPr>
          <w:rStyle w:val="figureexplanationChar"/>
          <w:rFonts w:eastAsiaTheme="minorEastAsia"/>
          <w:i w:val="0"/>
        </w:rPr>
        <w:t xml:space="preserve"> </w:t>
      </w:r>
      <m:oMath>
        <m:r>
          <m:rPr>
            <m:sty m:val="p"/>
          </m:rPr>
          <w:rPr>
            <w:rStyle w:val="figureexplanationChar"/>
            <w:rFonts w:ascii="Cambria Math" w:hAnsi="Cambria Math"/>
          </w:rPr>
          <m:t>β</m:t>
        </m:r>
      </m:oMath>
      <w:r w:rsidR="009845B2">
        <w:rPr>
          <w:rStyle w:val="figureexplanationChar"/>
          <w:rFonts w:eastAsiaTheme="minorEastAsia"/>
          <w:bCs w:val="0"/>
          <w:i w:val="0"/>
          <w:iCs w:val="0"/>
        </w:rPr>
        <w:t>)</w:t>
      </w:r>
      <w:r w:rsidR="007972DC">
        <w:rPr>
          <w:rStyle w:val="figureexplanationChar"/>
          <w:rFonts w:eastAsiaTheme="minorEastAsia"/>
          <w:bCs w:val="0"/>
          <w:i w:val="0"/>
          <w:iCs w:val="0"/>
        </w:rPr>
        <w:t xml:space="preserve">, </w:t>
      </w:r>
      <w:r w:rsidR="005D5985">
        <w:rPr>
          <w:rStyle w:val="figureexplanationChar"/>
          <w:rFonts w:eastAsiaTheme="minorEastAsia"/>
          <w:bCs w:val="0"/>
          <w:i w:val="0"/>
          <w:iCs w:val="0"/>
        </w:rPr>
        <w:t>or better protective measures</w:t>
      </w:r>
      <w:r w:rsidR="009845B2">
        <w:rPr>
          <w:rStyle w:val="figureexplanationChar"/>
          <w:rFonts w:eastAsiaTheme="minorEastAsia"/>
          <w:bCs w:val="0"/>
          <w:i w:val="0"/>
          <w:iCs w:val="0"/>
        </w:rPr>
        <w:t xml:space="preserve"> (decreasing </w:t>
      </w:r>
      <m:oMath>
        <m:r>
          <m:rPr>
            <m:sty m:val="p"/>
          </m:rPr>
          <w:rPr>
            <w:rStyle w:val="figureexplanationChar"/>
            <w:rFonts w:ascii="Cambria Math" w:hAnsi="Cambria Math"/>
          </w:rPr>
          <m:t>κ)</m:t>
        </m:r>
      </m:oMath>
      <w:r w:rsidR="005D5985">
        <w:rPr>
          <w:rStyle w:val="figureexplanationChar"/>
          <w:rFonts w:eastAsiaTheme="minorEastAsia"/>
          <w:bCs w:val="0"/>
          <w:i w:val="0"/>
          <w:iCs w:val="0"/>
        </w:rPr>
        <w:t xml:space="preserve"> with </w:t>
      </w:r>
      <w:r w:rsidR="009845B2">
        <w:rPr>
          <w:rStyle w:val="figureexplanationChar"/>
          <w:rFonts w:eastAsiaTheme="minorEastAsia"/>
          <w:bCs w:val="0"/>
          <w:i w:val="0"/>
          <w:iCs w:val="0"/>
        </w:rPr>
        <w:t xml:space="preserve">greater uptake (greater </w:t>
      </w:r>
      <m:oMath>
        <m:r>
          <m:rPr>
            <m:sty m:val="p"/>
          </m:rPr>
          <w:rPr>
            <w:rStyle w:val="figureexplanationChar"/>
            <w:rFonts w:ascii="Cambria Math" w:hAnsi="Cambria Math"/>
          </w:rPr>
          <m:t>θ)</m:t>
        </m:r>
      </m:oMath>
      <w:r w:rsidR="009845B2">
        <w:rPr>
          <w:rStyle w:val="figureexplanationChar"/>
          <w:rFonts w:eastAsiaTheme="minorEastAsia"/>
          <w:bCs w:val="0"/>
          <w:i w:val="0"/>
          <w:iCs w:val="0"/>
        </w:rPr>
        <w:t xml:space="preserve">. </w:t>
      </w:r>
      <w:r w:rsidR="00A56DA3">
        <w:rPr>
          <w:rStyle w:val="figureexplanationChar"/>
          <w:rFonts w:eastAsiaTheme="minorEastAsia"/>
          <w:bCs w:val="0"/>
          <w:i w:val="0"/>
          <w:iCs w:val="0"/>
        </w:rPr>
        <w:t>In these scenarios</w:t>
      </w:r>
      <w:r w:rsidR="001418D6">
        <w:rPr>
          <w:rStyle w:val="figureexplanationChar"/>
          <w:rFonts w:eastAsiaTheme="minorEastAsia"/>
          <w:bCs w:val="0"/>
          <w:i w:val="0"/>
          <w:iCs w:val="0"/>
        </w:rPr>
        <w:t xml:space="preserve">, </w:t>
      </w:r>
      <w:r w:rsidR="001C3220">
        <w:rPr>
          <w:rStyle w:val="figureexplanationChar"/>
          <w:rFonts w:eastAsiaTheme="minorEastAsia"/>
          <w:bCs w:val="0"/>
          <w:i w:val="0"/>
          <w:iCs w:val="0"/>
        </w:rPr>
        <w:t xml:space="preserve">both groups experience fewer </w:t>
      </w:r>
      <w:r w:rsidR="00AF0095">
        <w:rPr>
          <w:rStyle w:val="figureexplanationChar"/>
          <w:rFonts w:eastAsiaTheme="minorEastAsia"/>
          <w:bCs w:val="0"/>
          <w:i w:val="0"/>
          <w:iCs w:val="0"/>
        </w:rPr>
        <w:t xml:space="preserve">infections but </w:t>
      </w:r>
      <w:r w:rsidR="001418D6">
        <w:rPr>
          <w:rStyle w:val="figureexplanationChar"/>
          <w:rFonts w:eastAsiaTheme="minorEastAsia"/>
          <w:bCs w:val="0"/>
          <w:i w:val="0"/>
          <w:iCs w:val="0"/>
        </w:rPr>
        <w:t xml:space="preserve">group </w:t>
      </w:r>
      <w:r w:rsidR="001418D6">
        <w:rPr>
          <w:rStyle w:val="figureexplanationChar"/>
          <w:rFonts w:eastAsiaTheme="minorEastAsia"/>
          <w:bCs w:val="0"/>
        </w:rPr>
        <w:t>b</w:t>
      </w:r>
      <w:r w:rsidR="00BC2A78">
        <w:rPr>
          <w:rStyle w:val="figureexplanationChar"/>
          <w:rFonts w:eastAsiaTheme="minorEastAsia"/>
          <w:bCs w:val="0"/>
          <w:i w:val="0"/>
          <w:iCs w:val="0"/>
        </w:rPr>
        <w:t>’s</w:t>
      </w:r>
      <w:r w:rsidR="001418D6">
        <w:rPr>
          <w:rStyle w:val="figureexplanationChar"/>
          <w:rFonts w:eastAsiaTheme="minorEastAsia"/>
          <w:bCs w:val="0"/>
        </w:rPr>
        <w:t xml:space="preserve"> </w:t>
      </w:r>
      <w:r w:rsidR="00BC2A78">
        <w:rPr>
          <w:rStyle w:val="figureexplanationChar"/>
          <w:rFonts w:eastAsiaTheme="minorEastAsia"/>
          <w:bCs w:val="0"/>
          <w:i w:val="0"/>
          <w:iCs w:val="0"/>
        </w:rPr>
        <w:t xml:space="preserve">response </w:t>
      </w:r>
      <w:r w:rsidR="005D343C">
        <w:rPr>
          <w:rStyle w:val="figureexplanationChar"/>
          <w:rFonts w:eastAsiaTheme="minorEastAsia"/>
          <w:bCs w:val="0"/>
          <w:i w:val="0"/>
          <w:iCs w:val="0"/>
        </w:rPr>
        <w:t xml:space="preserve">to early awareness of </w:t>
      </w:r>
      <w:r w:rsidR="00690323">
        <w:rPr>
          <w:rStyle w:val="figureexplanationChar"/>
          <w:rFonts w:eastAsiaTheme="minorEastAsia"/>
          <w:bCs w:val="0"/>
          <w:i w:val="0"/>
          <w:iCs w:val="0"/>
        </w:rPr>
        <w:t xml:space="preserve">deaths in group </w:t>
      </w:r>
      <w:r w:rsidR="00690323">
        <w:rPr>
          <w:rStyle w:val="figureexplanationChar"/>
          <w:rFonts w:eastAsiaTheme="minorEastAsia"/>
          <w:bCs w:val="0"/>
        </w:rPr>
        <w:t>a</w:t>
      </w:r>
      <w:r w:rsidR="00690323">
        <w:rPr>
          <w:rStyle w:val="figureexplanationChar"/>
          <w:rFonts w:eastAsiaTheme="minorEastAsia"/>
          <w:bCs w:val="0"/>
          <w:i w:val="0"/>
          <w:iCs w:val="0"/>
        </w:rPr>
        <w:t xml:space="preserve"> </w:t>
      </w:r>
      <w:r w:rsidR="00BC2A78">
        <w:rPr>
          <w:rStyle w:val="figureexplanationChar"/>
          <w:rFonts w:eastAsiaTheme="minorEastAsia"/>
          <w:bCs w:val="0"/>
          <w:i w:val="0"/>
          <w:iCs w:val="0"/>
        </w:rPr>
        <w:t xml:space="preserve">can more dramatically dampen the epidemic. </w:t>
      </w:r>
      <w:r w:rsidR="006D1910">
        <w:rPr>
          <w:rStyle w:val="figureexplanationChar"/>
          <w:rFonts w:eastAsiaTheme="minorEastAsia"/>
          <w:bCs w:val="0"/>
          <w:i w:val="0"/>
          <w:iCs w:val="0"/>
        </w:rPr>
        <w:t xml:space="preserve">Across </w:t>
      </w:r>
      <w:r>
        <w:rPr>
          <w:rStyle w:val="figureexplanationChar"/>
          <w:rFonts w:eastAsiaTheme="minorEastAsia"/>
          <w:bCs w:val="0"/>
          <w:i w:val="0"/>
          <w:iCs w:val="0"/>
        </w:rPr>
        <w:t>t</w:t>
      </w:r>
      <w:r w:rsidR="00D61607">
        <w:rPr>
          <w:rStyle w:val="figureexplanationChar"/>
          <w:rFonts w:eastAsiaTheme="minorEastAsia"/>
          <w:bCs w:val="0"/>
          <w:i w:val="0"/>
          <w:iCs w:val="0"/>
        </w:rPr>
        <w:t xml:space="preserve">he parameter values considered here, separated awareness </w:t>
      </w:r>
      <w:r w:rsidR="00FC2954">
        <w:rPr>
          <w:rStyle w:val="figureexplanationChar"/>
          <w:rFonts w:eastAsiaTheme="minorEastAsia"/>
          <w:bCs w:val="0"/>
          <w:i w:val="0"/>
          <w:iCs w:val="0"/>
        </w:rPr>
        <w:t>causes the two groups to have the same epidemic size.</w:t>
      </w:r>
    </w:p>
    <w:p w14:paraId="4C92832C" w14:textId="38404DE0" w:rsidR="00573F03" w:rsidRDefault="00573F03" w:rsidP="00846B64">
      <w:pPr>
        <w:pStyle w:val="ImageCaption"/>
        <w:rPr>
          <w:rFonts w:cs="Courier New"/>
        </w:rPr>
      </w:pPr>
      <w:r w:rsidRPr="00573F03">
        <w:rPr>
          <w:rFonts w:cs="Courier New"/>
          <w:noProof/>
        </w:rPr>
        <w:lastRenderedPageBreak/>
        <w:drawing>
          <wp:inline distT="0" distB="0" distL="0" distR="0" wp14:anchorId="1C8464AF" wp14:editId="1431553D">
            <wp:extent cx="6098226" cy="8313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6098226" cy="8313596"/>
                    </a:xfrm>
                    <a:prstGeom prst="rect">
                      <a:avLst/>
                    </a:prstGeom>
                  </pic:spPr>
                </pic:pic>
              </a:graphicData>
            </a:graphic>
          </wp:inline>
        </w:drawing>
      </w:r>
    </w:p>
    <w:p w14:paraId="5CD42643" w14:textId="41B62310" w:rsidR="0020608D" w:rsidRDefault="0044300E" w:rsidP="00E60708">
      <w:bookmarkStart w:id="25" w:name="_Toc121239042"/>
      <w:r w:rsidRPr="00F20DC8">
        <w:rPr>
          <w:rStyle w:val="CaptionChar"/>
        </w:rPr>
        <w:lastRenderedPageBreak/>
        <w:t>Supplementary Figure 9.</w:t>
      </w:r>
      <w:r w:rsidR="00E21058" w:rsidRPr="00945A43">
        <w:rPr>
          <w:rStyle w:val="CaptionChar"/>
        </w:rPr>
        <w:t xml:space="preserve"> </w:t>
      </w:r>
      <w:r w:rsidR="00C159ED" w:rsidRPr="00945A43">
        <w:rPr>
          <w:rStyle w:val="CaptionChar"/>
        </w:rPr>
        <w:t xml:space="preserve">The ratio of total infections in group </w:t>
      </w:r>
      <w:r w:rsidR="00C159ED" w:rsidRPr="00F20DC8">
        <w:rPr>
          <w:rStyle w:val="CaptionChar"/>
        </w:rPr>
        <w:t xml:space="preserve">a </w:t>
      </w:r>
      <w:r w:rsidR="00C159ED" w:rsidRPr="00945A43">
        <w:rPr>
          <w:rStyle w:val="CaptionChar"/>
        </w:rPr>
        <w:t xml:space="preserve">versus group </w:t>
      </w:r>
      <w:r w:rsidR="00C159ED" w:rsidRPr="00F20DC8">
        <w:rPr>
          <w:rStyle w:val="CaptionChar"/>
        </w:rPr>
        <w:t xml:space="preserve">b </w:t>
      </w:r>
      <w:r w:rsidR="00920990" w:rsidRPr="00945A43">
        <w:rPr>
          <w:rStyle w:val="CaptionChar"/>
        </w:rPr>
        <w:t xml:space="preserve">increases with </w:t>
      </w:r>
      <w:r w:rsidR="002E4E70" w:rsidRPr="00945A43">
        <w:rPr>
          <w:rStyle w:val="CaptionChar"/>
        </w:rPr>
        <w:t>reduced pathogen</w:t>
      </w:r>
      <w:r w:rsidR="00B57E59" w:rsidRPr="00945A43">
        <w:rPr>
          <w:rStyle w:val="CaptionChar"/>
        </w:rPr>
        <w:t xml:space="preserve"> transmissibility</w:t>
      </w:r>
      <w:r w:rsidR="00B57E59" w:rsidRPr="00F20DC8">
        <w:rPr>
          <w:rStyle w:val="CaptionChar"/>
        </w:rPr>
        <w:t xml:space="preserve">, </w:t>
      </w:r>
      <w:r w:rsidR="00B16BC7" w:rsidRPr="00F20DC8">
        <w:rPr>
          <w:rStyle w:val="CaptionChar"/>
        </w:rPr>
        <w:t>greater</w:t>
      </w:r>
      <w:r w:rsidR="00B57E59" w:rsidRPr="00F20DC8">
        <w:rPr>
          <w:rStyle w:val="CaptionChar"/>
        </w:rPr>
        <w:t xml:space="preserve"> protective behavior efficacy</w:t>
      </w:r>
      <w:r w:rsidR="000E6D41" w:rsidRPr="00F20DC8">
        <w:rPr>
          <w:rStyle w:val="CaptionChar"/>
        </w:rPr>
        <w:t>,</w:t>
      </w:r>
      <w:r w:rsidR="00B57E59" w:rsidRPr="00F20DC8">
        <w:rPr>
          <w:rStyle w:val="CaptionChar"/>
        </w:rPr>
        <w:t xml:space="preserve"> </w:t>
      </w:r>
      <w:r w:rsidR="00FF4D34" w:rsidRPr="00F20DC8">
        <w:rPr>
          <w:rStyle w:val="CaptionChar"/>
        </w:rPr>
        <w:t>or greater responsiveness</w:t>
      </w:r>
      <w:r w:rsidRPr="00F20DC8">
        <w:rPr>
          <w:rStyle w:val="CaptionChar"/>
        </w:rPr>
        <w:t>.</w:t>
      </w:r>
      <w:bookmarkEnd w:id="25"/>
      <w:r w:rsidRPr="00F20DC8">
        <w:rPr>
          <w:rStyle w:val="CaptionChar"/>
        </w:rPr>
        <w:t xml:space="preserve"> </w:t>
      </w:r>
      <w:r w:rsidR="00E7059D">
        <w:rPr>
          <w:rStyle w:val="figureexplanationChar"/>
        </w:rPr>
        <w:t>We conduct a sensitivity analysis to determine the effects of transmission coefficient (</w:t>
      </w:r>
      <m:oMath>
        <m:r>
          <m:rPr>
            <m:sty m:val="p"/>
          </m:rPr>
          <w:rPr>
            <w:rStyle w:val="figureexplanationChar"/>
            <w:rFonts w:ascii="Cambria Math" w:hAnsi="Cambria Math"/>
          </w:rPr>
          <m:t>β)</m:t>
        </m:r>
      </m:oMath>
      <w:r w:rsidR="00E7059D">
        <w:rPr>
          <w:rStyle w:val="figureexplanationChar"/>
          <w:rFonts w:eastAsiaTheme="minorEastAsia"/>
          <w:bCs w:val="0"/>
          <w:iCs w:val="0"/>
        </w:rPr>
        <w:t xml:space="preserve">, protective behavior efficacy </w:t>
      </w:r>
      <w:r w:rsidR="00E7059D" w:rsidRPr="00E7059D">
        <w:rPr>
          <w:rStyle w:val="figureexplanationChar"/>
          <w:rFonts w:eastAsiaTheme="minorEastAsia"/>
          <w:bCs w:val="0"/>
          <w:i w:val="0"/>
        </w:rPr>
        <w:t>(</w:t>
      </w:r>
      <m:oMath>
        <m:r>
          <m:rPr>
            <m:sty m:val="p"/>
          </m:rPr>
          <w:rPr>
            <w:rStyle w:val="CaptionChar"/>
            <w:rFonts w:ascii="Cambria Math" w:eastAsiaTheme="minorEastAsia" w:hAnsi="Cambria Math"/>
          </w:rPr>
          <m:t>κ</m:t>
        </m:r>
      </m:oMath>
      <w:r w:rsidR="00E7059D" w:rsidRPr="00F20DC8">
        <w:rPr>
          <w:rStyle w:val="CaptionChar"/>
          <w:rFonts w:eastAsiaTheme="minorEastAsia" w:cs="Courier New"/>
          <w:b w:val="0"/>
          <w:i w:val="0"/>
        </w:rPr>
        <w:t>)</w:t>
      </w:r>
      <w:r w:rsidR="00E7059D">
        <w:rPr>
          <w:rStyle w:val="CaptionChar"/>
          <w:rFonts w:eastAsiaTheme="minorEastAsia" w:cs="Courier New"/>
          <w:b w:val="0"/>
          <w:iCs w:val="0"/>
        </w:rPr>
        <w:t xml:space="preserve">, and responsiveness </w:t>
      </w:r>
      <m:oMath>
        <m:r>
          <m:rPr>
            <m:sty m:val="p"/>
          </m:rPr>
          <w:rPr>
            <w:rStyle w:val="CaptionChar"/>
            <w:rFonts w:ascii="Cambria Math" w:eastAsiaTheme="minorEastAsia" w:hAnsi="Cambria Math" w:cs="Courier New"/>
          </w:rPr>
          <m:t>(</m:t>
        </m:r>
        <m:r>
          <m:rPr>
            <m:sty m:val="p"/>
          </m:rPr>
          <w:rPr>
            <w:rStyle w:val="CaptionChar"/>
            <w:rFonts w:ascii="Cambria Math" w:eastAsiaTheme="minorEastAsia" w:hAnsi="Cambria Math"/>
          </w:rPr>
          <m:t>θ)</m:t>
        </m:r>
      </m:oMath>
      <w:r w:rsidR="00E7059D">
        <w:rPr>
          <w:rStyle w:val="CaptionChar"/>
          <w:rFonts w:eastAsiaTheme="minorEastAsia" w:cs="Courier New"/>
          <w:b w:val="0"/>
          <w:iCs w:val="0"/>
        </w:rPr>
        <w:t xml:space="preserve"> on</w:t>
      </w:r>
      <w:r w:rsidR="00B83377">
        <w:rPr>
          <w:rStyle w:val="CaptionChar"/>
          <w:rFonts w:eastAsiaTheme="minorEastAsia" w:cs="Courier New"/>
          <w:b w:val="0"/>
          <w:iCs w:val="0"/>
        </w:rPr>
        <w:t>: (A)</w:t>
      </w:r>
      <w:r w:rsidR="00E7059D">
        <w:rPr>
          <w:rStyle w:val="CaptionChar"/>
          <w:rFonts w:eastAsiaTheme="minorEastAsia" w:cs="Courier New"/>
          <w:b w:val="0"/>
          <w:iCs w:val="0"/>
        </w:rPr>
        <w:t xml:space="preserve"> </w:t>
      </w:r>
      <w:r w:rsidR="000306A4">
        <w:rPr>
          <w:rStyle w:val="CaptionChar"/>
          <w:rFonts w:eastAsiaTheme="minorEastAsia" w:cs="Courier New"/>
          <w:b w:val="0"/>
          <w:iCs w:val="0"/>
        </w:rPr>
        <w:t xml:space="preserve">the </w:t>
      </w:r>
      <w:r w:rsidR="00B83377">
        <w:rPr>
          <w:rStyle w:val="CaptionChar"/>
          <w:rFonts w:eastAsiaTheme="minorEastAsia" w:cs="Courier New"/>
          <w:b w:val="0"/>
          <w:iCs w:val="0"/>
        </w:rPr>
        <w:t xml:space="preserve">ratio of cumulative infections in group </w:t>
      </w:r>
      <w:r w:rsidR="00320EDA">
        <w:rPr>
          <w:rStyle w:val="CaptionChar"/>
          <w:rFonts w:eastAsiaTheme="minorEastAsia" w:cs="Courier New"/>
          <w:b w:val="0"/>
          <w:iCs w:val="0"/>
        </w:rPr>
        <w:t>a</w:t>
      </w:r>
      <w:r w:rsidR="00B83377">
        <w:rPr>
          <w:rStyle w:val="CaptionChar"/>
          <w:rFonts w:eastAsiaTheme="minorEastAsia" w:cs="Courier New"/>
          <w:b w:val="0"/>
          <w:i w:val="0"/>
        </w:rPr>
        <w:t xml:space="preserve"> </w:t>
      </w:r>
      <w:r w:rsidR="00B83377">
        <w:rPr>
          <w:rStyle w:val="CaptionChar"/>
          <w:rFonts w:eastAsiaTheme="minorEastAsia" w:cs="Courier New"/>
          <w:b w:val="0"/>
          <w:iCs w:val="0"/>
        </w:rPr>
        <w:t xml:space="preserve">versus group </w:t>
      </w:r>
      <w:r w:rsidR="00B83377">
        <w:rPr>
          <w:rStyle w:val="CaptionChar"/>
          <w:rFonts w:eastAsiaTheme="minorEastAsia" w:cs="Courier New"/>
          <w:b w:val="0"/>
          <w:i w:val="0"/>
        </w:rPr>
        <w:t xml:space="preserve">b </w:t>
      </w:r>
      <w:r w:rsidR="00B83377">
        <w:rPr>
          <w:rStyle w:val="CaptionChar"/>
          <w:rFonts w:eastAsiaTheme="minorEastAsia" w:cs="Courier New"/>
          <w:b w:val="0"/>
          <w:iCs w:val="0"/>
        </w:rPr>
        <w:t xml:space="preserve">and (B) infections over </w:t>
      </w:r>
      <w:r w:rsidR="00B83377" w:rsidRPr="00320EDA">
        <w:rPr>
          <w:rStyle w:val="CaptionChar"/>
          <w:rFonts w:eastAsiaTheme="minorEastAsia" w:cs="Courier New"/>
          <w:b w:val="0"/>
          <w:iCs w:val="0"/>
        </w:rPr>
        <w:t xml:space="preserve">time in groups </w:t>
      </w:r>
      <w:proofErr w:type="gramStart"/>
      <w:r w:rsidR="00B83377" w:rsidRPr="00F20DC8">
        <w:rPr>
          <w:rStyle w:val="CaptionChar"/>
          <w:rFonts w:eastAsiaTheme="minorEastAsia" w:cs="Courier New"/>
          <w:b w:val="0"/>
          <w:iCs w:val="0"/>
        </w:rPr>
        <w:t xml:space="preserve">a </w:t>
      </w:r>
      <w:r w:rsidR="00B83377" w:rsidRPr="00320EDA">
        <w:rPr>
          <w:rStyle w:val="CaptionChar"/>
          <w:rFonts w:eastAsiaTheme="minorEastAsia" w:cs="Courier New"/>
          <w:b w:val="0"/>
          <w:iCs w:val="0"/>
        </w:rPr>
        <w:t>and</w:t>
      </w:r>
      <w:proofErr w:type="gramEnd"/>
      <w:r w:rsidR="00B83377" w:rsidRPr="00320EDA">
        <w:rPr>
          <w:rStyle w:val="CaptionChar"/>
          <w:rFonts w:eastAsiaTheme="minorEastAsia" w:cs="Courier New"/>
          <w:b w:val="0"/>
          <w:iCs w:val="0"/>
        </w:rPr>
        <w:t xml:space="preserve"> </w:t>
      </w:r>
      <w:r w:rsidR="00B83377" w:rsidRPr="00F20DC8">
        <w:rPr>
          <w:rStyle w:val="CaptionChar"/>
          <w:rFonts w:eastAsiaTheme="minorEastAsia" w:cs="Courier New"/>
          <w:b w:val="0"/>
          <w:iCs w:val="0"/>
        </w:rPr>
        <w:t>b</w:t>
      </w:r>
      <w:r w:rsidR="00B83377">
        <w:rPr>
          <w:rStyle w:val="CaptionChar"/>
          <w:rFonts w:eastAsiaTheme="minorEastAsia" w:cs="Courier New"/>
          <w:b w:val="0"/>
          <w:i w:val="0"/>
        </w:rPr>
        <w:t>.</w:t>
      </w:r>
      <w:r w:rsidR="00B83377">
        <w:rPr>
          <w:rStyle w:val="CaptionChar"/>
          <w:rFonts w:eastAsiaTheme="minorEastAsia" w:cs="Courier New"/>
          <w:b w:val="0"/>
          <w:iCs w:val="0"/>
        </w:rPr>
        <w:t xml:space="preserve"> </w:t>
      </w:r>
      <w:r w:rsidR="00087F02">
        <w:rPr>
          <w:rStyle w:val="CaptionChar"/>
          <w:rFonts w:eastAsiaTheme="minorEastAsia" w:cs="Courier New"/>
          <w:b w:val="0"/>
          <w:iCs w:val="0"/>
        </w:rPr>
        <w:t xml:space="preserve">All plots assume uniform awareness </w:t>
      </w:r>
      <w:r w:rsidR="00087F02" w:rsidRPr="000B66CE">
        <w:rPr>
          <w:rStyle w:val="figureexplanationChar"/>
        </w:rPr>
        <w:t>(</w:t>
      </w:r>
      <m:oMath>
        <m:r>
          <w:rPr>
            <w:rStyle w:val="figureexplanationChar"/>
            <w:rFonts w:ascii="Cambria Math" w:hAnsi="Cambria Math"/>
          </w:rPr>
          <m:t>ϵ=0.5</m:t>
        </m:r>
      </m:oMath>
      <w:r w:rsidR="00087F02" w:rsidRPr="000B66CE">
        <w:rPr>
          <w:rStyle w:val="figureexplanationChar"/>
        </w:rPr>
        <w:t>)</w:t>
      </w:r>
      <w:r w:rsidR="00087F02">
        <w:rPr>
          <w:rStyle w:val="figureexplanationChar"/>
        </w:rPr>
        <w:t xml:space="preserve"> and separated mixing </w:t>
      </w:r>
      <w:r w:rsidR="00087F02" w:rsidRPr="000B66CE">
        <w:rPr>
          <w:rStyle w:val="figureexplanationChar"/>
        </w:rPr>
        <w:t>(</w:t>
      </w:r>
      <m:oMath>
        <m:r>
          <m:rPr>
            <m:sty m:val="p"/>
          </m:rPr>
          <w:rPr>
            <w:rStyle w:val="figureexplanationChar"/>
            <w:rFonts w:ascii="Cambria Math" w:hAnsi="Cambria Math"/>
          </w:rPr>
          <m:t>h</m:t>
        </m:r>
        <m:r>
          <w:rPr>
            <w:rStyle w:val="figureexplanationChar"/>
            <w:rFonts w:ascii="Cambria Math" w:hAnsi="Cambria Math"/>
          </w:rPr>
          <m:t>=0.</m:t>
        </m:r>
        <m:r>
          <m:rPr>
            <m:sty m:val="p"/>
          </m:rPr>
          <w:rPr>
            <w:rStyle w:val="figureexplanationChar"/>
            <w:rFonts w:ascii="Cambria Math" w:hAnsi="Cambria Math"/>
          </w:rPr>
          <m:t>99</m:t>
        </m:r>
      </m:oMath>
      <w:r w:rsidR="00087F02" w:rsidRPr="000B66CE">
        <w:rPr>
          <w:rStyle w:val="figureexplanationChar"/>
        </w:rPr>
        <w:t>)</w:t>
      </w:r>
      <w:r w:rsidR="00087F02">
        <w:rPr>
          <w:rStyle w:val="figureexplanationChar"/>
        </w:rPr>
        <w:t xml:space="preserve">. </w:t>
      </w:r>
      <w:r w:rsidR="00A067B9">
        <w:rPr>
          <w:rStyle w:val="CaptionChar"/>
          <w:rFonts w:eastAsiaTheme="minorEastAsia" w:cs="Courier New"/>
          <w:b w:val="0"/>
          <w:iCs w:val="0"/>
        </w:rPr>
        <w:t xml:space="preserve">The first column of plots, </w:t>
      </w:r>
      <w:r w:rsidR="00B83377">
        <w:rPr>
          <w:rStyle w:val="CaptionChar"/>
          <w:rFonts w:eastAsiaTheme="minorEastAsia" w:cs="Courier New"/>
          <w:b w:val="0"/>
          <w:iCs w:val="0"/>
        </w:rPr>
        <w:t>Panel A</w:t>
      </w:r>
      <w:r w:rsidR="00835201">
        <w:rPr>
          <w:rStyle w:val="CaptionChar"/>
          <w:rFonts w:eastAsiaTheme="minorEastAsia" w:cs="Courier New"/>
          <w:b w:val="0"/>
          <w:iCs w:val="0"/>
        </w:rPr>
        <w:t>,</w:t>
      </w:r>
      <w:r w:rsidR="00B83377">
        <w:rPr>
          <w:rStyle w:val="CaptionChar"/>
          <w:rFonts w:eastAsiaTheme="minorEastAsia" w:cs="Courier New"/>
          <w:b w:val="0"/>
          <w:iCs w:val="0"/>
        </w:rPr>
        <w:t xml:space="preserve"> shows the ratio of </w:t>
      </w:r>
      <w:r w:rsidR="00B83377" w:rsidRPr="00413231">
        <w:rPr>
          <w:rStyle w:val="CaptionChar"/>
          <w:rFonts w:eastAsiaTheme="minorEastAsia" w:cs="Courier New"/>
          <w:b w:val="0"/>
          <w:iCs w:val="0"/>
        </w:rPr>
        <w:t xml:space="preserve">cumulative infections in group </w:t>
      </w:r>
      <w:r w:rsidR="00B83377" w:rsidRPr="00F20DC8">
        <w:rPr>
          <w:rStyle w:val="CaptionChar"/>
          <w:rFonts w:eastAsiaTheme="minorEastAsia" w:cs="Courier New"/>
          <w:b w:val="0"/>
          <w:iCs w:val="0"/>
        </w:rPr>
        <w:t xml:space="preserve">a </w:t>
      </w:r>
      <w:r w:rsidR="00B83377" w:rsidRPr="00413231">
        <w:rPr>
          <w:rStyle w:val="CaptionChar"/>
          <w:rFonts w:eastAsiaTheme="minorEastAsia" w:cs="Courier New"/>
          <w:b w:val="0"/>
          <w:iCs w:val="0"/>
        </w:rPr>
        <w:t xml:space="preserve">versus group </w:t>
      </w:r>
      <w:r w:rsidR="00B83377" w:rsidRPr="00F20DC8">
        <w:rPr>
          <w:rStyle w:val="CaptionChar"/>
          <w:rFonts w:eastAsiaTheme="minorEastAsia" w:cs="Courier New"/>
          <w:b w:val="0"/>
          <w:iCs w:val="0"/>
        </w:rPr>
        <w:t xml:space="preserve">b </w:t>
      </w:r>
      <w:r w:rsidR="00B83377" w:rsidRPr="00413231">
        <w:rPr>
          <w:rStyle w:val="CaptionChar"/>
          <w:rFonts w:eastAsiaTheme="minorEastAsia" w:cs="Courier New"/>
          <w:b w:val="0"/>
          <w:iCs w:val="0"/>
        </w:rPr>
        <w:t xml:space="preserve">across different </w:t>
      </w:r>
      <w:r w:rsidR="00001B1E" w:rsidRPr="00413231">
        <w:rPr>
          <w:rStyle w:val="CaptionChar"/>
          <w:rFonts w:eastAsiaTheme="minorEastAsia" w:cs="Courier New"/>
          <w:b w:val="0"/>
          <w:iCs w:val="0"/>
        </w:rPr>
        <w:t>transmission coefficients</w:t>
      </w:r>
      <w:r w:rsidR="00001B1E">
        <w:rPr>
          <w:rStyle w:val="CaptionChar"/>
          <w:rFonts w:eastAsiaTheme="minorEastAsia" w:cs="Courier New"/>
          <w:b w:val="0"/>
          <w:iCs w:val="0"/>
        </w:rPr>
        <w:t xml:space="preserve"> </w:t>
      </w:r>
      <w:r w:rsidR="00001B1E">
        <w:rPr>
          <w:rStyle w:val="figureexplanationChar"/>
        </w:rPr>
        <w:t>(</w:t>
      </w:r>
      <m:oMath>
        <m:r>
          <m:rPr>
            <m:sty m:val="p"/>
          </m:rPr>
          <w:rPr>
            <w:rStyle w:val="figureexplanationChar"/>
            <w:rFonts w:ascii="Cambria Math" w:hAnsi="Cambria Math"/>
          </w:rPr>
          <m:t>β)</m:t>
        </m:r>
      </m:oMath>
      <w:r w:rsidR="00001B1E">
        <w:rPr>
          <w:rStyle w:val="figureexplanationChar"/>
          <w:rFonts w:eastAsiaTheme="minorEastAsia"/>
          <w:bCs w:val="0"/>
          <w:iCs w:val="0"/>
        </w:rPr>
        <w:t xml:space="preserve">, with increasing values on the y-axis indicating </w:t>
      </w:r>
      <w:r w:rsidR="0057591B">
        <w:rPr>
          <w:rStyle w:val="figureexplanationChar"/>
          <w:rFonts w:eastAsiaTheme="minorEastAsia"/>
          <w:bCs w:val="0"/>
          <w:iCs w:val="0"/>
        </w:rPr>
        <w:t xml:space="preserve">a greater </w:t>
      </w:r>
      <w:r w:rsidR="00CC11FE">
        <w:rPr>
          <w:rStyle w:val="figureexplanationChar"/>
          <w:rFonts w:eastAsiaTheme="minorEastAsia"/>
          <w:bCs w:val="0"/>
          <w:iCs w:val="0"/>
        </w:rPr>
        <w:t>cumulative</w:t>
      </w:r>
      <w:r w:rsidR="0057591B">
        <w:rPr>
          <w:rStyle w:val="figureexplanationChar"/>
          <w:rFonts w:eastAsiaTheme="minorEastAsia"/>
          <w:bCs w:val="0"/>
          <w:iCs w:val="0"/>
        </w:rPr>
        <w:t xml:space="preserve"> infection </w:t>
      </w:r>
      <w:r w:rsidR="0057591B" w:rsidRPr="00413231">
        <w:rPr>
          <w:rStyle w:val="figureexplanationChar"/>
          <w:rFonts w:eastAsiaTheme="minorEastAsia"/>
          <w:bCs w:val="0"/>
          <w:iCs w:val="0"/>
        </w:rPr>
        <w:t xml:space="preserve">burden in group </w:t>
      </w:r>
      <w:r w:rsidR="0057591B" w:rsidRPr="00F20DC8">
        <w:rPr>
          <w:rStyle w:val="figureexplanationChar"/>
          <w:rFonts w:eastAsiaTheme="minorEastAsia"/>
          <w:bCs w:val="0"/>
          <w:iCs w:val="0"/>
        </w:rPr>
        <w:t>a</w:t>
      </w:r>
      <w:r w:rsidR="0057591B" w:rsidRPr="00413231">
        <w:rPr>
          <w:rStyle w:val="figureexplanationChar"/>
          <w:rFonts w:eastAsiaTheme="minorEastAsia"/>
          <w:bCs w:val="0"/>
          <w:iCs w:val="0"/>
        </w:rPr>
        <w:t xml:space="preserve"> versus group </w:t>
      </w:r>
      <w:r w:rsidR="0057591B" w:rsidRPr="00F20DC8">
        <w:rPr>
          <w:rStyle w:val="figureexplanationChar"/>
          <w:rFonts w:eastAsiaTheme="minorEastAsia"/>
          <w:bCs w:val="0"/>
          <w:iCs w:val="0"/>
        </w:rPr>
        <w:t xml:space="preserve">b. </w:t>
      </w:r>
      <w:r w:rsidR="0057591B">
        <w:rPr>
          <w:rStyle w:val="figureexplanationChar"/>
          <w:rFonts w:eastAsiaTheme="minorEastAsia"/>
          <w:bCs w:val="0"/>
          <w:iCs w:val="0"/>
        </w:rPr>
        <w:t xml:space="preserve">Each line </w:t>
      </w:r>
      <w:proofErr w:type="gramStart"/>
      <w:r w:rsidR="0057591B">
        <w:rPr>
          <w:rStyle w:val="figureexplanationChar"/>
          <w:rFonts w:eastAsiaTheme="minorEastAsia"/>
          <w:bCs w:val="0"/>
          <w:iCs w:val="0"/>
        </w:rPr>
        <w:t>in a given</w:t>
      </w:r>
      <w:proofErr w:type="gramEnd"/>
      <w:r w:rsidR="0057591B">
        <w:rPr>
          <w:rStyle w:val="figureexplanationChar"/>
          <w:rFonts w:eastAsiaTheme="minorEastAsia"/>
          <w:bCs w:val="0"/>
          <w:iCs w:val="0"/>
        </w:rPr>
        <w:t xml:space="preserve"> panel indicates a different level of </w:t>
      </w:r>
      <w:r w:rsidR="00C66E53">
        <w:rPr>
          <w:rStyle w:val="figureexplanationChar"/>
          <w:rFonts w:eastAsiaTheme="minorEastAsia"/>
          <w:bCs w:val="0"/>
          <w:iCs w:val="0"/>
        </w:rPr>
        <w:t>protective measure efficacy (</w:t>
      </w:r>
      <m:oMath>
        <m:r>
          <m:rPr>
            <m:sty m:val="p"/>
          </m:rPr>
          <w:rPr>
            <w:rStyle w:val="CaptionChar"/>
            <w:rFonts w:ascii="Cambria Math" w:eastAsiaTheme="minorEastAsia" w:hAnsi="Cambria Math"/>
          </w:rPr>
          <m:t>κ</m:t>
        </m:r>
      </m:oMath>
      <w:r w:rsidR="00C66E53" w:rsidRPr="00C66E53">
        <w:rPr>
          <w:rStyle w:val="figureexplanationChar"/>
          <w:rFonts w:eastAsiaTheme="minorEastAsia"/>
          <w:bCs w:val="0"/>
          <w:i w:val="0"/>
        </w:rPr>
        <w:t>)</w:t>
      </w:r>
      <w:r w:rsidR="00C66E53" w:rsidRPr="00F20DC8">
        <w:rPr>
          <w:rStyle w:val="figureexplanationChar"/>
          <w:rFonts w:eastAsiaTheme="minorEastAsia"/>
          <w:bCs w:val="0"/>
          <w:iCs w:val="0"/>
        </w:rPr>
        <w:t xml:space="preserve">, with </w:t>
      </w:r>
      <w:r w:rsidR="00C66E53">
        <w:rPr>
          <w:rStyle w:val="figureexplanationChar"/>
          <w:rFonts w:eastAsiaTheme="minorEastAsia"/>
          <w:bCs w:val="0"/>
          <w:iCs w:val="0"/>
        </w:rPr>
        <w:t xml:space="preserve">darker line color indicating increased protective measure efficacy (i.e., decreased </w:t>
      </w:r>
      <m:oMath>
        <m:r>
          <m:rPr>
            <m:sty m:val="p"/>
          </m:rPr>
          <w:rPr>
            <w:rStyle w:val="CaptionChar"/>
            <w:rFonts w:ascii="Cambria Math" w:eastAsiaTheme="minorEastAsia" w:hAnsi="Cambria Math"/>
          </w:rPr>
          <m:t>κ</m:t>
        </m:r>
      </m:oMath>
      <w:r w:rsidR="00C66E53">
        <w:rPr>
          <w:rStyle w:val="CaptionChar"/>
          <w:rFonts w:eastAsiaTheme="minorEastAsia" w:cs="Courier New"/>
          <w:b w:val="0"/>
          <w:iCs w:val="0"/>
        </w:rPr>
        <w:t xml:space="preserve">). </w:t>
      </w:r>
      <w:r w:rsidR="00295A11">
        <w:rPr>
          <w:rStyle w:val="CaptionChar"/>
          <w:rFonts w:eastAsiaTheme="minorEastAsia" w:cs="Courier New"/>
          <w:b w:val="0"/>
          <w:iCs w:val="0"/>
        </w:rPr>
        <w:t xml:space="preserve">Plots are arranged from top to bottom by increasing responsiveness (greater values of </w:t>
      </w:r>
      <m:oMath>
        <m:r>
          <m:rPr>
            <m:sty m:val="p"/>
          </m:rPr>
          <w:rPr>
            <w:rStyle w:val="CaptionChar"/>
            <w:rFonts w:ascii="Cambria Math" w:eastAsiaTheme="minorEastAsia" w:hAnsi="Cambria Math"/>
          </w:rPr>
          <m:t>θ</m:t>
        </m:r>
      </m:oMath>
      <w:r w:rsidR="00295A11">
        <w:rPr>
          <w:rStyle w:val="CaptionChar"/>
          <w:rFonts w:eastAsiaTheme="minorEastAsia" w:cs="Courier New"/>
          <w:b w:val="0"/>
          <w:i w:val="0"/>
        </w:rPr>
        <w:t xml:space="preserve">), </w:t>
      </w:r>
      <w:r w:rsidR="00BC1D9D">
        <w:rPr>
          <w:rStyle w:val="CaptionChar"/>
          <w:rFonts w:eastAsiaTheme="minorEastAsia" w:cs="Courier New"/>
          <w:b w:val="0"/>
          <w:iCs w:val="0"/>
        </w:rPr>
        <w:t xml:space="preserve">as indicated by labels at the top of the plots. </w:t>
      </w:r>
      <w:r w:rsidR="00835201">
        <w:rPr>
          <w:rStyle w:val="CaptionChar"/>
          <w:rFonts w:eastAsiaTheme="minorEastAsia" w:cs="Courier New"/>
          <w:b w:val="0"/>
          <w:iCs w:val="0"/>
        </w:rPr>
        <w:t>The second two columns of plots, Panel B</w:t>
      </w:r>
      <w:r w:rsidR="00835201" w:rsidRPr="00813B79">
        <w:rPr>
          <w:rStyle w:val="CaptionChar"/>
          <w:rFonts w:eastAsiaTheme="minorEastAsia" w:cs="Courier New"/>
          <w:b w:val="0"/>
          <w:iCs w:val="0"/>
        </w:rPr>
        <w:t xml:space="preserve">, shows infections over time in group </w:t>
      </w:r>
      <w:r w:rsidR="00835201" w:rsidRPr="00F20DC8">
        <w:rPr>
          <w:rStyle w:val="CaptionChar"/>
          <w:rFonts w:eastAsiaTheme="minorEastAsia" w:cs="Courier New"/>
          <w:b w:val="0"/>
          <w:iCs w:val="0"/>
        </w:rPr>
        <w:t xml:space="preserve">a </w:t>
      </w:r>
      <w:r w:rsidR="00835201" w:rsidRPr="00813B79">
        <w:rPr>
          <w:rStyle w:val="CaptionChar"/>
          <w:rFonts w:eastAsiaTheme="minorEastAsia" w:cs="Courier New"/>
          <w:b w:val="0"/>
          <w:iCs w:val="0"/>
        </w:rPr>
        <w:t xml:space="preserve">(pink) and group </w:t>
      </w:r>
      <w:r w:rsidR="00835201" w:rsidRPr="00F20DC8">
        <w:rPr>
          <w:rStyle w:val="CaptionChar"/>
          <w:rFonts w:eastAsiaTheme="minorEastAsia" w:cs="Courier New"/>
          <w:b w:val="0"/>
          <w:iCs w:val="0"/>
        </w:rPr>
        <w:t xml:space="preserve">b </w:t>
      </w:r>
      <w:r w:rsidR="00835201" w:rsidRPr="00813B79">
        <w:rPr>
          <w:rStyle w:val="CaptionChar"/>
          <w:rFonts w:eastAsiaTheme="minorEastAsia" w:cs="Courier New"/>
          <w:b w:val="0"/>
          <w:iCs w:val="0"/>
        </w:rPr>
        <w:t>(green)</w:t>
      </w:r>
      <w:r w:rsidR="00835201" w:rsidRPr="00F20DC8">
        <w:rPr>
          <w:rStyle w:val="CaptionChar"/>
          <w:rFonts w:eastAsiaTheme="minorEastAsia" w:cs="Courier New"/>
          <w:b w:val="0"/>
          <w:iCs w:val="0"/>
        </w:rPr>
        <w:t xml:space="preserve"> </w:t>
      </w:r>
      <w:r w:rsidR="00303F5F" w:rsidRPr="00813B79">
        <w:rPr>
          <w:rStyle w:val="CaptionChar"/>
          <w:rFonts w:eastAsiaTheme="minorEastAsia" w:cs="Courier New"/>
          <w:b w:val="0"/>
          <w:iCs w:val="0"/>
        </w:rPr>
        <w:t>given</w:t>
      </w:r>
      <w:r w:rsidR="00303F5F">
        <w:rPr>
          <w:rStyle w:val="CaptionChar"/>
          <w:rFonts w:eastAsiaTheme="minorEastAsia" w:cs="Courier New"/>
          <w:b w:val="0"/>
          <w:iCs w:val="0"/>
        </w:rPr>
        <w:t xml:space="preserve"> different transmission coefficients (</w:t>
      </w:r>
      <m:oMath>
        <m:r>
          <m:rPr>
            <m:sty m:val="p"/>
          </m:rPr>
          <w:rPr>
            <w:rStyle w:val="figureexplanationChar"/>
            <w:rFonts w:ascii="Cambria Math" w:hAnsi="Cambria Math"/>
          </w:rPr>
          <m:t xml:space="preserve">β=0.22 </m:t>
        </m:r>
      </m:oMath>
      <w:r w:rsidR="00303F5F">
        <w:rPr>
          <w:rStyle w:val="figureexplanationChar"/>
          <w:rFonts w:eastAsiaTheme="minorEastAsia"/>
          <w:bCs w:val="0"/>
          <w:iCs w:val="0"/>
        </w:rPr>
        <w:t xml:space="preserve">or </w:t>
      </w:r>
      <m:oMath>
        <m:r>
          <m:rPr>
            <m:sty m:val="p"/>
          </m:rPr>
          <w:rPr>
            <w:rStyle w:val="figureexplanationChar"/>
            <w:rFonts w:ascii="Cambria Math" w:hAnsi="Cambria Math"/>
          </w:rPr>
          <m:t>0.55</m:t>
        </m:r>
      </m:oMath>
      <w:r w:rsidR="00303F5F">
        <w:rPr>
          <w:rStyle w:val="CaptionChar"/>
          <w:rFonts w:eastAsiaTheme="minorEastAsia" w:cs="Courier New"/>
          <w:b w:val="0"/>
          <w:iCs w:val="0"/>
        </w:rPr>
        <w:t>) [columns] and responsiveness (</w:t>
      </w:r>
      <m:oMath>
        <m:r>
          <m:rPr>
            <m:sty m:val="p"/>
          </m:rPr>
          <w:rPr>
            <w:rStyle w:val="figureexplanationChar"/>
            <w:rFonts w:ascii="Cambria Math" w:hAnsi="Cambria Math"/>
          </w:rPr>
          <m:t xml:space="preserve">θ=0, 100, 500 </m:t>
        </m:r>
      </m:oMath>
      <w:r w:rsidR="00303F5F">
        <w:rPr>
          <w:rStyle w:val="figureexplanationChar"/>
          <w:rFonts w:eastAsiaTheme="minorEastAsia"/>
          <w:bCs w:val="0"/>
          <w:iCs w:val="0"/>
        </w:rPr>
        <w:t xml:space="preserve">or </w:t>
      </w:r>
      <m:oMath>
        <m:r>
          <m:rPr>
            <m:sty m:val="p"/>
          </m:rPr>
          <w:rPr>
            <w:rStyle w:val="figureexplanationChar"/>
            <w:rFonts w:ascii="Cambria Math" w:hAnsi="Cambria Math"/>
          </w:rPr>
          <m:t>1000</m:t>
        </m:r>
      </m:oMath>
      <w:r w:rsidR="00303F5F">
        <w:rPr>
          <w:rStyle w:val="CaptionChar"/>
          <w:rFonts w:eastAsiaTheme="minorEastAsia" w:cs="Courier New"/>
          <w:b w:val="0"/>
          <w:iCs w:val="0"/>
        </w:rPr>
        <w:t xml:space="preserve">) [rows] indicated by facet labels. We annotate </w:t>
      </w:r>
      <w:r w:rsidR="0008073A">
        <w:rPr>
          <w:rStyle w:val="CaptionChar"/>
          <w:rFonts w:eastAsiaTheme="minorEastAsia" w:cs="Courier New"/>
          <w:b w:val="0"/>
          <w:iCs w:val="0"/>
        </w:rPr>
        <w:t xml:space="preserve">Panel A </w:t>
      </w:r>
      <w:r w:rsidR="005D5D60">
        <w:rPr>
          <w:rStyle w:val="CaptionChar"/>
          <w:rFonts w:eastAsiaTheme="minorEastAsia" w:cs="Courier New"/>
          <w:b w:val="0"/>
          <w:iCs w:val="0"/>
        </w:rPr>
        <w:t xml:space="preserve">to indicate the parameter values used in Panel B and </w:t>
      </w:r>
      <w:r w:rsidR="00303F5F">
        <w:rPr>
          <w:rStyle w:val="CaptionChar"/>
          <w:rFonts w:eastAsiaTheme="minorEastAsia" w:cs="Courier New"/>
          <w:b w:val="0"/>
          <w:iCs w:val="0"/>
        </w:rPr>
        <w:t>facilitate comparison between Panel A and Panel B</w:t>
      </w:r>
      <w:r w:rsidR="00D11217">
        <w:rPr>
          <w:rStyle w:val="CaptionChar"/>
          <w:rFonts w:eastAsiaTheme="minorEastAsia" w:cs="Courier New"/>
          <w:b w:val="0"/>
          <w:iCs w:val="0"/>
        </w:rPr>
        <w:t xml:space="preserve">. In particular, the black points correspond to </w:t>
      </w:r>
      <m:oMath>
        <m:r>
          <m:rPr>
            <m:sty m:val="p"/>
          </m:rPr>
          <w:rPr>
            <w:rStyle w:val="CaptionChar"/>
            <w:rFonts w:ascii="Cambria Math" w:eastAsiaTheme="minorEastAsia" w:hAnsi="Cambria Math"/>
          </w:rPr>
          <m:t xml:space="preserve">κ=0.2 </m:t>
        </m:r>
      </m:oMath>
      <w:r w:rsidR="00D11217">
        <w:rPr>
          <w:rStyle w:val="CaptionChar"/>
          <w:rFonts w:eastAsiaTheme="minorEastAsia" w:cs="Courier New"/>
          <w:b w:val="0"/>
          <w:iCs w:val="0"/>
        </w:rPr>
        <w:t xml:space="preserve">and </w:t>
      </w:r>
      <m:oMath>
        <m:r>
          <m:rPr>
            <m:sty m:val="p"/>
          </m:rPr>
          <w:rPr>
            <w:rStyle w:val="figureexplanationChar"/>
            <w:rFonts w:ascii="Cambria Math" w:hAnsi="Cambria Math"/>
          </w:rPr>
          <m:t xml:space="preserve">β=0.22 </m:t>
        </m:r>
      </m:oMath>
      <w:r w:rsidR="00D11217">
        <w:rPr>
          <w:rStyle w:val="figureexplanationChar"/>
          <w:rFonts w:eastAsiaTheme="minorEastAsia"/>
          <w:bCs w:val="0"/>
          <w:iCs w:val="0"/>
        </w:rPr>
        <w:t xml:space="preserve">or </w:t>
      </w:r>
      <m:oMath>
        <m:r>
          <m:rPr>
            <m:sty m:val="p"/>
          </m:rPr>
          <w:rPr>
            <w:rStyle w:val="figureexplanationChar"/>
            <w:rFonts w:ascii="Cambria Math" w:hAnsi="Cambria Math"/>
          </w:rPr>
          <m:t>0.55</m:t>
        </m:r>
      </m:oMath>
      <w:r w:rsidR="00E60708">
        <w:rPr>
          <w:rStyle w:val="figureexplanationChar"/>
          <w:rFonts w:eastAsiaTheme="minorEastAsia"/>
          <w:bCs w:val="0"/>
          <w:iCs w:val="0"/>
        </w:rPr>
        <w:t xml:space="preserve"> (values </w:t>
      </w:r>
      <w:r w:rsidR="00D54EA2">
        <w:rPr>
          <w:rStyle w:val="figureexplanationChar"/>
          <w:rFonts w:eastAsiaTheme="minorEastAsia"/>
          <w:bCs w:val="0"/>
          <w:iCs w:val="0"/>
        </w:rPr>
        <w:t>given</w:t>
      </w:r>
      <w:r w:rsidR="00E60708">
        <w:rPr>
          <w:rStyle w:val="figureexplanationChar"/>
          <w:rFonts w:eastAsiaTheme="minorEastAsia"/>
          <w:bCs w:val="0"/>
          <w:iCs w:val="0"/>
        </w:rPr>
        <w:t xml:space="preserve"> by numerical labels). </w:t>
      </w:r>
      <w:r w:rsidR="00E60708" w:rsidRPr="000B66CE">
        <w:rPr>
          <w:rStyle w:val="figureexplanationChar"/>
        </w:rPr>
        <w:t>All other parameter values are the same as those used in Figure 1.</w:t>
      </w:r>
    </w:p>
    <w:p w14:paraId="2D812454" w14:textId="77777777" w:rsidR="0044300E" w:rsidRDefault="0044300E">
      <w:pPr>
        <w:spacing w:after="160" w:line="259" w:lineRule="auto"/>
      </w:pPr>
    </w:p>
    <w:p w14:paraId="5BDABF6E" w14:textId="77777777" w:rsidR="00695CC1" w:rsidRDefault="00695CC1">
      <w:pPr>
        <w:spacing w:after="160" w:line="259" w:lineRule="auto"/>
      </w:pPr>
    </w:p>
    <w:p w14:paraId="3D31E2EF" w14:textId="77777777" w:rsidR="00695CC1" w:rsidRDefault="00695CC1">
      <w:pPr>
        <w:spacing w:after="160" w:line="259" w:lineRule="auto"/>
      </w:pPr>
    </w:p>
    <w:p w14:paraId="5258C389" w14:textId="77777777" w:rsidR="00695CC1" w:rsidRDefault="00695CC1" w:rsidP="00274ADE">
      <w:pPr>
        <w:jc w:val="center"/>
      </w:pPr>
    </w:p>
    <w:p w14:paraId="68FCF4AB" w14:textId="77777777" w:rsidR="00695CC1" w:rsidRDefault="00695CC1" w:rsidP="00274ADE">
      <w:pPr>
        <w:jc w:val="center"/>
      </w:pPr>
    </w:p>
    <w:p w14:paraId="26C7138B" w14:textId="77777777" w:rsidR="00695CC1" w:rsidRDefault="00695CC1" w:rsidP="00274ADE">
      <w:pPr>
        <w:jc w:val="center"/>
      </w:pPr>
    </w:p>
    <w:p w14:paraId="1160DEA2" w14:textId="77777777" w:rsidR="00695CC1" w:rsidRDefault="00695CC1" w:rsidP="00274ADE">
      <w:pPr>
        <w:jc w:val="center"/>
      </w:pPr>
    </w:p>
    <w:p w14:paraId="5B7E53EC" w14:textId="77777777" w:rsidR="00695CC1" w:rsidRDefault="00695CC1" w:rsidP="00274ADE">
      <w:pPr>
        <w:jc w:val="center"/>
      </w:pPr>
    </w:p>
    <w:p w14:paraId="71777CB2" w14:textId="77777777" w:rsidR="00695CC1" w:rsidRDefault="00695CC1" w:rsidP="00274ADE">
      <w:pPr>
        <w:jc w:val="center"/>
      </w:pPr>
    </w:p>
    <w:p w14:paraId="0739913F" w14:textId="77777777" w:rsidR="00695CC1" w:rsidRDefault="00695CC1" w:rsidP="00274ADE">
      <w:pPr>
        <w:jc w:val="center"/>
      </w:pPr>
    </w:p>
    <w:p w14:paraId="2D02B154" w14:textId="77777777" w:rsidR="00695CC1" w:rsidRDefault="00695CC1" w:rsidP="00274ADE">
      <w:pPr>
        <w:jc w:val="center"/>
      </w:pPr>
    </w:p>
    <w:p w14:paraId="2A5D1196" w14:textId="77777777" w:rsidR="00695CC1" w:rsidRDefault="00695CC1" w:rsidP="00274ADE">
      <w:pPr>
        <w:jc w:val="center"/>
      </w:pPr>
    </w:p>
    <w:p w14:paraId="06CE21C7" w14:textId="77777777" w:rsidR="00695CC1" w:rsidRDefault="00695CC1" w:rsidP="00274ADE">
      <w:pPr>
        <w:jc w:val="center"/>
      </w:pPr>
    </w:p>
    <w:p w14:paraId="36C1CA25" w14:textId="77777777" w:rsidR="00695CC1" w:rsidRDefault="00695CC1" w:rsidP="00274ADE">
      <w:pPr>
        <w:jc w:val="center"/>
      </w:pPr>
    </w:p>
    <w:p w14:paraId="7AE139D7" w14:textId="68D18A91" w:rsidR="00695CC1" w:rsidRDefault="00695CC1" w:rsidP="00695CC1">
      <w:pPr>
        <w:pStyle w:val="Heading1"/>
        <w:rPr>
          <w:rFonts w:ascii="Palatino Linotype" w:hAnsi="Palatino Linotype" w:cs="Courier New"/>
          <w:color w:val="000000" w:themeColor="text1"/>
        </w:rPr>
      </w:pPr>
      <w:bookmarkStart w:id="26" w:name="_Toc121239043"/>
      <w:r w:rsidRPr="00F20DC8">
        <w:rPr>
          <w:rFonts w:ascii="Palatino Linotype" w:hAnsi="Palatino Linotype" w:cs="Courier New"/>
          <w:color w:val="000000" w:themeColor="text1"/>
        </w:rPr>
        <w:lastRenderedPageBreak/>
        <w:t>Long-term memory and fatigue</w:t>
      </w:r>
      <w:bookmarkEnd w:id="26"/>
    </w:p>
    <w:p w14:paraId="2CEB0260" w14:textId="6889D3DA" w:rsidR="009C4CA5" w:rsidRPr="00F20DC8" w:rsidRDefault="009C4CA5" w:rsidP="00F20DC8">
      <w:pPr>
        <w:pStyle w:val="BodyText"/>
      </w:pPr>
      <w:r>
        <w:t xml:space="preserve">Supplementary Figure 10 </w:t>
      </w:r>
      <w:r w:rsidR="008F5941">
        <w:t>shows how outcomes in both groups vary at intermediate levels of awareness separation</w:t>
      </w:r>
      <w:r w:rsidR="00C248C0">
        <w:t>. Supplementary Figure 11 shows infection prevalence and cumulative deaths over time in the full population depending on awareness separation, demonstrating that awareness separation may alter the shape of the epidemic</w:t>
      </w:r>
      <w:r w:rsidR="00036B74">
        <w:t xml:space="preserve"> without significantly affecting cumulative deaths</w:t>
      </w:r>
      <w:r w:rsidR="001C45C3">
        <w:t xml:space="preserve"> (as in Supplementary Figure 3)</w:t>
      </w:r>
      <w:r w:rsidR="00036B74">
        <w:t>.</w:t>
      </w:r>
    </w:p>
    <w:p w14:paraId="6529609E" w14:textId="77777777" w:rsidR="00695CC1" w:rsidRPr="00695CC1" w:rsidRDefault="00695CC1" w:rsidP="00F20DC8">
      <w:pPr>
        <w:pStyle w:val="BodyText"/>
      </w:pPr>
    </w:p>
    <w:p w14:paraId="29D58D3E" w14:textId="2860F328" w:rsidR="00274ADE" w:rsidRDefault="00274ADE" w:rsidP="00274ADE">
      <w:pPr>
        <w:jc w:val="center"/>
      </w:pPr>
      <w:r w:rsidRPr="00E04934">
        <w:rPr>
          <w:noProof/>
        </w:rPr>
        <w:drawing>
          <wp:inline distT="0" distB="0" distL="0" distR="0" wp14:anchorId="6C9694BF" wp14:editId="649B0672">
            <wp:extent cx="4967121" cy="454299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4967121" cy="4542992"/>
                    </a:xfrm>
                    <a:prstGeom prst="rect">
                      <a:avLst/>
                    </a:prstGeom>
                  </pic:spPr>
                </pic:pic>
              </a:graphicData>
            </a:graphic>
          </wp:inline>
        </w:drawing>
      </w:r>
    </w:p>
    <w:p w14:paraId="009844DD" w14:textId="49A46B74" w:rsidR="00274ADE" w:rsidRPr="006C74F7" w:rsidRDefault="00274ADE" w:rsidP="00274ADE">
      <w:pPr>
        <w:rPr>
          <w:rStyle w:val="figureexplanationChar"/>
        </w:rPr>
      </w:pPr>
      <w:bookmarkStart w:id="27" w:name="_Toc121239044"/>
      <w:r w:rsidRPr="006C74F7">
        <w:rPr>
          <w:rStyle w:val="CaptionChar"/>
        </w:rPr>
        <w:t>Supplementary Figure 1</w:t>
      </w:r>
      <w:r>
        <w:rPr>
          <w:rStyle w:val="CaptionChar"/>
        </w:rPr>
        <w:t xml:space="preserve">0. At intermediate levels of awareness separation, the first and second waves in group </w:t>
      </w:r>
      <w:r w:rsidRPr="008814B4">
        <w:rPr>
          <w:rStyle w:val="CaptionChar"/>
          <w:i w:val="0"/>
          <w:iCs w:val="0"/>
        </w:rPr>
        <w:t>b</w:t>
      </w:r>
      <w:r>
        <w:rPr>
          <w:rStyle w:val="CaptionChar"/>
        </w:rPr>
        <w:t xml:space="preserve"> have similar infection peak sizes</w:t>
      </w:r>
      <w:r w:rsidRPr="006C74F7">
        <w:rPr>
          <w:rStyle w:val="CaptionChar"/>
        </w:rPr>
        <w:t>.</w:t>
      </w:r>
      <w:bookmarkEnd w:id="27"/>
      <w:r w:rsidRPr="006C74F7">
        <w:rPr>
          <w:rStyle w:val="CaptionChar"/>
        </w:rPr>
        <w:t xml:space="preserve"> </w:t>
      </w:r>
      <w:r w:rsidRPr="006C74F7">
        <w:rPr>
          <w:rStyle w:val="figureexplanationChar"/>
        </w:rPr>
        <w:t xml:space="preserve">We consider infections in group a (pink) and group b (green) over a longer </w:t>
      </w:r>
      <w:proofErr w:type="gramStart"/>
      <w:r w:rsidRPr="006C74F7">
        <w:rPr>
          <w:rStyle w:val="figureexplanationChar"/>
        </w:rPr>
        <w:t>time period</w:t>
      </w:r>
      <w:proofErr w:type="gramEnd"/>
      <w:r w:rsidRPr="006C74F7">
        <w:rPr>
          <w:rStyle w:val="figureexplanationChar"/>
        </w:rPr>
        <w:t xml:space="preserve"> (1000 days)</w:t>
      </w:r>
      <w:r w:rsidR="00025F17">
        <w:rPr>
          <w:rStyle w:val="figureexplanationChar"/>
        </w:rPr>
        <w:t xml:space="preserve"> given fatigue and memory</w:t>
      </w:r>
      <w:r w:rsidRPr="006C74F7">
        <w:rPr>
          <w:rStyle w:val="figureexplanationChar"/>
        </w:rPr>
        <w:t xml:space="preserve">. The panels correspond two levels of intermediate awareness: (A) </w:t>
      </w:r>
      <m:oMath>
        <m:r>
          <w:rPr>
            <w:rStyle w:val="figureexplanationChar"/>
            <w:rFonts w:ascii="Cambria Math" w:hAnsi="Cambria Math"/>
          </w:rPr>
          <m:t>ϵ=0.75</m:t>
        </m:r>
      </m:oMath>
      <w:r w:rsidRPr="006C74F7">
        <w:rPr>
          <w:rStyle w:val="figureexplanationChar"/>
        </w:rPr>
        <w:t xml:space="preserve"> and (B) </w:t>
      </w:r>
      <m:oMath>
        <m:r>
          <w:rPr>
            <w:rStyle w:val="figureexplanationChar"/>
            <w:rFonts w:ascii="Cambria Math" w:hAnsi="Cambria Math"/>
          </w:rPr>
          <m:t>ϵ=0.9</m:t>
        </m:r>
      </m:oMath>
      <w:r w:rsidRPr="006C74F7">
        <w:rPr>
          <w:rStyle w:val="figureexplanationChar"/>
        </w:rPr>
        <w:t>. All other parameter values are the same as those used in Figure 3.</w:t>
      </w:r>
    </w:p>
    <w:p w14:paraId="080D99B9" w14:textId="688C76FF" w:rsidR="00573F03" w:rsidRDefault="00F563CC" w:rsidP="00F563CC">
      <w:pPr>
        <w:jc w:val="center"/>
      </w:pPr>
      <w:r w:rsidRPr="00F563CC">
        <w:rPr>
          <w:noProof/>
        </w:rPr>
        <w:lastRenderedPageBreak/>
        <w:drawing>
          <wp:inline distT="0" distB="0" distL="0" distR="0" wp14:anchorId="6FBE0DF1" wp14:editId="24088BCA">
            <wp:extent cx="4736443" cy="4346294"/>
            <wp:effectExtent l="0" t="0" r="762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8"/>
                    <a:stretch>
                      <a:fillRect/>
                    </a:stretch>
                  </pic:blipFill>
                  <pic:spPr>
                    <a:xfrm>
                      <a:off x="0" y="0"/>
                      <a:ext cx="4740392" cy="4349917"/>
                    </a:xfrm>
                    <a:prstGeom prst="rect">
                      <a:avLst/>
                    </a:prstGeom>
                  </pic:spPr>
                </pic:pic>
              </a:graphicData>
            </a:graphic>
          </wp:inline>
        </w:drawing>
      </w:r>
    </w:p>
    <w:p w14:paraId="331AF751" w14:textId="63130B42" w:rsidR="0044300E" w:rsidRPr="008C5FBA" w:rsidRDefault="0044300E" w:rsidP="00F20DC8">
      <w:bookmarkStart w:id="28" w:name="_Toc121239045"/>
      <w:r w:rsidRPr="00F20DC8">
        <w:rPr>
          <w:rStyle w:val="CaptionChar"/>
        </w:rPr>
        <w:t xml:space="preserve">Supplementary Figure </w:t>
      </w:r>
      <w:r w:rsidR="00274ADE">
        <w:rPr>
          <w:rStyle w:val="CaptionChar"/>
        </w:rPr>
        <w:t>11</w:t>
      </w:r>
      <w:r w:rsidRPr="00F20DC8">
        <w:rPr>
          <w:rStyle w:val="CaptionChar"/>
        </w:rPr>
        <w:t>.</w:t>
      </w:r>
      <w:r w:rsidR="00CB6A47">
        <w:rPr>
          <w:rStyle w:val="CaptionChar"/>
        </w:rPr>
        <w:t xml:space="preserve"> In the full population, awareness separation </w:t>
      </w:r>
      <w:r w:rsidR="00BC6B97">
        <w:rPr>
          <w:rStyle w:val="CaptionChar"/>
        </w:rPr>
        <w:t xml:space="preserve">alters </w:t>
      </w:r>
      <w:r w:rsidR="004205BA">
        <w:rPr>
          <w:rStyle w:val="CaptionChar"/>
        </w:rPr>
        <w:t>the shap</w:t>
      </w:r>
      <w:r w:rsidR="00A9364D">
        <w:rPr>
          <w:rStyle w:val="CaptionChar"/>
        </w:rPr>
        <w:t xml:space="preserve">es of the first and second waves of infections but does not significantly change </w:t>
      </w:r>
      <w:r w:rsidR="001868FF">
        <w:rPr>
          <w:rStyle w:val="CaptionChar"/>
        </w:rPr>
        <w:t>cumulative deaths over time</w:t>
      </w:r>
      <w:r w:rsidRPr="00F20DC8">
        <w:rPr>
          <w:rStyle w:val="CaptionChar"/>
        </w:rPr>
        <w:t>.</w:t>
      </w:r>
      <w:bookmarkEnd w:id="28"/>
      <w:r w:rsidRPr="00F20DC8">
        <w:rPr>
          <w:rStyle w:val="CaptionChar"/>
        </w:rPr>
        <w:t xml:space="preserve"> </w:t>
      </w:r>
      <w:r w:rsidRPr="00F20DC8">
        <w:rPr>
          <w:rStyle w:val="figureexplanationChar"/>
        </w:rPr>
        <w:t xml:space="preserve">Plots of (A) infections and (B) </w:t>
      </w:r>
      <w:r w:rsidR="0074083D" w:rsidRPr="00F20DC8">
        <w:rPr>
          <w:rStyle w:val="figureexplanationChar"/>
        </w:rPr>
        <w:t xml:space="preserve">cumulative </w:t>
      </w:r>
      <w:r w:rsidRPr="00F20DC8">
        <w:rPr>
          <w:rStyle w:val="figureexplanationChar"/>
        </w:rPr>
        <w:t xml:space="preserve">deaths over time in </w:t>
      </w:r>
      <w:r w:rsidR="0074083D" w:rsidRPr="00F20DC8">
        <w:rPr>
          <w:rStyle w:val="figureexplanationChar"/>
        </w:rPr>
        <w:t>the full population</w:t>
      </w:r>
      <w:r w:rsidR="008C5FBA" w:rsidRPr="00F20DC8">
        <w:rPr>
          <w:rStyle w:val="figureexplanationChar"/>
        </w:rPr>
        <w:t xml:space="preserve"> given fatigue</w:t>
      </w:r>
      <w:r w:rsidRPr="00F20DC8">
        <w:rPr>
          <w:rStyle w:val="figureexplanationChar"/>
        </w:rPr>
        <w:t>.</w:t>
      </w:r>
      <w:r w:rsidRPr="008C5FBA">
        <w:t xml:space="preserve"> </w:t>
      </w:r>
      <w:r w:rsidR="0074083D" w:rsidRPr="00F20DC8">
        <w:rPr>
          <w:rStyle w:val="figureexplanationChar"/>
        </w:rPr>
        <w:t xml:space="preserve">We assume </w:t>
      </w:r>
      <w:r w:rsidR="0073692B" w:rsidRPr="00F20DC8">
        <w:rPr>
          <w:rStyle w:val="figureexplanationChar"/>
        </w:rPr>
        <w:t xml:space="preserve">mixing separation and consider uniform awareness </w:t>
      </w:r>
      <w:r w:rsidR="00614794">
        <w:rPr>
          <w:rStyle w:val="figureexplanationChar"/>
        </w:rPr>
        <w:t xml:space="preserve">(dashed lines; </w:t>
      </w:r>
      <m:oMath>
        <m:r>
          <w:rPr>
            <w:rStyle w:val="figureexplanationChar"/>
            <w:rFonts w:ascii="Cambria Math" w:hAnsi="Cambria Math"/>
          </w:rPr>
          <m:t>ϵ=0.5</m:t>
        </m:r>
      </m:oMath>
      <w:r w:rsidR="00614794">
        <w:rPr>
          <w:rStyle w:val="figureexplanationChar"/>
        </w:rPr>
        <w:t>)</w:t>
      </w:r>
      <w:r w:rsidRPr="00F20DC8">
        <w:rPr>
          <w:rStyle w:val="figureexplanationChar"/>
        </w:rPr>
        <w:t xml:space="preserve">; </w:t>
      </w:r>
      <w:r w:rsidR="0073692B" w:rsidRPr="00F20DC8">
        <w:rPr>
          <w:rStyle w:val="figureexplanationChar"/>
        </w:rPr>
        <w:t>and</w:t>
      </w:r>
      <w:r w:rsidRPr="00F20DC8">
        <w:rPr>
          <w:rStyle w:val="figureexplanationChar"/>
        </w:rPr>
        <w:t xml:space="preserve"> separated awareness </w:t>
      </w:r>
      <w:r w:rsidR="00614794">
        <w:rPr>
          <w:rStyle w:val="figureexplanationChar"/>
        </w:rPr>
        <w:t xml:space="preserve">(solid lines; </w:t>
      </w:r>
      <m:oMath>
        <m:r>
          <w:rPr>
            <w:rStyle w:val="figureexplanationChar"/>
            <w:rFonts w:ascii="Cambria Math" w:hAnsi="Cambria Math"/>
          </w:rPr>
          <m:t>ϵ=0.</m:t>
        </m:r>
        <m:r>
          <m:rPr>
            <m:sty m:val="p"/>
          </m:rPr>
          <w:rPr>
            <w:rStyle w:val="figureexplanationChar"/>
            <w:rFonts w:ascii="Cambria Math" w:hAnsi="Cambria Math"/>
          </w:rPr>
          <m:t>99</m:t>
        </m:r>
      </m:oMath>
      <w:r w:rsidR="00614794">
        <w:rPr>
          <w:rStyle w:val="figureexplanationChar"/>
        </w:rPr>
        <w:t>)</w:t>
      </w:r>
      <w:r w:rsidR="0073692B" w:rsidRPr="00F20DC8">
        <w:rPr>
          <w:rStyle w:val="figureexplanationChar"/>
        </w:rPr>
        <w:t>.</w:t>
      </w:r>
      <w:r w:rsidRPr="00F20DC8">
        <w:rPr>
          <w:rStyle w:val="figureexplanationChar"/>
        </w:rPr>
        <w:t xml:space="preserve"> </w:t>
      </w:r>
      <w:r w:rsidR="00570ADB" w:rsidRPr="00F20DC8">
        <w:rPr>
          <w:rStyle w:val="figureexplanationChar"/>
        </w:rPr>
        <w:t xml:space="preserve">All other parameter values are the same as those used in Figure 3. </w:t>
      </w:r>
    </w:p>
    <w:p w14:paraId="1602FB62" w14:textId="2C8EBFD6" w:rsidR="00F563CC" w:rsidRDefault="00F563CC">
      <w:pPr>
        <w:spacing w:after="160" w:line="259" w:lineRule="auto"/>
      </w:pPr>
    </w:p>
    <w:p w14:paraId="2AF4E2EC" w14:textId="189F3FED" w:rsidR="00E04934" w:rsidRDefault="00E04934">
      <w:pPr>
        <w:spacing w:after="160" w:line="259" w:lineRule="auto"/>
        <w:rPr>
          <w:i/>
          <w:iCs/>
        </w:rPr>
      </w:pPr>
    </w:p>
    <w:p w14:paraId="0C5C5ACA" w14:textId="77777777" w:rsidR="00312FDD" w:rsidRDefault="00312FDD">
      <w:pPr>
        <w:spacing w:after="160" w:line="259" w:lineRule="auto"/>
        <w:rPr>
          <w:i/>
          <w:iCs/>
        </w:rPr>
      </w:pPr>
    </w:p>
    <w:p w14:paraId="3FDDA899" w14:textId="77777777" w:rsidR="00312FDD" w:rsidRDefault="00312FDD">
      <w:pPr>
        <w:spacing w:after="160" w:line="259" w:lineRule="auto"/>
        <w:rPr>
          <w:i/>
          <w:iCs/>
        </w:rPr>
      </w:pPr>
    </w:p>
    <w:p w14:paraId="388D2C2C" w14:textId="77777777" w:rsidR="00312FDD" w:rsidRDefault="00312FDD">
      <w:pPr>
        <w:spacing w:after="160" w:line="259" w:lineRule="auto"/>
        <w:rPr>
          <w:i/>
          <w:iCs/>
        </w:rPr>
      </w:pPr>
    </w:p>
    <w:p w14:paraId="4844CA1A" w14:textId="77777777" w:rsidR="00312FDD" w:rsidRDefault="00312FDD">
      <w:pPr>
        <w:spacing w:after="160" w:line="259" w:lineRule="auto"/>
        <w:rPr>
          <w:i/>
          <w:iCs/>
        </w:rPr>
      </w:pPr>
    </w:p>
    <w:p w14:paraId="278F5782" w14:textId="77777777" w:rsidR="00312FDD" w:rsidRDefault="00312FDD">
      <w:pPr>
        <w:spacing w:after="160" w:line="259" w:lineRule="auto"/>
        <w:rPr>
          <w:i/>
          <w:iCs/>
        </w:rPr>
      </w:pPr>
    </w:p>
    <w:p w14:paraId="1B6187FA" w14:textId="77777777" w:rsidR="00312FDD" w:rsidRDefault="00312FDD">
      <w:pPr>
        <w:spacing w:after="160" w:line="259" w:lineRule="auto"/>
        <w:rPr>
          <w:i/>
          <w:iCs/>
        </w:rPr>
      </w:pPr>
    </w:p>
    <w:p w14:paraId="041777D1" w14:textId="158F9F39" w:rsidR="00312FDD" w:rsidRDefault="006167BE" w:rsidP="00312FDD">
      <w:pPr>
        <w:pStyle w:val="Heading1"/>
        <w:rPr>
          <w:rFonts w:ascii="Palatino Linotype" w:hAnsi="Palatino Linotype" w:cs="Courier New"/>
          <w:color w:val="000000" w:themeColor="text1"/>
        </w:rPr>
      </w:pPr>
      <w:bookmarkStart w:id="29" w:name="_Toc121239046"/>
      <w:r>
        <w:rPr>
          <w:rFonts w:ascii="Palatino Linotype" w:hAnsi="Palatino Linotype" w:cs="Courier New"/>
          <w:color w:val="000000" w:themeColor="text1"/>
        </w:rPr>
        <w:lastRenderedPageBreak/>
        <w:t>Time series with pre-vaccine period</w:t>
      </w:r>
      <w:bookmarkEnd w:id="29"/>
    </w:p>
    <w:p w14:paraId="0FC19D0C" w14:textId="23F3FBA2" w:rsidR="00312FDD" w:rsidRPr="00E563F3" w:rsidRDefault="006167BE" w:rsidP="00F20DC8">
      <w:pPr>
        <w:pStyle w:val="BodyText"/>
      </w:pPr>
      <w:r>
        <w:t xml:space="preserve">Figure 4 crops time to the post-vaccine period only since the initial wave </w:t>
      </w:r>
      <w:r w:rsidR="00AB6E66">
        <w:t xml:space="preserve">in an immunologically naïve population is </w:t>
      </w:r>
      <w:r w:rsidR="00643EF5">
        <w:t xml:space="preserve">large enough to make </w:t>
      </w:r>
      <w:r w:rsidR="00AB6E66">
        <w:t xml:space="preserve">visual comparison of </w:t>
      </w:r>
      <w:r w:rsidR="00643EF5">
        <w:t>the two scenarios (vaccination under separated versus uniform awareness) difficult. Supplementary Figure 12 shows the entire time series, including the pre-vaccine period</w:t>
      </w:r>
      <w:r w:rsidR="00394653">
        <w:t xml:space="preserve"> (t = 0 to t = 200)</w:t>
      </w:r>
      <w:r w:rsidR="00643EF5">
        <w:t xml:space="preserve">. </w:t>
      </w:r>
      <w:r w:rsidR="008017AC" w:rsidRPr="008017AC">
        <w:t xml:space="preserve">In the pre-vaccine period, regardless of awareness separation, infection dynamics are identical between </w:t>
      </w:r>
      <w:proofErr w:type="gramStart"/>
      <w:r w:rsidR="008017AC" w:rsidRPr="008017AC">
        <w:t>groups</w:t>
      </w:r>
      <w:proofErr w:type="gramEnd"/>
      <w:r w:rsidR="008017AC" w:rsidRPr="008017AC">
        <w:t xml:space="preserve"> but deaths are higher in group </w:t>
      </w:r>
      <w:r w:rsidR="008017AC" w:rsidRPr="00F20DC8">
        <w:rPr>
          <w:i/>
          <w:iCs/>
        </w:rPr>
        <w:t>a</w:t>
      </w:r>
      <w:r w:rsidR="008017AC" w:rsidRPr="008017AC">
        <w:t xml:space="preserve"> than group </w:t>
      </w:r>
      <w:r w:rsidR="008017AC" w:rsidRPr="00F20DC8">
        <w:rPr>
          <w:i/>
          <w:iCs/>
        </w:rPr>
        <w:t>b</w:t>
      </w:r>
      <w:r w:rsidR="008017AC" w:rsidRPr="008017AC">
        <w:t xml:space="preserve"> due to a doubly high </w:t>
      </w:r>
      <w:r w:rsidR="00643879">
        <w:t>fatality probability</w:t>
      </w:r>
      <w:r w:rsidR="008017AC">
        <w:t>.</w:t>
      </w:r>
    </w:p>
    <w:p w14:paraId="3BFD9026" w14:textId="59B5CA56" w:rsidR="00E04934" w:rsidRDefault="00E10F9E" w:rsidP="00F563CC">
      <w:pPr>
        <w:jc w:val="center"/>
      </w:pPr>
      <w:r w:rsidRPr="00E10F9E">
        <w:rPr>
          <w:noProof/>
        </w:rPr>
        <w:drawing>
          <wp:inline distT="0" distB="0" distL="0" distR="0" wp14:anchorId="2E203064" wp14:editId="59AAE857">
            <wp:extent cx="5000360" cy="4667002"/>
            <wp:effectExtent l="0" t="0" r="0" b="635"/>
            <wp:docPr id="17" name="Picture 17"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histogram&#10;&#10;Description automatically generated"/>
                    <pic:cNvPicPr/>
                  </pic:nvPicPr>
                  <pic:blipFill>
                    <a:blip r:embed="rId19"/>
                    <a:stretch>
                      <a:fillRect/>
                    </a:stretch>
                  </pic:blipFill>
                  <pic:spPr>
                    <a:xfrm>
                      <a:off x="0" y="0"/>
                      <a:ext cx="5018371" cy="4683812"/>
                    </a:xfrm>
                    <a:prstGeom prst="rect">
                      <a:avLst/>
                    </a:prstGeom>
                  </pic:spPr>
                </pic:pic>
              </a:graphicData>
            </a:graphic>
          </wp:inline>
        </w:drawing>
      </w:r>
    </w:p>
    <w:p w14:paraId="6E3F8C28" w14:textId="5B387228" w:rsidR="00A4117E" w:rsidRPr="00F20DC8" w:rsidRDefault="0067543B" w:rsidP="00F20DC8">
      <w:pPr>
        <w:rPr>
          <w:rStyle w:val="figureexplanationChar"/>
        </w:rPr>
      </w:pPr>
      <w:bookmarkStart w:id="30" w:name="_Toc121239047"/>
      <w:r>
        <w:rPr>
          <w:rStyle w:val="CaptionChar"/>
        </w:rPr>
        <w:t xml:space="preserve">Supplementary </w:t>
      </w:r>
      <w:r w:rsidR="00FA3C60" w:rsidRPr="00F20DC8">
        <w:rPr>
          <w:rStyle w:val="CaptionChar"/>
        </w:rPr>
        <w:t xml:space="preserve">Figure </w:t>
      </w:r>
      <w:r w:rsidR="00987DDC" w:rsidRPr="00F20DC8">
        <w:rPr>
          <w:rStyle w:val="CaptionChar"/>
        </w:rPr>
        <w:t>12</w:t>
      </w:r>
      <w:r w:rsidR="00FA3C60" w:rsidRPr="00F20DC8">
        <w:rPr>
          <w:rStyle w:val="CaptionChar"/>
        </w:rPr>
        <w:t>.</w:t>
      </w:r>
      <w:r w:rsidR="00B63892">
        <w:rPr>
          <w:rStyle w:val="CaptionChar"/>
        </w:rPr>
        <w:t xml:space="preserve"> </w:t>
      </w:r>
      <w:r w:rsidR="00B43F7D">
        <w:rPr>
          <w:rStyle w:val="CaptionChar"/>
        </w:rPr>
        <w:t xml:space="preserve">Epidemic intensity is </w:t>
      </w:r>
      <w:r w:rsidR="008576F6">
        <w:rPr>
          <w:rStyle w:val="CaptionChar"/>
        </w:rPr>
        <w:t xml:space="preserve">greatest in the </w:t>
      </w:r>
      <w:r w:rsidR="00873E77">
        <w:rPr>
          <w:rStyle w:val="CaptionChar"/>
        </w:rPr>
        <w:t>pre-</w:t>
      </w:r>
      <w:r w:rsidR="008576F6">
        <w:rPr>
          <w:rStyle w:val="CaptionChar"/>
        </w:rPr>
        <w:t>vaccine period compared to the post-vaccine period</w:t>
      </w:r>
      <w:r w:rsidR="00873E77">
        <w:rPr>
          <w:rStyle w:val="CaptionChar"/>
        </w:rPr>
        <w:t>.</w:t>
      </w:r>
      <w:bookmarkEnd w:id="30"/>
      <w:r w:rsidR="00873E77">
        <w:rPr>
          <w:rStyle w:val="CaptionChar"/>
        </w:rPr>
        <w:t xml:space="preserve"> </w:t>
      </w:r>
      <w:r w:rsidR="00B43F7D" w:rsidRPr="00F20DC8">
        <w:rPr>
          <w:rStyle w:val="figureexplanationChar"/>
        </w:rPr>
        <w:t xml:space="preserve">We plot infections (A, B) and </w:t>
      </w:r>
      <w:r w:rsidR="00CB0320">
        <w:rPr>
          <w:rStyle w:val="figureexplanationChar"/>
        </w:rPr>
        <w:t xml:space="preserve">log-scaled </w:t>
      </w:r>
      <w:r w:rsidR="00B43F7D" w:rsidRPr="00F20DC8">
        <w:rPr>
          <w:rStyle w:val="figureexplanationChar"/>
        </w:rPr>
        <w:t xml:space="preserve">deaths (C, D) in group a (pink) and group b (green). </w:t>
      </w:r>
      <w:r w:rsidR="00873E77" w:rsidRPr="00F20DC8">
        <w:rPr>
          <w:rStyle w:val="figureexplanationChar"/>
        </w:rPr>
        <w:t>V</w:t>
      </w:r>
      <w:r w:rsidR="00A4117E" w:rsidRPr="00F20DC8">
        <w:rPr>
          <w:rStyle w:val="figureexplanationChar"/>
        </w:rPr>
        <w:t xml:space="preserve">accination begins at day 200, indicated with vertical arrows. </w:t>
      </w:r>
      <w:r w:rsidR="002B7C62" w:rsidRPr="00F20DC8">
        <w:rPr>
          <w:rStyle w:val="figureexplanationChar"/>
        </w:rPr>
        <w:t>In the post-vaccine period, we compare uniform awareness (</w:t>
      </w:r>
      <m:oMath>
        <m:r>
          <w:rPr>
            <w:rStyle w:val="figureexplanationChar"/>
            <w:rFonts w:ascii="Cambria Math" w:hAnsi="Cambria Math"/>
          </w:rPr>
          <m:t>ϵ=0.5</m:t>
        </m:r>
      </m:oMath>
      <w:r w:rsidR="002B7C62" w:rsidRPr="00F20DC8">
        <w:rPr>
          <w:rStyle w:val="figureexplanationChar"/>
        </w:rPr>
        <w:t>) (A, C) and separated awareness (</w:t>
      </w:r>
      <m:oMath>
        <m:r>
          <w:rPr>
            <w:rStyle w:val="figureexplanationChar"/>
            <w:rFonts w:ascii="Cambria Math" w:hAnsi="Cambria Math"/>
          </w:rPr>
          <m:t>ϵ=0.99</m:t>
        </m:r>
      </m:oMath>
      <w:r w:rsidR="002B7C62" w:rsidRPr="00F20DC8">
        <w:rPr>
          <w:rStyle w:val="figureexplanationChar"/>
        </w:rPr>
        <w:t xml:space="preserve">) (B, D). </w:t>
      </w:r>
      <w:r w:rsidR="002417AA" w:rsidRPr="00F20DC8">
        <w:rPr>
          <w:rStyle w:val="figureexplanationChar"/>
        </w:rPr>
        <w:t xml:space="preserve">All parameter values are the same as in Figure 4, but now we include the pre-vaccine period and consider time </w:t>
      </w:r>
      <w:r w:rsidR="00D542D8" w:rsidRPr="00F20DC8">
        <w:rPr>
          <w:rStyle w:val="figureexplanationChar"/>
        </w:rPr>
        <w:t xml:space="preserve">since pathogen introduction instead of time since the start of vaccination. </w:t>
      </w:r>
      <w:bookmarkStart w:id="31" w:name="fig4"/>
    </w:p>
    <w:p w14:paraId="02CF3940" w14:textId="5057C60A" w:rsidR="00036B74" w:rsidRDefault="00CB0320" w:rsidP="0003011D">
      <w:pPr>
        <w:pStyle w:val="Heading1"/>
        <w:rPr>
          <w:rFonts w:ascii="Palatino Linotype" w:hAnsi="Palatino Linotype" w:cs="Courier New"/>
          <w:color w:val="000000" w:themeColor="text1"/>
        </w:rPr>
      </w:pPr>
      <w:bookmarkStart w:id="32" w:name="_Toc121239048"/>
      <w:bookmarkEnd w:id="31"/>
      <w:r>
        <w:rPr>
          <w:rFonts w:ascii="Palatino Linotype" w:hAnsi="Palatino Linotype" w:cs="Courier New"/>
          <w:color w:val="000000" w:themeColor="text1"/>
        </w:rPr>
        <w:lastRenderedPageBreak/>
        <w:t xml:space="preserve">Sensitivity of vaccination outcomes to </w:t>
      </w:r>
      <w:r w:rsidR="009C4CA5">
        <w:rPr>
          <w:rFonts w:ascii="Palatino Linotype" w:hAnsi="Palatino Linotype" w:cs="Courier New"/>
          <w:color w:val="000000" w:themeColor="text1"/>
        </w:rPr>
        <w:t>timing of vaccine introduction</w:t>
      </w:r>
      <w:bookmarkEnd w:id="32"/>
    </w:p>
    <w:p w14:paraId="54D2D6E7" w14:textId="2B75DD0D" w:rsidR="008014B1" w:rsidRDefault="00A3321D" w:rsidP="008014B1">
      <w:pPr>
        <w:pStyle w:val="BodyText"/>
      </w:pPr>
      <w:r>
        <w:t>Cumulative death</w:t>
      </w:r>
      <w:r w:rsidR="00275FA1">
        <w:t>s</w:t>
      </w:r>
      <w:r>
        <w:t xml:space="preserve"> in both groups </w:t>
      </w:r>
      <w:r w:rsidR="00275FA1">
        <w:t>are</w:t>
      </w:r>
      <w:r>
        <w:t xml:space="preserve"> sensitive to the timing of vaccine introduction</w:t>
      </w:r>
      <w:r w:rsidR="00A610A9">
        <w:t xml:space="preserve"> (</w:t>
      </w:r>
      <m:oMath>
        <m:sSub>
          <m:sSubPr>
            <m:ctrlPr>
              <w:rPr>
                <w:rFonts w:ascii="Cambria Math" w:hAnsi="Cambria Math"/>
              </w:rPr>
            </m:ctrlPr>
          </m:sSubPr>
          <m:e>
            <m:r>
              <w:rPr>
                <w:rFonts w:ascii="Cambria Math" w:hAnsi="Cambria Math"/>
              </w:rPr>
              <m:t>t</m:t>
            </m:r>
          </m:e>
          <m:sub>
            <m:r>
              <w:rPr>
                <w:rFonts w:ascii="Cambria Math" w:hAnsi="Cambria Math"/>
              </w:rPr>
              <m:t>v</m:t>
            </m:r>
          </m:sub>
        </m:sSub>
        <m:r>
          <w:rPr>
            <w:rFonts w:ascii="Cambria Math" w:hAnsi="Cambria Math"/>
          </w:rPr>
          <m:t>)</m:t>
        </m:r>
      </m:oMath>
      <w:r>
        <w:t xml:space="preserve">. Supplementary Figure 13 </w:t>
      </w:r>
      <w:r w:rsidR="00133981">
        <w:t>shows cumulative deaths over time in each group depending on when the vaccine is introduced (</w:t>
      </w:r>
      <m:oMath>
        <m:sSub>
          <m:sSubPr>
            <m:ctrlPr>
              <w:rPr>
                <w:rFonts w:ascii="Cambria Math" w:hAnsi="Cambria Math"/>
              </w:rPr>
            </m:ctrlPr>
          </m:sSubPr>
          <m:e>
            <m:r>
              <w:rPr>
                <w:rFonts w:ascii="Cambria Math" w:hAnsi="Cambria Math"/>
              </w:rPr>
              <m:t>t</m:t>
            </m:r>
          </m:e>
          <m:sub>
            <m:r>
              <w:rPr>
                <w:rFonts w:ascii="Cambria Math" w:hAnsi="Cambria Math"/>
              </w:rPr>
              <m:t>v</m:t>
            </m:r>
          </m:sub>
        </m:sSub>
      </m:oMath>
      <w:r w:rsidR="007577C2">
        <w:rPr>
          <w:rFonts w:eastAsiaTheme="minorEastAsia"/>
        </w:rPr>
        <w:t xml:space="preserve"> </w:t>
      </w:r>
      <w:r w:rsidR="00133981">
        <w:t>=</w:t>
      </w:r>
      <w:r w:rsidR="007577C2">
        <w:t xml:space="preserve"> </w:t>
      </w:r>
      <w:r w:rsidR="00133981">
        <w:t xml:space="preserve">0, 50, 100, or 200). </w:t>
      </w:r>
      <w:r w:rsidR="008014B1">
        <w:t xml:space="preserve">Supplementary Figure 14 shows cumulative deaths, infections, and vaccinations in both groups across different levels of immune protection and awareness separation (following Figure 5), depending on when the vaccine is introduced. </w:t>
      </w:r>
    </w:p>
    <w:p w14:paraId="4BF44182" w14:textId="5A745D70" w:rsidR="00E374B6" w:rsidRDefault="00A86B03" w:rsidP="0003011D">
      <w:pPr>
        <w:pStyle w:val="BodyText"/>
      </w:pPr>
      <w:r>
        <w:t xml:space="preserve">Since cumulative deaths increase the most quickly at the beginning of the epidemic due to the lack of mortality-reducing immunity in the population, </w:t>
      </w:r>
      <w:r w:rsidR="00DA34F7">
        <w:t xml:space="preserve">early vaccination can decrease cumulative deaths in both groups and narrow the difference in </w:t>
      </w:r>
      <w:r w:rsidR="00020671">
        <w:t>cumulative deaths between the two group</w:t>
      </w:r>
      <w:r w:rsidR="007F386F">
        <w:t>s (Supplementary Figure 13, Supplementary Figure 14A-D)</w:t>
      </w:r>
      <w:r w:rsidR="00020671">
        <w:t>.</w:t>
      </w:r>
      <w:r w:rsidR="00C80101">
        <w:t xml:space="preserve"> </w:t>
      </w:r>
      <w:r w:rsidR="00E65D4C">
        <w:t xml:space="preserve">The potential for separated awareness to reduce the difference in deaths between both groups is </w:t>
      </w:r>
      <w:r w:rsidR="006147EE">
        <w:t>also greatest when vaccination begins earlier</w:t>
      </w:r>
      <w:r w:rsidR="000114B2">
        <w:t xml:space="preserve"> </w:t>
      </w:r>
      <w:r w:rsidR="00C56284">
        <w:t>because</w:t>
      </w:r>
      <w:r w:rsidR="000114B2">
        <w:t xml:space="preserve"> groups can respond to their differences in </w:t>
      </w:r>
      <w:r w:rsidR="00643879">
        <w:t>fatality probabilitie</w:t>
      </w:r>
      <w:r w:rsidR="00BC6355">
        <w:t>s more quickly</w:t>
      </w:r>
      <w:r w:rsidR="007F386F">
        <w:t xml:space="preserve"> (Supplementary Figure 13, Supplementary Figure 14A-D)</w:t>
      </w:r>
      <w:r w:rsidR="00BC6355">
        <w:t>.</w:t>
      </w:r>
      <w:r w:rsidR="00C56284">
        <w:t xml:space="preserve"> </w:t>
      </w:r>
      <w:r w:rsidR="00604856">
        <w:t xml:space="preserve">Early vaccine introduction may also </w:t>
      </w:r>
      <w:r w:rsidR="00604856" w:rsidRPr="00604856">
        <w:t>decrease cumulative infections if immune protection is low to intermediate</w:t>
      </w:r>
      <w:r w:rsidR="007F386F">
        <w:t xml:space="preserve"> (Supplementary Figure 14I-L). </w:t>
      </w:r>
    </w:p>
    <w:p w14:paraId="11D1A513" w14:textId="03D4C10D" w:rsidR="00020671" w:rsidRPr="00F20DC8" w:rsidRDefault="00834798">
      <w:pPr>
        <w:spacing w:after="160" w:line="259" w:lineRule="auto"/>
      </w:pPr>
      <w:r>
        <w:br w:type="page"/>
      </w:r>
    </w:p>
    <w:p w14:paraId="7DF02919" w14:textId="77777777" w:rsidR="00020671" w:rsidRPr="0003011D" w:rsidRDefault="00020671" w:rsidP="00F20DC8">
      <w:pPr>
        <w:pStyle w:val="BodyText"/>
      </w:pPr>
    </w:p>
    <w:p w14:paraId="504A240B" w14:textId="0C41260D" w:rsidR="004649FD" w:rsidRDefault="004B5C42" w:rsidP="00036B74">
      <w:pPr>
        <w:jc w:val="center"/>
      </w:pPr>
      <w:r w:rsidRPr="004B5C42">
        <w:rPr>
          <w:noProof/>
        </w:rPr>
        <w:drawing>
          <wp:inline distT="0" distB="0" distL="0" distR="0" wp14:anchorId="3E948861" wp14:editId="5655D0AA">
            <wp:extent cx="5927731" cy="2907030"/>
            <wp:effectExtent l="0" t="0" r="0" b="7620"/>
            <wp:docPr id="18" name="Picture 18" descr="Graphical user interface, 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chart, line chart, histogram&#10;&#10;Description automatically generated"/>
                    <pic:cNvPicPr/>
                  </pic:nvPicPr>
                  <pic:blipFill rotWithShape="1">
                    <a:blip r:embed="rId20"/>
                    <a:srcRect l="230" t="289" r="1"/>
                    <a:stretch/>
                  </pic:blipFill>
                  <pic:spPr bwMode="auto">
                    <a:xfrm>
                      <a:off x="0" y="0"/>
                      <a:ext cx="5929937" cy="2908112"/>
                    </a:xfrm>
                    <a:prstGeom prst="rect">
                      <a:avLst/>
                    </a:prstGeom>
                    <a:ln>
                      <a:noFill/>
                    </a:ln>
                    <a:extLst>
                      <a:ext uri="{53640926-AAD7-44D8-BBD7-CCE9431645EC}">
                        <a14:shadowObscured xmlns:a14="http://schemas.microsoft.com/office/drawing/2010/main"/>
                      </a:ext>
                    </a:extLst>
                  </pic:spPr>
                </pic:pic>
              </a:graphicData>
            </a:graphic>
          </wp:inline>
        </w:drawing>
      </w:r>
    </w:p>
    <w:p w14:paraId="6B2C1796" w14:textId="40435AE2" w:rsidR="004649FD" w:rsidRPr="00F20DC8" w:rsidRDefault="0067543B" w:rsidP="00F20DC8">
      <w:pPr>
        <w:rPr>
          <w:rStyle w:val="figureexplanationChar"/>
        </w:rPr>
      </w:pPr>
      <w:bookmarkStart w:id="33" w:name="_Toc121239049"/>
      <w:r>
        <w:rPr>
          <w:rStyle w:val="CaptionChar"/>
        </w:rPr>
        <w:t xml:space="preserve">Supplementary </w:t>
      </w:r>
      <w:r w:rsidR="000D062D" w:rsidRPr="000B66CE">
        <w:rPr>
          <w:rStyle w:val="CaptionChar"/>
        </w:rPr>
        <w:t>Figure 1</w:t>
      </w:r>
      <w:r w:rsidR="000D062D">
        <w:rPr>
          <w:rStyle w:val="CaptionChar"/>
        </w:rPr>
        <w:t>3</w:t>
      </w:r>
      <w:r w:rsidR="000D062D" w:rsidRPr="000B66CE">
        <w:rPr>
          <w:rStyle w:val="CaptionChar"/>
        </w:rPr>
        <w:t xml:space="preserve">. </w:t>
      </w:r>
      <w:r w:rsidR="0020774B">
        <w:rPr>
          <w:rStyle w:val="CaptionChar"/>
        </w:rPr>
        <w:t>B</w:t>
      </w:r>
      <w:r w:rsidR="00821B06">
        <w:rPr>
          <w:rStyle w:val="CaptionChar"/>
        </w:rPr>
        <w:t>etween-group differences in cumulative death</w:t>
      </w:r>
      <w:r w:rsidR="00821B06" w:rsidRPr="00B43F7D">
        <w:rPr>
          <w:rStyle w:val="CaptionChar"/>
        </w:rPr>
        <w:t>s</w:t>
      </w:r>
      <w:r w:rsidR="0020774B">
        <w:rPr>
          <w:rStyle w:val="CaptionChar"/>
        </w:rPr>
        <w:t xml:space="preserve"> </w:t>
      </w:r>
      <w:r w:rsidR="00F5124F">
        <w:rPr>
          <w:rStyle w:val="CaptionChar"/>
        </w:rPr>
        <w:t>increase most quickly at</w:t>
      </w:r>
      <w:r w:rsidR="0020774B">
        <w:rPr>
          <w:rStyle w:val="CaptionChar"/>
        </w:rPr>
        <w:t xml:space="preserve"> the beginning of the epidemic and may be reduced with earlier vaccine introduction</w:t>
      </w:r>
      <w:r w:rsidR="000D062D" w:rsidRPr="00B43F7D">
        <w:rPr>
          <w:rStyle w:val="CaptionChar"/>
        </w:rPr>
        <w:t>.</w:t>
      </w:r>
      <w:bookmarkEnd w:id="33"/>
      <w:r w:rsidR="000D062D" w:rsidRPr="00F20DC8">
        <w:rPr>
          <w:rStyle w:val="figureexplanationChar"/>
        </w:rPr>
        <w:t xml:space="preserve"> </w:t>
      </w:r>
      <w:r w:rsidR="00821B06" w:rsidRPr="00F20DC8">
        <w:rPr>
          <w:rStyle w:val="figureexplanationChar"/>
        </w:rPr>
        <w:t>Each plot shows cumulative deaths over time in group a (</w:t>
      </w:r>
      <w:r w:rsidR="00614794" w:rsidRPr="00F20DC8">
        <w:rPr>
          <w:rStyle w:val="figureexplanationChar"/>
        </w:rPr>
        <w:t xml:space="preserve">pink) and group b (green) given </w:t>
      </w:r>
      <w:r w:rsidR="00614794" w:rsidRPr="00B43F7D">
        <w:rPr>
          <w:rStyle w:val="figureexplanationChar"/>
        </w:rPr>
        <w:t xml:space="preserve">consider uniform awareness (dashed lines; </w:t>
      </w:r>
      <m:oMath>
        <m:r>
          <w:rPr>
            <w:rStyle w:val="figureexplanationChar"/>
            <w:rFonts w:ascii="Cambria Math" w:hAnsi="Cambria Math"/>
          </w:rPr>
          <m:t>ϵ=0.5</m:t>
        </m:r>
      </m:oMath>
      <w:r w:rsidR="00614794" w:rsidRPr="00B43F7D">
        <w:rPr>
          <w:rStyle w:val="figureexplanationChar"/>
        </w:rPr>
        <w:t xml:space="preserve">); and separated awareness (solid lines; </w:t>
      </w:r>
      <m:oMath>
        <m:r>
          <w:rPr>
            <w:rStyle w:val="figureexplanationChar"/>
            <w:rFonts w:ascii="Cambria Math" w:hAnsi="Cambria Math"/>
          </w:rPr>
          <m:t>ϵ=0.</m:t>
        </m:r>
        <m:r>
          <m:rPr>
            <m:sty m:val="p"/>
          </m:rPr>
          <w:rPr>
            <w:rStyle w:val="figureexplanationChar"/>
            <w:rFonts w:ascii="Cambria Math" w:hAnsi="Cambria Math"/>
          </w:rPr>
          <m:t>99</m:t>
        </m:r>
      </m:oMath>
      <w:r w:rsidR="00614794" w:rsidRPr="00B43F7D">
        <w:rPr>
          <w:rStyle w:val="figureexplanationChar"/>
        </w:rPr>
        <w:t xml:space="preserve">). </w:t>
      </w:r>
      <w:r w:rsidR="00776451" w:rsidRPr="00B43F7D">
        <w:rPr>
          <w:rStyle w:val="figureexplanationChar"/>
        </w:rPr>
        <w:t>The panels are ordered from left to right by later vaccine introduction time (</w:t>
      </w:r>
      <w:r w:rsidR="00C55078" w:rsidRPr="00B43F7D">
        <w:rPr>
          <w:rStyle w:val="figureexplanationChar"/>
        </w:rPr>
        <w:t xml:space="preserve">vaccination at </w:t>
      </w:r>
      <m:oMath>
        <m:sSub>
          <m:sSubPr>
            <m:ctrlPr>
              <w:rPr>
                <w:rFonts w:ascii="Cambria Math" w:hAnsi="Cambria Math" w:cs="Courier New"/>
              </w:rPr>
            </m:ctrlPr>
          </m:sSubPr>
          <m:e>
            <m:r>
              <w:rPr>
                <w:rFonts w:ascii="Cambria Math" w:hAnsi="Cambria Math" w:cs="Courier New"/>
              </w:rPr>
              <m:t>t</m:t>
            </m:r>
          </m:e>
          <m:sub>
            <m:r>
              <w:rPr>
                <w:rFonts w:ascii="Cambria Math" w:hAnsi="Cambria Math" w:cs="Courier New"/>
              </w:rPr>
              <m:t>v</m:t>
            </m:r>
          </m:sub>
        </m:sSub>
      </m:oMath>
      <w:r w:rsidR="00C55078" w:rsidRPr="00B43F7D">
        <w:rPr>
          <w:rStyle w:val="figureexplanationChar"/>
        </w:rPr>
        <w:t xml:space="preserve"> = 0, 50, 100, or 200</w:t>
      </w:r>
      <w:r w:rsidR="00776451" w:rsidRPr="00B43F7D">
        <w:rPr>
          <w:rStyle w:val="figureexplanationChar"/>
        </w:rPr>
        <w:t>)</w:t>
      </w:r>
      <w:r w:rsidR="00C55078" w:rsidRPr="00B43F7D">
        <w:rPr>
          <w:rStyle w:val="figureexplanationChar"/>
        </w:rPr>
        <w:t xml:space="preserve"> and the dashed vertical line indicates time of vaccine introduction. </w:t>
      </w:r>
      <w:r w:rsidR="004C0ECA" w:rsidRPr="00B43F7D">
        <w:rPr>
          <w:rStyle w:val="figureexplanationChar"/>
        </w:rPr>
        <w:t>All other parameter values are the same as in Figure 4</w:t>
      </w:r>
      <w:r w:rsidR="0041401F" w:rsidRPr="00B43F7D">
        <w:rPr>
          <w:rStyle w:val="figureexplanationChar"/>
        </w:rPr>
        <w:t>, including separated mixing (</w:t>
      </w:r>
      <m:oMath>
        <m:r>
          <w:rPr>
            <w:rStyle w:val="figureexplanationChar"/>
            <w:rFonts w:ascii="Cambria Math" w:hAnsi="Cambria Math"/>
          </w:rPr>
          <m:t>h=0.</m:t>
        </m:r>
        <m:r>
          <m:rPr>
            <m:sty m:val="p"/>
          </m:rPr>
          <w:rPr>
            <w:rStyle w:val="figureexplanationChar"/>
            <w:rFonts w:ascii="Cambria Math" w:hAnsi="Cambria Math"/>
          </w:rPr>
          <m:t>99</m:t>
        </m:r>
      </m:oMath>
      <w:r w:rsidR="0041401F" w:rsidRPr="00B43F7D">
        <w:rPr>
          <w:rStyle w:val="figureexplanationChar"/>
        </w:rPr>
        <w:t>)</w:t>
      </w:r>
      <w:r w:rsidR="004C0ECA" w:rsidRPr="00B43F7D">
        <w:rPr>
          <w:rStyle w:val="figureexplanationChar"/>
        </w:rPr>
        <w:t>.</w:t>
      </w:r>
    </w:p>
    <w:p w14:paraId="1FD4E3CF" w14:textId="77777777" w:rsidR="004649FD" w:rsidRDefault="004649FD" w:rsidP="00F563CC">
      <w:pPr>
        <w:jc w:val="center"/>
      </w:pPr>
    </w:p>
    <w:p w14:paraId="1119B1BC" w14:textId="77777777" w:rsidR="004649FD" w:rsidRDefault="004649FD" w:rsidP="00F563CC">
      <w:pPr>
        <w:jc w:val="center"/>
      </w:pPr>
    </w:p>
    <w:p w14:paraId="5122A243" w14:textId="77777777" w:rsidR="004649FD" w:rsidRDefault="004649FD" w:rsidP="00F563CC">
      <w:pPr>
        <w:jc w:val="center"/>
      </w:pPr>
    </w:p>
    <w:p w14:paraId="434C5BF6" w14:textId="77777777" w:rsidR="004649FD" w:rsidRDefault="004649FD" w:rsidP="00F20DC8"/>
    <w:p w14:paraId="4BD71BA0" w14:textId="77777777" w:rsidR="004649FD" w:rsidRDefault="004649FD" w:rsidP="00F20DC8"/>
    <w:p w14:paraId="1B8F41E0" w14:textId="633E314A" w:rsidR="004649FD" w:rsidRDefault="009712D0" w:rsidP="00F563CC">
      <w:pPr>
        <w:jc w:val="center"/>
      </w:pPr>
      <w:r>
        <w:rPr>
          <w:noProof/>
        </w:rPr>
        <w:lastRenderedPageBreak/>
        <w:drawing>
          <wp:inline distT="0" distB="0" distL="0" distR="0" wp14:anchorId="63F5D480" wp14:editId="01BF4772">
            <wp:extent cx="5487166" cy="6401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5487166" cy="6401693"/>
                    </a:xfrm>
                    <a:prstGeom prst="rect">
                      <a:avLst/>
                    </a:prstGeom>
                  </pic:spPr>
                </pic:pic>
              </a:graphicData>
            </a:graphic>
          </wp:inline>
        </w:drawing>
      </w:r>
    </w:p>
    <w:p w14:paraId="68439A17" w14:textId="4CE35437" w:rsidR="00684D12" w:rsidRDefault="0067543B" w:rsidP="00F20DC8">
      <w:pPr>
        <w:spacing w:after="160" w:line="259" w:lineRule="auto"/>
        <w:rPr>
          <w:rStyle w:val="figureexplanationChar"/>
        </w:rPr>
      </w:pPr>
      <w:bookmarkStart w:id="34" w:name="_Toc121239050"/>
      <w:r w:rsidRPr="00506259">
        <w:rPr>
          <w:rStyle w:val="CaptionChar"/>
        </w:rPr>
        <w:t xml:space="preserve">Supplementary </w:t>
      </w:r>
      <w:r w:rsidR="00684D12" w:rsidRPr="00F20DC8">
        <w:rPr>
          <w:rStyle w:val="CaptionChar"/>
        </w:rPr>
        <w:t xml:space="preserve">Figure 14. </w:t>
      </w:r>
      <w:r w:rsidR="00C37CFD" w:rsidRPr="00506259">
        <w:rPr>
          <w:rStyle w:val="CaptionChar"/>
        </w:rPr>
        <w:t xml:space="preserve">Earlier vaccine introduction </w:t>
      </w:r>
      <w:r w:rsidR="003054FD" w:rsidRPr="00506259">
        <w:rPr>
          <w:rStyle w:val="CaptionChar"/>
        </w:rPr>
        <w:t>decreases cumulative deaths in both groups</w:t>
      </w:r>
      <w:r w:rsidR="000225D1" w:rsidRPr="00506259">
        <w:rPr>
          <w:rStyle w:val="CaptionChar"/>
        </w:rPr>
        <w:t xml:space="preserve">, has minimal impact on cumulative vaccinations, and </w:t>
      </w:r>
      <w:bookmarkStart w:id="35" w:name="_Hlk120716148"/>
      <w:r w:rsidR="001321B3" w:rsidRPr="00506259">
        <w:rPr>
          <w:rStyle w:val="CaptionChar"/>
        </w:rPr>
        <w:t>may decrease cumulative infections if immune protection is low to intermediate</w:t>
      </w:r>
      <w:bookmarkEnd w:id="35"/>
      <w:r w:rsidR="00684D12" w:rsidRPr="00F20DC8">
        <w:rPr>
          <w:rStyle w:val="CaptionChar"/>
        </w:rPr>
        <w:t>.</w:t>
      </w:r>
      <w:bookmarkEnd w:id="34"/>
      <w:r w:rsidR="00684D12" w:rsidRPr="00F20DC8">
        <w:rPr>
          <w:rStyle w:val="CaptionChar"/>
        </w:rPr>
        <w:t xml:space="preserve"> </w:t>
      </w:r>
      <w:r w:rsidR="00200E84" w:rsidRPr="0052361C">
        <w:rPr>
          <w:rStyle w:val="figureexplanationChar"/>
        </w:rPr>
        <w:t>We vary immune protection, defined as transmission-reducing immunity and mortality-reducing immunity, assigning where both parameters the are assigned the same values (κ=ζ)</w:t>
      </w:r>
      <w:r w:rsidR="00200E84">
        <w:rPr>
          <w:rStyle w:val="figureexplanationChar"/>
        </w:rPr>
        <w:t xml:space="preserve">. </w:t>
      </w:r>
      <w:r w:rsidR="00684D12" w:rsidRPr="00F20DC8">
        <w:rPr>
          <w:rStyle w:val="figureexplanationChar"/>
        </w:rPr>
        <w:t xml:space="preserve">We assume immune protection is equivalent for vaccine- and infection-derived immunity. The x-axis is reversed because smaller values indicate stronger protection. We examine the impacts of stronger immune </w:t>
      </w:r>
      <w:r w:rsidR="00684D12" w:rsidRPr="00F20DC8">
        <w:rPr>
          <w:rStyle w:val="figureexplanationChar"/>
        </w:rPr>
        <w:lastRenderedPageBreak/>
        <w:t xml:space="preserve">protection (lower values of </w:t>
      </w:r>
      <m:oMath>
        <m:r>
          <w:rPr>
            <w:rStyle w:val="figureexplanationChar"/>
            <w:rFonts w:ascii="Cambria Math" w:hAnsi="Cambria Math"/>
          </w:rPr>
          <m:t>κ</m:t>
        </m:r>
      </m:oMath>
      <w:r w:rsidR="00684D12" w:rsidRPr="00F20DC8">
        <w:rPr>
          <w:rStyle w:val="figureexplanationChar"/>
        </w:rPr>
        <w:t xml:space="preserve"> and </w:t>
      </w:r>
      <m:oMath>
        <m:r>
          <w:rPr>
            <w:rStyle w:val="figureexplanationChar"/>
            <w:rFonts w:ascii="Cambria Math" w:hAnsi="Cambria Math"/>
          </w:rPr>
          <m:t>ζ</m:t>
        </m:r>
      </m:oMath>
      <w:r w:rsidR="00684D12" w:rsidRPr="00F20DC8">
        <w:rPr>
          <w:rStyle w:val="figureexplanationChar"/>
        </w:rPr>
        <w:t xml:space="preserve">) on </w:t>
      </w:r>
      <w:r w:rsidR="00E374B6">
        <w:rPr>
          <w:rStyle w:val="figureexplanationChar"/>
        </w:rPr>
        <w:t>cumulative</w:t>
      </w:r>
      <w:r w:rsidR="00684D12" w:rsidRPr="00F20DC8">
        <w:rPr>
          <w:rStyle w:val="figureexplanationChar"/>
        </w:rPr>
        <w:t xml:space="preserve"> deaths (A</w:t>
      </w:r>
      <w:r w:rsidR="00F33CED" w:rsidRPr="00F20DC8">
        <w:rPr>
          <w:rStyle w:val="figureexplanationChar"/>
        </w:rPr>
        <w:t>-D</w:t>
      </w:r>
      <w:r w:rsidR="00684D12" w:rsidRPr="00F20DC8">
        <w:rPr>
          <w:rStyle w:val="figureexplanationChar"/>
        </w:rPr>
        <w:t>), vaccinations (</w:t>
      </w:r>
      <w:r w:rsidR="00F33CED" w:rsidRPr="00F20DC8">
        <w:rPr>
          <w:rStyle w:val="figureexplanationChar"/>
        </w:rPr>
        <w:t>E-H</w:t>
      </w:r>
      <w:r w:rsidR="00684D12" w:rsidRPr="00F20DC8">
        <w:rPr>
          <w:rStyle w:val="figureexplanationChar"/>
        </w:rPr>
        <w:t>), and infections (</w:t>
      </w:r>
      <w:r w:rsidR="00F33CED" w:rsidRPr="00F20DC8">
        <w:rPr>
          <w:rStyle w:val="figureexplanationChar"/>
        </w:rPr>
        <w:t>I-L</w:t>
      </w:r>
      <w:r w:rsidR="00684D12" w:rsidRPr="00F20DC8">
        <w:rPr>
          <w:rStyle w:val="figureexplanationChar"/>
        </w:rPr>
        <w:t xml:space="preserve">) </w:t>
      </w:r>
      <w:r w:rsidR="00BA5E9A">
        <w:rPr>
          <w:rStyle w:val="figureexplanationChar"/>
        </w:rPr>
        <w:t>across the entire epidemic (from t=0 to t=2200</w:t>
      </w:r>
      <w:r w:rsidR="00684D12" w:rsidRPr="00F20DC8">
        <w:rPr>
          <w:rStyle w:val="figureexplanationChar"/>
        </w:rPr>
        <w:t xml:space="preserve">), depending on awareness separation. </w:t>
      </w:r>
      <w:r w:rsidR="00754440">
        <w:rPr>
          <w:rStyle w:val="figureexplanationChar"/>
        </w:rPr>
        <w:t xml:space="preserve">The timing of vaccination introduction varies across columns and is set to: </w:t>
      </w:r>
      <m:oMath>
        <m:sSub>
          <m:sSubPr>
            <m:ctrlPr>
              <w:rPr>
                <w:rFonts w:ascii="Cambria Math" w:hAnsi="Cambria Math" w:cs="Courier New"/>
              </w:rPr>
            </m:ctrlPr>
          </m:sSubPr>
          <m:e>
            <m:r>
              <w:rPr>
                <w:rFonts w:ascii="Cambria Math" w:hAnsi="Cambria Math" w:cs="Courier New"/>
              </w:rPr>
              <m:t>t</m:t>
            </m:r>
          </m:e>
          <m:sub>
            <m:r>
              <w:rPr>
                <w:rFonts w:ascii="Cambria Math" w:hAnsi="Cambria Math" w:cs="Courier New"/>
              </w:rPr>
              <m:t>v</m:t>
            </m:r>
          </m:sub>
        </m:sSub>
      </m:oMath>
      <w:r w:rsidR="00754440">
        <w:rPr>
          <w:rStyle w:val="figureexplanationChar"/>
        </w:rPr>
        <w:t xml:space="preserve"> = 0 (A, E, I); </w:t>
      </w:r>
      <m:oMath>
        <m:sSub>
          <m:sSubPr>
            <m:ctrlPr>
              <w:rPr>
                <w:rFonts w:ascii="Cambria Math" w:hAnsi="Cambria Math" w:cs="Courier New"/>
              </w:rPr>
            </m:ctrlPr>
          </m:sSubPr>
          <m:e>
            <m:r>
              <w:rPr>
                <w:rFonts w:ascii="Cambria Math" w:hAnsi="Cambria Math" w:cs="Courier New"/>
              </w:rPr>
              <m:t>t</m:t>
            </m:r>
          </m:e>
          <m:sub>
            <m:r>
              <w:rPr>
                <w:rFonts w:ascii="Cambria Math" w:hAnsi="Cambria Math" w:cs="Courier New"/>
              </w:rPr>
              <m:t>v</m:t>
            </m:r>
          </m:sub>
        </m:sSub>
      </m:oMath>
      <w:r w:rsidR="00754440">
        <w:rPr>
          <w:rStyle w:val="figureexplanationChar"/>
        </w:rPr>
        <w:t xml:space="preserve"> = 50 (B, F, J); </w:t>
      </w:r>
      <m:oMath>
        <m:sSub>
          <m:sSubPr>
            <m:ctrlPr>
              <w:rPr>
                <w:rFonts w:ascii="Cambria Math" w:hAnsi="Cambria Math" w:cs="Courier New"/>
              </w:rPr>
            </m:ctrlPr>
          </m:sSubPr>
          <m:e>
            <m:r>
              <w:rPr>
                <w:rFonts w:ascii="Cambria Math" w:hAnsi="Cambria Math" w:cs="Courier New"/>
              </w:rPr>
              <m:t>t</m:t>
            </m:r>
          </m:e>
          <m:sub>
            <m:r>
              <w:rPr>
                <w:rFonts w:ascii="Cambria Math" w:hAnsi="Cambria Math" w:cs="Courier New"/>
              </w:rPr>
              <m:t>v</m:t>
            </m:r>
          </m:sub>
        </m:sSub>
      </m:oMath>
      <w:r w:rsidR="00754440">
        <w:rPr>
          <w:rStyle w:val="figureexplanationChar"/>
        </w:rPr>
        <w:t xml:space="preserve"> = 100 (C, G, K); and </w:t>
      </w:r>
      <m:oMath>
        <m:sSub>
          <m:sSubPr>
            <m:ctrlPr>
              <w:rPr>
                <w:rFonts w:ascii="Cambria Math" w:hAnsi="Cambria Math" w:cs="Courier New"/>
              </w:rPr>
            </m:ctrlPr>
          </m:sSubPr>
          <m:e>
            <m:r>
              <w:rPr>
                <w:rFonts w:ascii="Cambria Math" w:hAnsi="Cambria Math" w:cs="Courier New"/>
              </w:rPr>
              <m:t>t</m:t>
            </m:r>
          </m:e>
          <m:sub>
            <m:r>
              <w:rPr>
                <w:rFonts w:ascii="Cambria Math" w:hAnsi="Cambria Math" w:cs="Courier New"/>
              </w:rPr>
              <m:t>v</m:t>
            </m:r>
          </m:sub>
        </m:sSub>
      </m:oMath>
      <w:r w:rsidR="00754440">
        <w:rPr>
          <w:rStyle w:val="figureexplanationChar"/>
        </w:rPr>
        <w:t xml:space="preserve"> = 200 (D, H, L). </w:t>
      </w:r>
      <w:r w:rsidR="00684D12" w:rsidRPr="00F20DC8">
        <w:rPr>
          <w:rStyle w:val="figureexplanationChar"/>
        </w:rPr>
        <w:t xml:space="preserve">We compute each quantity for group </w:t>
      </w:r>
      <w:r w:rsidR="00684D12" w:rsidRPr="00F20DC8">
        <w:rPr>
          <w:rStyle w:val="figureexplanationChar"/>
          <w:iCs w:val="0"/>
        </w:rPr>
        <w:t>a</w:t>
      </w:r>
      <w:r w:rsidR="00684D12" w:rsidRPr="00F20DC8">
        <w:rPr>
          <w:rStyle w:val="figureexplanationChar"/>
        </w:rPr>
        <w:t xml:space="preserve"> (pink) and group </w:t>
      </w:r>
      <w:r w:rsidR="00684D12" w:rsidRPr="00F20DC8">
        <w:rPr>
          <w:rStyle w:val="figureexplanationChar"/>
          <w:iCs w:val="0"/>
        </w:rPr>
        <w:t>b</w:t>
      </w:r>
      <w:r w:rsidR="00684D12" w:rsidRPr="00F20DC8">
        <w:rPr>
          <w:rStyle w:val="figureexplanationChar"/>
        </w:rPr>
        <w:t xml:space="preserve"> (green) given uniform (dashed lines; </w:t>
      </w:r>
      <m:oMath>
        <m:r>
          <w:rPr>
            <w:rStyle w:val="figureexplanationChar"/>
            <w:rFonts w:ascii="Cambria Math" w:hAnsi="Cambria Math"/>
          </w:rPr>
          <m:t>ϵ=0.5</m:t>
        </m:r>
      </m:oMath>
      <w:r w:rsidR="00684D12" w:rsidRPr="00F20DC8">
        <w:rPr>
          <w:rStyle w:val="figureexplanationChar"/>
        </w:rPr>
        <w:t xml:space="preserve">) or separated (solid lines; </w:t>
      </w:r>
      <m:oMath>
        <m:r>
          <w:rPr>
            <w:rStyle w:val="figureexplanationChar"/>
            <w:rFonts w:ascii="Cambria Math" w:hAnsi="Cambria Math"/>
          </w:rPr>
          <m:t>ϵ=0.99</m:t>
        </m:r>
      </m:oMath>
      <w:r w:rsidR="00684D12" w:rsidRPr="00F20DC8">
        <w:rPr>
          <w:rStyle w:val="figureexplanationChar"/>
        </w:rPr>
        <w:t xml:space="preserve">) awareness. Other parameter values are the same as Figure </w:t>
      </w:r>
      <w:r w:rsidR="00CD31B9">
        <w:rPr>
          <w:rStyle w:val="figureexplanationChar"/>
        </w:rPr>
        <w:t>4</w:t>
      </w:r>
      <w:r w:rsidR="00684D12" w:rsidRPr="00F20DC8">
        <w:rPr>
          <w:rStyle w:val="figureexplanationChar"/>
        </w:rPr>
        <w:t>.</w:t>
      </w:r>
      <w:r w:rsidR="0052361C">
        <w:rPr>
          <w:rStyle w:val="figureexplanationChar"/>
        </w:rPr>
        <w:t xml:space="preserve"> </w:t>
      </w:r>
    </w:p>
    <w:p w14:paraId="50D5B790" w14:textId="77777777" w:rsidR="0052361C" w:rsidRPr="00F20DC8" w:rsidRDefault="0052361C" w:rsidP="00F20DC8">
      <w:pPr>
        <w:rPr>
          <w:rStyle w:val="figureexplanationChar"/>
        </w:rPr>
      </w:pPr>
    </w:p>
    <w:p w14:paraId="6B82D966" w14:textId="77777777" w:rsidR="004649FD" w:rsidRDefault="004649FD" w:rsidP="00F563CC">
      <w:pPr>
        <w:jc w:val="center"/>
      </w:pPr>
    </w:p>
    <w:p w14:paraId="675B488C" w14:textId="77777777" w:rsidR="004649FD" w:rsidRDefault="004649FD" w:rsidP="00F563CC">
      <w:pPr>
        <w:jc w:val="center"/>
      </w:pPr>
    </w:p>
    <w:p w14:paraId="0B859D15" w14:textId="77777777" w:rsidR="004649FD" w:rsidRDefault="004649FD" w:rsidP="00F563CC">
      <w:pPr>
        <w:jc w:val="center"/>
      </w:pPr>
    </w:p>
    <w:p w14:paraId="44DDA40E" w14:textId="77777777" w:rsidR="004649FD" w:rsidRDefault="004649FD" w:rsidP="00F563CC">
      <w:pPr>
        <w:jc w:val="center"/>
      </w:pPr>
    </w:p>
    <w:p w14:paraId="4E5F0C34" w14:textId="77777777" w:rsidR="004649FD" w:rsidRDefault="004649FD" w:rsidP="00F563CC">
      <w:pPr>
        <w:jc w:val="center"/>
      </w:pPr>
    </w:p>
    <w:p w14:paraId="4650DD70" w14:textId="77777777" w:rsidR="004649FD" w:rsidRDefault="004649FD" w:rsidP="00F563CC">
      <w:pPr>
        <w:jc w:val="center"/>
      </w:pPr>
    </w:p>
    <w:p w14:paraId="393E0BBD" w14:textId="77777777" w:rsidR="002F5B32" w:rsidRDefault="002F5B32" w:rsidP="00F563CC">
      <w:pPr>
        <w:jc w:val="center"/>
      </w:pPr>
    </w:p>
    <w:p w14:paraId="733CB2A6" w14:textId="77777777" w:rsidR="002F5B32" w:rsidRPr="00846B64" w:rsidRDefault="002F5B32" w:rsidP="00F20DC8">
      <w:pPr>
        <w:jc w:val="center"/>
      </w:pPr>
    </w:p>
    <w:sectPr w:rsidR="002F5B32" w:rsidRPr="00846B64" w:rsidSect="00F20DC8">
      <w:headerReference w:type="default" r:id="rId22"/>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74B0B" w14:textId="77777777" w:rsidR="00666AF3" w:rsidRDefault="00666AF3" w:rsidP="008C5FBA">
      <w:pPr>
        <w:spacing w:after="0"/>
      </w:pPr>
      <w:r>
        <w:separator/>
      </w:r>
    </w:p>
  </w:endnote>
  <w:endnote w:type="continuationSeparator" w:id="0">
    <w:p w14:paraId="0D59076C" w14:textId="77777777" w:rsidR="00666AF3" w:rsidRDefault="00666AF3" w:rsidP="008C5F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56E4" w14:textId="77777777" w:rsidR="00666AF3" w:rsidRDefault="00666AF3" w:rsidP="008C5FBA">
      <w:pPr>
        <w:spacing w:after="0"/>
      </w:pPr>
      <w:r>
        <w:separator/>
      </w:r>
    </w:p>
  </w:footnote>
  <w:footnote w:type="continuationSeparator" w:id="0">
    <w:p w14:paraId="2847F9C3" w14:textId="77777777" w:rsidR="00666AF3" w:rsidRDefault="00666AF3" w:rsidP="008C5F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330728849"/>
      <w:docPartObj>
        <w:docPartGallery w:val="Page Numbers (Top of Page)"/>
        <w:docPartUnique/>
      </w:docPartObj>
    </w:sdtPr>
    <w:sdtEndPr>
      <w:rPr>
        <w:noProof/>
      </w:rPr>
    </w:sdtEndPr>
    <w:sdtContent>
      <w:p w14:paraId="0E411DCF" w14:textId="5EB611F3" w:rsidR="008C5FBA" w:rsidRPr="00F20DC8" w:rsidRDefault="008C5FBA" w:rsidP="00F20DC8">
        <w:pPr>
          <w:pStyle w:val="Header"/>
          <w:jc w:val="right"/>
          <w:rPr>
            <w:rFonts w:ascii="Palatino Linotype" w:hAnsi="Palatino Linotype"/>
          </w:rPr>
        </w:pPr>
        <w:r w:rsidRPr="00F20DC8">
          <w:rPr>
            <w:rFonts w:ascii="Palatino Linotype" w:hAnsi="Palatino Linotype"/>
          </w:rPr>
          <w:fldChar w:fldCharType="begin"/>
        </w:r>
        <w:r w:rsidRPr="00F20DC8">
          <w:rPr>
            <w:rFonts w:ascii="Palatino Linotype" w:hAnsi="Palatino Linotype"/>
          </w:rPr>
          <w:instrText xml:space="preserve"> PAGE   \* MERGEFORMAT </w:instrText>
        </w:r>
        <w:r w:rsidRPr="00F20DC8">
          <w:rPr>
            <w:rFonts w:ascii="Palatino Linotype" w:hAnsi="Palatino Linotype"/>
          </w:rPr>
          <w:fldChar w:fldCharType="separate"/>
        </w:r>
        <w:r w:rsidRPr="00F20DC8">
          <w:rPr>
            <w:rFonts w:ascii="Palatino Linotype" w:hAnsi="Palatino Linotype"/>
            <w:noProof/>
          </w:rPr>
          <w:t>2</w:t>
        </w:r>
        <w:r w:rsidRPr="00F20DC8">
          <w:rPr>
            <w:rFonts w:ascii="Palatino Linotype" w:hAnsi="Palatino Linotype"/>
            <w:noProof/>
          </w:rPr>
          <w:fldChar w:fldCharType="end"/>
        </w:r>
      </w:p>
    </w:sdtContent>
  </w:sdt>
  <w:p w14:paraId="26A91BBB" w14:textId="77777777" w:rsidR="008C5FBA" w:rsidRPr="00F20DC8" w:rsidRDefault="008C5FBA" w:rsidP="00F20DC8">
    <w:pPr>
      <w:pStyle w:val="Header"/>
      <w:jc w:val="right"/>
      <w:rPr>
        <w:rFonts w:ascii="Palatino Linotype" w:hAnsi="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FCCA48"/>
    <w:lvl w:ilvl="0">
      <w:start w:val="1"/>
      <w:numFmt w:val="bullet"/>
      <w:pStyle w:val="ListBullet"/>
      <w:lvlText w:val=""/>
      <w:lvlJc w:val="left"/>
      <w:pPr>
        <w:tabs>
          <w:tab w:val="num" w:pos="360"/>
        </w:tabs>
        <w:ind w:left="360" w:hanging="360"/>
      </w:pPr>
      <w:rPr>
        <w:rFonts w:ascii="Symbol" w:hAnsi="Symbol" w:hint="default"/>
      </w:rPr>
    </w:lvl>
  </w:abstractNum>
  <w:num w:numId="1" w16cid:durableId="633222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oNotDisplayPageBoundarie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B64"/>
    <w:rsid w:val="00001B1E"/>
    <w:rsid w:val="000114B2"/>
    <w:rsid w:val="000121DD"/>
    <w:rsid w:val="00020671"/>
    <w:rsid w:val="000225D1"/>
    <w:rsid w:val="00025F17"/>
    <w:rsid w:val="0003011D"/>
    <w:rsid w:val="000306A4"/>
    <w:rsid w:val="00030E87"/>
    <w:rsid w:val="000318AC"/>
    <w:rsid w:val="00036B74"/>
    <w:rsid w:val="0004413C"/>
    <w:rsid w:val="00050060"/>
    <w:rsid w:val="000507B1"/>
    <w:rsid w:val="00051CC5"/>
    <w:rsid w:val="0006554D"/>
    <w:rsid w:val="000655A5"/>
    <w:rsid w:val="00073876"/>
    <w:rsid w:val="00075420"/>
    <w:rsid w:val="000775DD"/>
    <w:rsid w:val="0008073A"/>
    <w:rsid w:val="00080779"/>
    <w:rsid w:val="00087F02"/>
    <w:rsid w:val="00091C6E"/>
    <w:rsid w:val="00093956"/>
    <w:rsid w:val="00096B9C"/>
    <w:rsid w:val="00096EA0"/>
    <w:rsid w:val="000D062D"/>
    <w:rsid w:val="000D0C77"/>
    <w:rsid w:val="000D6A67"/>
    <w:rsid w:val="000E04DC"/>
    <w:rsid w:val="000E31E6"/>
    <w:rsid w:val="000E6D41"/>
    <w:rsid w:val="000F2279"/>
    <w:rsid w:val="001009AA"/>
    <w:rsid w:val="00105F48"/>
    <w:rsid w:val="00115579"/>
    <w:rsid w:val="001311C3"/>
    <w:rsid w:val="001321B3"/>
    <w:rsid w:val="00133981"/>
    <w:rsid w:val="00137B0F"/>
    <w:rsid w:val="001418D6"/>
    <w:rsid w:val="00141DD5"/>
    <w:rsid w:val="00145A35"/>
    <w:rsid w:val="001529EE"/>
    <w:rsid w:val="00163564"/>
    <w:rsid w:val="00166934"/>
    <w:rsid w:val="00170C01"/>
    <w:rsid w:val="00171E29"/>
    <w:rsid w:val="00174123"/>
    <w:rsid w:val="001868FF"/>
    <w:rsid w:val="0019144E"/>
    <w:rsid w:val="00193062"/>
    <w:rsid w:val="00193725"/>
    <w:rsid w:val="001A1D1C"/>
    <w:rsid w:val="001A6135"/>
    <w:rsid w:val="001B0309"/>
    <w:rsid w:val="001B5A1F"/>
    <w:rsid w:val="001B6AE9"/>
    <w:rsid w:val="001B76A3"/>
    <w:rsid w:val="001C3220"/>
    <w:rsid w:val="001C45C3"/>
    <w:rsid w:val="001C61F7"/>
    <w:rsid w:val="001C7A24"/>
    <w:rsid w:val="001E33D3"/>
    <w:rsid w:val="001E3EE1"/>
    <w:rsid w:val="001E72C0"/>
    <w:rsid w:val="001F195D"/>
    <w:rsid w:val="001F1B38"/>
    <w:rsid w:val="00200E84"/>
    <w:rsid w:val="0020608D"/>
    <w:rsid w:val="0020774B"/>
    <w:rsid w:val="002101E9"/>
    <w:rsid w:val="002417AA"/>
    <w:rsid w:val="0024367E"/>
    <w:rsid w:val="00245FE3"/>
    <w:rsid w:val="002713BB"/>
    <w:rsid w:val="00271E08"/>
    <w:rsid w:val="00274ADE"/>
    <w:rsid w:val="00275F32"/>
    <w:rsid w:val="00275FA1"/>
    <w:rsid w:val="00294E65"/>
    <w:rsid w:val="00295A11"/>
    <w:rsid w:val="002A03FC"/>
    <w:rsid w:val="002B7C62"/>
    <w:rsid w:val="002C052D"/>
    <w:rsid w:val="002D0C44"/>
    <w:rsid w:val="002E4E70"/>
    <w:rsid w:val="002E4F4A"/>
    <w:rsid w:val="002F534D"/>
    <w:rsid w:val="002F5B32"/>
    <w:rsid w:val="00303F5F"/>
    <w:rsid w:val="003054FD"/>
    <w:rsid w:val="00307DEA"/>
    <w:rsid w:val="00312FDD"/>
    <w:rsid w:val="003155D5"/>
    <w:rsid w:val="00320EDA"/>
    <w:rsid w:val="00325AC3"/>
    <w:rsid w:val="0033055C"/>
    <w:rsid w:val="00350A44"/>
    <w:rsid w:val="00352CCD"/>
    <w:rsid w:val="003549A5"/>
    <w:rsid w:val="00362A55"/>
    <w:rsid w:val="0036418D"/>
    <w:rsid w:val="00366593"/>
    <w:rsid w:val="00383382"/>
    <w:rsid w:val="003939E2"/>
    <w:rsid w:val="00394653"/>
    <w:rsid w:val="003A12D3"/>
    <w:rsid w:val="003B307E"/>
    <w:rsid w:val="003C25A6"/>
    <w:rsid w:val="003D448B"/>
    <w:rsid w:val="003E054A"/>
    <w:rsid w:val="003F07F1"/>
    <w:rsid w:val="003F4A15"/>
    <w:rsid w:val="00413231"/>
    <w:rsid w:val="0041401F"/>
    <w:rsid w:val="004169B1"/>
    <w:rsid w:val="004205BA"/>
    <w:rsid w:val="00442ED5"/>
    <w:rsid w:val="0044300E"/>
    <w:rsid w:val="004457E7"/>
    <w:rsid w:val="004560C1"/>
    <w:rsid w:val="004623A0"/>
    <w:rsid w:val="004649FD"/>
    <w:rsid w:val="00464C9B"/>
    <w:rsid w:val="004A58BD"/>
    <w:rsid w:val="004B5C42"/>
    <w:rsid w:val="004C0ECA"/>
    <w:rsid w:val="004C35C4"/>
    <w:rsid w:val="004D1C6E"/>
    <w:rsid w:val="00506259"/>
    <w:rsid w:val="00507069"/>
    <w:rsid w:val="00507713"/>
    <w:rsid w:val="00513C69"/>
    <w:rsid w:val="0051403E"/>
    <w:rsid w:val="00522C8D"/>
    <w:rsid w:val="0052361C"/>
    <w:rsid w:val="00523BE1"/>
    <w:rsid w:val="005265D7"/>
    <w:rsid w:val="0053353F"/>
    <w:rsid w:val="00537E7A"/>
    <w:rsid w:val="0056174F"/>
    <w:rsid w:val="00563F47"/>
    <w:rsid w:val="00570ADB"/>
    <w:rsid w:val="00573F03"/>
    <w:rsid w:val="0057591B"/>
    <w:rsid w:val="00592178"/>
    <w:rsid w:val="00594A56"/>
    <w:rsid w:val="005A76FF"/>
    <w:rsid w:val="005D343C"/>
    <w:rsid w:val="005D5985"/>
    <w:rsid w:val="005D5D60"/>
    <w:rsid w:val="005E107D"/>
    <w:rsid w:val="005E41C4"/>
    <w:rsid w:val="005F59A3"/>
    <w:rsid w:val="006019E2"/>
    <w:rsid w:val="0060275C"/>
    <w:rsid w:val="00604856"/>
    <w:rsid w:val="0061264D"/>
    <w:rsid w:val="00614794"/>
    <w:rsid w:val="006147EE"/>
    <w:rsid w:val="006167BE"/>
    <w:rsid w:val="0063545F"/>
    <w:rsid w:val="00641BD2"/>
    <w:rsid w:val="00643879"/>
    <w:rsid w:val="00643EF5"/>
    <w:rsid w:val="00657C9F"/>
    <w:rsid w:val="00666AF3"/>
    <w:rsid w:val="00670A3A"/>
    <w:rsid w:val="00670DEF"/>
    <w:rsid w:val="0067543B"/>
    <w:rsid w:val="00684785"/>
    <w:rsid w:val="00684D12"/>
    <w:rsid w:val="00686405"/>
    <w:rsid w:val="00690323"/>
    <w:rsid w:val="006933BC"/>
    <w:rsid w:val="00695CC1"/>
    <w:rsid w:val="006B3B9E"/>
    <w:rsid w:val="006C0BDF"/>
    <w:rsid w:val="006D0BC9"/>
    <w:rsid w:val="006D1398"/>
    <w:rsid w:val="006D1910"/>
    <w:rsid w:val="006E24D3"/>
    <w:rsid w:val="006E6F71"/>
    <w:rsid w:val="006E78E9"/>
    <w:rsid w:val="00721251"/>
    <w:rsid w:val="007313AD"/>
    <w:rsid w:val="0073692B"/>
    <w:rsid w:val="0074083D"/>
    <w:rsid w:val="0074342B"/>
    <w:rsid w:val="00754440"/>
    <w:rsid w:val="007577C2"/>
    <w:rsid w:val="007657EF"/>
    <w:rsid w:val="00766092"/>
    <w:rsid w:val="00776451"/>
    <w:rsid w:val="00782E0C"/>
    <w:rsid w:val="0078577F"/>
    <w:rsid w:val="007972DC"/>
    <w:rsid w:val="007B2E3A"/>
    <w:rsid w:val="007B5A27"/>
    <w:rsid w:val="007B6950"/>
    <w:rsid w:val="007C420D"/>
    <w:rsid w:val="007E0E63"/>
    <w:rsid w:val="007E1D03"/>
    <w:rsid w:val="007F386F"/>
    <w:rsid w:val="008014B1"/>
    <w:rsid w:val="008017AC"/>
    <w:rsid w:val="008028BC"/>
    <w:rsid w:val="00803892"/>
    <w:rsid w:val="008105A6"/>
    <w:rsid w:val="00813669"/>
    <w:rsid w:val="00813B79"/>
    <w:rsid w:val="00821B06"/>
    <w:rsid w:val="00831005"/>
    <w:rsid w:val="00834798"/>
    <w:rsid w:val="00835201"/>
    <w:rsid w:val="00840EF7"/>
    <w:rsid w:val="00846B64"/>
    <w:rsid w:val="008576F6"/>
    <w:rsid w:val="008702F0"/>
    <w:rsid w:val="00873E77"/>
    <w:rsid w:val="008814B4"/>
    <w:rsid w:val="008824EC"/>
    <w:rsid w:val="0088730D"/>
    <w:rsid w:val="00891667"/>
    <w:rsid w:val="008A345E"/>
    <w:rsid w:val="008A38C0"/>
    <w:rsid w:val="008B33B6"/>
    <w:rsid w:val="008C5FBA"/>
    <w:rsid w:val="008D0AE3"/>
    <w:rsid w:val="008E1368"/>
    <w:rsid w:val="008E6DAE"/>
    <w:rsid w:val="008F211E"/>
    <w:rsid w:val="008F5941"/>
    <w:rsid w:val="008F6E50"/>
    <w:rsid w:val="008F7385"/>
    <w:rsid w:val="00920990"/>
    <w:rsid w:val="00931719"/>
    <w:rsid w:val="00935A04"/>
    <w:rsid w:val="00936006"/>
    <w:rsid w:val="00945A43"/>
    <w:rsid w:val="00957458"/>
    <w:rsid w:val="009712D0"/>
    <w:rsid w:val="009740E6"/>
    <w:rsid w:val="00980D53"/>
    <w:rsid w:val="009845B2"/>
    <w:rsid w:val="0098794F"/>
    <w:rsid w:val="00987DDC"/>
    <w:rsid w:val="00996A2D"/>
    <w:rsid w:val="009A174E"/>
    <w:rsid w:val="009B11D9"/>
    <w:rsid w:val="009B168A"/>
    <w:rsid w:val="009C14FD"/>
    <w:rsid w:val="009C2DF4"/>
    <w:rsid w:val="009C4CA5"/>
    <w:rsid w:val="009D0F49"/>
    <w:rsid w:val="009D79B0"/>
    <w:rsid w:val="009E7B16"/>
    <w:rsid w:val="00A040F6"/>
    <w:rsid w:val="00A067B9"/>
    <w:rsid w:val="00A12A78"/>
    <w:rsid w:val="00A20416"/>
    <w:rsid w:val="00A2165D"/>
    <w:rsid w:val="00A25A8B"/>
    <w:rsid w:val="00A267CB"/>
    <w:rsid w:val="00A27E0A"/>
    <w:rsid w:val="00A3321D"/>
    <w:rsid w:val="00A363A6"/>
    <w:rsid w:val="00A4117E"/>
    <w:rsid w:val="00A56DA3"/>
    <w:rsid w:val="00A610A9"/>
    <w:rsid w:val="00A64A53"/>
    <w:rsid w:val="00A72B0C"/>
    <w:rsid w:val="00A831A9"/>
    <w:rsid w:val="00A840B8"/>
    <w:rsid w:val="00A86B03"/>
    <w:rsid w:val="00A931B4"/>
    <w:rsid w:val="00A9364D"/>
    <w:rsid w:val="00AA445E"/>
    <w:rsid w:val="00AA45AF"/>
    <w:rsid w:val="00AB0E67"/>
    <w:rsid w:val="00AB6E66"/>
    <w:rsid w:val="00AC5084"/>
    <w:rsid w:val="00AE0BC6"/>
    <w:rsid w:val="00AF0095"/>
    <w:rsid w:val="00AF352D"/>
    <w:rsid w:val="00AF5B43"/>
    <w:rsid w:val="00B03361"/>
    <w:rsid w:val="00B03C69"/>
    <w:rsid w:val="00B16BC7"/>
    <w:rsid w:val="00B307BD"/>
    <w:rsid w:val="00B30A2D"/>
    <w:rsid w:val="00B33C0B"/>
    <w:rsid w:val="00B351CF"/>
    <w:rsid w:val="00B43F7D"/>
    <w:rsid w:val="00B46D81"/>
    <w:rsid w:val="00B5097C"/>
    <w:rsid w:val="00B5527A"/>
    <w:rsid w:val="00B57E59"/>
    <w:rsid w:val="00B63892"/>
    <w:rsid w:val="00B67B98"/>
    <w:rsid w:val="00B71004"/>
    <w:rsid w:val="00B71B59"/>
    <w:rsid w:val="00B76CA4"/>
    <w:rsid w:val="00B83377"/>
    <w:rsid w:val="00B87192"/>
    <w:rsid w:val="00B91000"/>
    <w:rsid w:val="00B95CFF"/>
    <w:rsid w:val="00BA10D0"/>
    <w:rsid w:val="00BA5E9A"/>
    <w:rsid w:val="00BC1D9D"/>
    <w:rsid w:val="00BC2A78"/>
    <w:rsid w:val="00BC6355"/>
    <w:rsid w:val="00BC6B97"/>
    <w:rsid w:val="00BF70DC"/>
    <w:rsid w:val="00C069F9"/>
    <w:rsid w:val="00C10E9C"/>
    <w:rsid w:val="00C159ED"/>
    <w:rsid w:val="00C248C0"/>
    <w:rsid w:val="00C37CFD"/>
    <w:rsid w:val="00C41EFF"/>
    <w:rsid w:val="00C459A1"/>
    <w:rsid w:val="00C5105E"/>
    <w:rsid w:val="00C53FDE"/>
    <w:rsid w:val="00C55078"/>
    <w:rsid w:val="00C556F0"/>
    <w:rsid w:val="00C56284"/>
    <w:rsid w:val="00C66E53"/>
    <w:rsid w:val="00C73A37"/>
    <w:rsid w:val="00C80101"/>
    <w:rsid w:val="00C96DEC"/>
    <w:rsid w:val="00CB0320"/>
    <w:rsid w:val="00CB411C"/>
    <w:rsid w:val="00CB6A47"/>
    <w:rsid w:val="00CC11FE"/>
    <w:rsid w:val="00CC16CA"/>
    <w:rsid w:val="00CC79B6"/>
    <w:rsid w:val="00CD1C67"/>
    <w:rsid w:val="00CD31B9"/>
    <w:rsid w:val="00CD4444"/>
    <w:rsid w:val="00CE789E"/>
    <w:rsid w:val="00CF651D"/>
    <w:rsid w:val="00D0185C"/>
    <w:rsid w:val="00D11217"/>
    <w:rsid w:val="00D13EE8"/>
    <w:rsid w:val="00D1419B"/>
    <w:rsid w:val="00D17316"/>
    <w:rsid w:val="00D213E9"/>
    <w:rsid w:val="00D451BF"/>
    <w:rsid w:val="00D542D8"/>
    <w:rsid w:val="00D54EA2"/>
    <w:rsid w:val="00D61607"/>
    <w:rsid w:val="00D713F7"/>
    <w:rsid w:val="00D743A7"/>
    <w:rsid w:val="00D910DB"/>
    <w:rsid w:val="00D937AB"/>
    <w:rsid w:val="00D94C0E"/>
    <w:rsid w:val="00DA34F7"/>
    <w:rsid w:val="00DA5228"/>
    <w:rsid w:val="00DB66BB"/>
    <w:rsid w:val="00DC6A9C"/>
    <w:rsid w:val="00DD7194"/>
    <w:rsid w:val="00DE2507"/>
    <w:rsid w:val="00E04934"/>
    <w:rsid w:val="00E10F9E"/>
    <w:rsid w:val="00E21058"/>
    <w:rsid w:val="00E22494"/>
    <w:rsid w:val="00E309D3"/>
    <w:rsid w:val="00E3373D"/>
    <w:rsid w:val="00E374B6"/>
    <w:rsid w:val="00E5128C"/>
    <w:rsid w:val="00E52556"/>
    <w:rsid w:val="00E563F3"/>
    <w:rsid w:val="00E60708"/>
    <w:rsid w:val="00E65D4C"/>
    <w:rsid w:val="00E7059D"/>
    <w:rsid w:val="00E7529B"/>
    <w:rsid w:val="00E821B7"/>
    <w:rsid w:val="00E9463A"/>
    <w:rsid w:val="00E97869"/>
    <w:rsid w:val="00EA54EB"/>
    <w:rsid w:val="00ED4C0B"/>
    <w:rsid w:val="00EE1A89"/>
    <w:rsid w:val="00EE52C9"/>
    <w:rsid w:val="00EF035E"/>
    <w:rsid w:val="00EF2678"/>
    <w:rsid w:val="00EF2D6C"/>
    <w:rsid w:val="00F05EFE"/>
    <w:rsid w:val="00F10D9F"/>
    <w:rsid w:val="00F20DC8"/>
    <w:rsid w:val="00F3212E"/>
    <w:rsid w:val="00F337FF"/>
    <w:rsid w:val="00F33CED"/>
    <w:rsid w:val="00F42267"/>
    <w:rsid w:val="00F4664B"/>
    <w:rsid w:val="00F5124F"/>
    <w:rsid w:val="00F52CE1"/>
    <w:rsid w:val="00F563CC"/>
    <w:rsid w:val="00F57C3F"/>
    <w:rsid w:val="00F653FE"/>
    <w:rsid w:val="00F66AF7"/>
    <w:rsid w:val="00F7448E"/>
    <w:rsid w:val="00F771C0"/>
    <w:rsid w:val="00F814C8"/>
    <w:rsid w:val="00F8377D"/>
    <w:rsid w:val="00F83D76"/>
    <w:rsid w:val="00FA2854"/>
    <w:rsid w:val="00FA3C60"/>
    <w:rsid w:val="00FA48DF"/>
    <w:rsid w:val="00FA567A"/>
    <w:rsid w:val="00FC2954"/>
    <w:rsid w:val="00FC2C84"/>
    <w:rsid w:val="00FC5AD3"/>
    <w:rsid w:val="00FF4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BE355"/>
  <w15:chartTrackingRefBased/>
  <w15:docId w15:val="{72AEDD48-3AA6-4289-AE60-A8843E727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62D"/>
    <w:pPr>
      <w:spacing w:after="200" w:line="240" w:lineRule="auto"/>
    </w:pPr>
    <w:rPr>
      <w:sz w:val="24"/>
      <w:szCs w:val="24"/>
    </w:rPr>
  </w:style>
  <w:style w:type="paragraph" w:styleId="Heading1">
    <w:name w:val="heading 1"/>
    <w:basedOn w:val="Normal"/>
    <w:next w:val="BodyText"/>
    <w:link w:val="Heading1Char"/>
    <w:uiPriority w:val="9"/>
    <w:qFormat/>
    <w:rsid w:val="00846B64"/>
    <w:pPr>
      <w:keepNext/>
      <w:keepLines/>
      <w:spacing w:before="480" w:after="0"/>
      <w:outlineLvl w:val="0"/>
    </w:pPr>
    <w:rPr>
      <w:rFonts w:asciiTheme="majorHAnsi" w:eastAsiaTheme="majorEastAsia" w:hAnsiTheme="majorHAnsi" w:cstheme="majorBidi"/>
      <w:b/>
      <w:bCs/>
      <w:color w:val="4472C4" w:themeColor="accent1"/>
      <w:sz w:val="32"/>
      <w:szCs w:val="32"/>
    </w:rPr>
  </w:style>
  <w:style w:type="paragraph" w:styleId="Heading2">
    <w:name w:val="heading 2"/>
    <w:basedOn w:val="Normal"/>
    <w:next w:val="BodyText"/>
    <w:link w:val="Heading2Char"/>
    <w:uiPriority w:val="9"/>
    <w:unhideWhenUsed/>
    <w:qFormat/>
    <w:rsid w:val="00846B64"/>
    <w:pPr>
      <w:keepNext/>
      <w:keepLines/>
      <w:spacing w:before="200" w:after="0"/>
      <w:outlineLvl w:val="1"/>
    </w:pPr>
    <w:rPr>
      <w:rFonts w:asciiTheme="majorHAnsi" w:eastAsiaTheme="majorEastAsia" w:hAnsiTheme="majorHAnsi" w:cstheme="majorBidi"/>
      <w:b/>
      <w:bCs/>
      <w:color w:val="4472C4"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B64"/>
    <w:rPr>
      <w:rFonts w:asciiTheme="majorHAnsi" w:eastAsiaTheme="majorEastAsia" w:hAnsiTheme="majorHAnsi" w:cstheme="majorBidi"/>
      <w:b/>
      <w:bCs/>
      <w:color w:val="4472C4" w:themeColor="accent1"/>
      <w:sz w:val="32"/>
      <w:szCs w:val="32"/>
    </w:rPr>
  </w:style>
  <w:style w:type="character" w:customStyle="1" w:styleId="Heading2Char">
    <w:name w:val="Heading 2 Char"/>
    <w:basedOn w:val="DefaultParagraphFont"/>
    <w:link w:val="Heading2"/>
    <w:uiPriority w:val="9"/>
    <w:rsid w:val="00846B64"/>
    <w:rPr>
      <w:rFonts w:asciiTheme="majorHAnsi" w:eastAsiaTheme="majorEastAsia" w:hAnsiTheme="majorHAnsi" w:cstheme="majorBidi"/>
      <w:b/>
      <w:bCs/>
      <w:color w:val="4472C4" w:themeColor="accent1"/>
      <w:sz w:val="28"/>
      <w:szCs w:val="28"/>
    </w:rPr>
  </w:style>
  <w:style w:type="paragraph" w:styleId="BodyText">
    <w:name w:val="Body Text"/>
    <w:basedOn w:val="Normal"/>
    <w:link w:val="BodyTextChar"/>
    <w:qFormat/>
    <w:rsid w:val="001B6AE9"/>
    <w:pPr>
      <w:spacing w:before="180" w:after="180"/>
    </w:pPr>
    <w:rPr>
      <w:rFonts w:ascii="Palatino Linotype" w:hAnsi="Palatino Linotype" w:cs="Courier New"/>
    </w:rPr>
  </w:style>
  <w:style w:type="character" w:customStyle="1" w:styleId="BodyTextChar">
    <w:name w:val="Body Text Char"/>
    <w:basedOn w:val="DefaultParagraphFont"/>
    <w:link w:val="BodyText"/>
    <w:rsid w:val="001B6AE9"/>
    <w:rPr>
      <w:rFonts w:ascii="Palatino Linotype" w:hAnsi="Palatino Linotype" w:cs="Courier New"/>
      <w:sz w:val="24"/>
      <w:szCs w:val="24"/>
    </w:rPr>
  </w:style>
  <w:style w:type="paragraph" w:customStyle="1" w:styleId="FirstParagraph">
    <w:name w:val="First Paragraph"/>
    <w:basedOn w:val="BodyText"/>
    <w:next w:val="BodyText"/>
    <w:qFormat/>
    <w:rsid w:val="00846B64"/>
  </w:style>
  <w:style w:type="paragraph" w:customStyle="1" w:styleId="Compact">
    <w:name w:val="Compact"/>
    <w:basedOn w:val="BodyText"/>
    <w:qFormat/>
    <w:rsid w:val="00846B64"/>
    <w:pPr>
      <w:spacing w:before="36" w:after="36"/>
    </w:pPr>
  </w:style>
  <w:style w:type="table" w:customStyle="1" w:styleId="Table">
    <w:name w:val="Table"/>
    <w:semiHidden/>
    <w:unhideWhenUsed/>
    <w:qFormat/>
    <w:rsid w:val="00846B64"/>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846B64"/>
    <w:pPr>
      <w:spacing w:after="120"/>
    </w:pPr>
    <w:rPr>
      <w:iCs w:val="0"/>
      <w:szCs w:val="24"/>
    </w:rPr>
  </w:style>
  <w:style w:type="paragraph" w:customStyle="1" w:styleId="CaptionedFigure">
    <w:name w:val="Captioned Figure"/>
    <w:basedOn w:val="Normal"/>
    <w:rsid w:val="00846B64"/>
    <w:pPr>
      <w:keepNext/>
    </w:pPr>
  </w:style>
  <w:style w:type="character" w:styleId="Hyperlink">
    <w:name w:val="Hyperlink"/>
    <w:basedOn w:val="DefaultParagraphFont"/>
    <w:uiPriority w:val="99"/>
    <w:rsid w:val="00846B64"/>
    <w:rPr>
      <w:color w:val="4472C4" w:themeColor="accent1"/>
    </w:rPr>
  </w:style>
  <w:style w:type="paragraph" w:styleId="Caption">
    <w:name w:val="caption"/>
    <w:basedOn w:val="Normal"/>
    <w:next w:val="E-mailSignature"/>
    <w:link w:val="CaptionChar"/>
    <w:uiPriority w:val="35"/>
    <w:unhideWhenUsed/>
    <w:qFormat/>
    <w:rsid w:val="00831005"/>
    <w:rPr>
      <w:rFonts w:ascii="Palatino Linotype" w:hAnsi="Palatino Linotype"/>
      <w:b/>
      <w:i/>
      <w:iCs/>
      <w:szCs w:val="18"/>
    </w:rPr>
  </w:style>
  <w:style w:type="paragraph" w:styleId="Revision">
    <w:name w:val="Revision"/>
    <w:hidden/>
    <w:uiPriority w:val="99"/>
    <w:semiHidden/>
    <w:rsid w:val="003F4A15"/>
    <w:pPr>
      <w:spacing w:after="0" w:line="240" w:lineRule="auto"/>
    </w:pPr>
    <w:rPr>
      <w:sz w:val="24"/>
      <w:szCs w:val="24"/>
    </w:rPr>
  </w:style>
  <w:style w:type="character" w:customStyle="1" w:styleId="SectionNumber">
    <w:name w:val="Section Number"/>
    <w:basedOn w:val="DefaultParagraphFont"/>
    <w:rsid w:val="00AB0E67"/>
  </w:style>
  <w:style w:type="character" w:styleId="CommentReference">
    <w:name w:val="annotation reference"/>
    <w:basedOn w:val="DefaultParagraphFont"/>
    <w:uiPriority w:val="99"/>
    <w:semiHidden/>
    <w:unhideWhenUsed/>
    <w:rsid w:val="0060275C"/>
    <w:rPr>
      <w:sz w:val="16"/>
      <w:szCs w:val="16"/>
    </w:rPr>
  </w:style>
  <w:style w:type="paragraph" w:styleId="CommentText">
    <w:name w:val="annotation text"/>
    <w:basedOn w:val="Normal"/>
    <w:link w:val="CommentTextChar"/>
    <w:uiPriority w:val="99"/>
    <w:unhideWhenUsed/>
    <w:rsid w:val="0060275C"/>
    <w:rPr>
      <w:sz w:val="20"/>
      <w:szCs w:val="20"/>
    </w:rPr>
  </w:style>
  <w:style w:type="character" w:customStyle="1" w:styleId="CommentTextChar">
    <w:name w:val="Comment Text Char"/>
    <w:basedOn w:val="DefaultParagraphFont"/>
    <w:link w:val="CommentText"/>
    <w:uiPriority w:val="99"/>
    <w:rsid w:val="0060275C"/>
    <w:rPr>
      <w:sz w:val="20"/>
      <w:szCs w:val="20"/>
    </w:rPr>
  </w:style>
  <w:style w:type="paragraph" w:styleId="CommentSubject">
    <w:name w:val="annotation subject"/>
    <w:basedOn w:val="CommentText"/>
    <w:next w:val="CommentText"/>
    <w:link w:val="CommentSubjectChar"/>
    <w:uiPriority w:val="99"/>
    <w:semiHidden/>
    <w:unhideWhenUsed/>
    <w:rsid w:val="0060275C"/>
    <w:rPr>
      <w:b/>
      <w:bCs/>
    </w:rPr>
  </w:style>
  <w:style w:type="character" w:customStyle="1" w:styleId="CommentSubjectChar">
    <w:name w:val="Comment Subject Char"/>
    <w:basedOn w:val="CommentTextChar"/>
    <w:link w:val="CommentSubject"/>
    <w:uiPriority w:val="99"/>
    <w:semiHidden/>
    <w:rsid w:val="0060275C"/>
    <w:rPr>
      <w:b/>
      <w:bCs/>
      <w:sz w:val="20"/>
      <w:szCs w:val="20"/>
    </w:rPr>
  </w:style>
  <w:style w:type="paragraph" w:styleId="TOC1">
    <w:name w:val="toc 1"/>
    <w:basedOn w:val="Normal"/>
    <w:next w:val="Normal"/>
    <w:autoRedefine/>
    <w:uiPriority w:val="39"/>
    <w:unhideWhenUsed/>
    <w:rsid w:val="00507713"/>
    <w:pPr>
      <w:suppressLineNumbers/>
      <w:tabs>
        <w:tab w:val="right" w:leader="dot" w:pos="9350"/>
      </w:tabs>
      <w:spacing w:after="100"/>
    </w:pPr>
    <w:rPr>
      <w:rFonts w:ascii="Palatino Linotype" w:hAnsi="Palatino Linotype"/>
      <w:b/>
    </w:rPr>
  </w:style>
  <w:style w:type="paragraph" w:styleId="TOC2">
    <w:name w:val="toc 2"/>
    <w:basedOn w:val="Normal"/>
    <w:next w:val="Normal"/>
    <w:autoRedefine/>
    <w:uiPriority w:val="39"/>
    <w:unhideWhenUsed/>
    <w:rsid w:val="002101E9"/>
    <w:pPr>
      <w:suppressLineNumbers/>
      <w:tabs>
        <w:tab w:val="right" w:leader="dot" w:pos="9350"/>
      </w:tabs>
      <w:spacing w:after="100"/>
      <w:ind w:left="240"/>
    </w:pPr>
    <w:rPr>
      <w:rFonts w:ascii="Palatino Linotype" w:hAnsi="Palatino Linotype"/>
    </w:rPr>
  </w:style>
  <w:style w:type="paragraph" w:customStyle="1" w:styleId="figureexplanation">
    <w:name w:val="figure explanation"/>
    <w:basedOn w:val="BodyText"/>
    <w:next w:val="Normal"/>
    <w:link w:val="figureexplanationChar"/>
    <w:qFormat/>
    <w:rsid w:val="00EF035E"/>
    <w:rPr>
      <w:bCs/>
      <w:i/>
      <w:iCs/>
      <w:color w:val="000000" w:themeColor="text1"/>
    </w:rPr>
  </w:style>
  <w:style w:type="character" w:customStyle="1" w:styleId="CaptionChar">
    <w:name w:val="Caption Char"/>
    <w:basedOn w:val="DefaultParagraphFont"/>
    <w:link w:val="Caption"/>
    <w:uiPriority w:val="35"/>
    <w:rsid w:val="00CB411C"/>
    <w:rPr>
      <w:rFonts w:ascii="Palatino Linotype" w:hAnsi="Palatino Linotype"/>
      <w:b/>
      <w:i/>
      <w:iCs/>
      <w:sz w:val="24"/>
      <w:szCs w:val="18"/>
    </w:rPr>
  </w:style>
  <w:style w:type="character" w:customStyle="1" w:styleId="figureexplanationChar">
    <w:name w:val="figure explanation Char"/>
    <w:basedOn w:val="BodyTextChar"/>
    <w:link w:val="figureexplanation"/>
    <w:rsid w:val="00EF035E"/>
    <w:rPr>
      <w:rFonts w:ascii="Palatino Linotype" w:hAnsi="Palatino Linotype" w:cs="Courier New"/>
      <w:bCs/>
      <w:i/>
      <w:iCs/>
      <w:color w:val="000000" w:themeColor="text1"/>
      <w:sz w:val="24"/>
      <w:szCs w:val="24"/>
    </w:rPr>
  </w:style>
  <w:style w:type="paragraph" w:styleId="E-mailSignature">
    <w:name w:val="E-mail Signature"/>
    <w:basedOn w:val="Normal"/>
    <w:link w:val="E-mailSignatureChar"/>
    <w:uiPriority w:val="99"/>
    <w:semiHidden/>
    <w:unhideWhenUsed/>
    <w:rsid w:val="00CB411C"/>
    <w:pPr>
      <w:spacing w:after="0"/>
    </w:pPr>
  </w:style>
  <w:style w:type="character" w:customStyle="1" w:styleId="E-mailSignatureChar">
    <w:name w:val="E-mail Signature Char"/>
    <w:basedOn w:val="DefaultParagraphFont"/>
    <w:link w:val="E-mailSignature"/>
    <w:uiPriority w:val="99"/>
    <w:semiHidden/>
    <w:rsid w:val="00CB411C"/>
    <w:rPr>
      <w:sz w:val="24"/>
      <w:szCs w:val="24"/>
    </w:rPr>
  </w:style>
  <w:style w:type="character" w:styleId="Emphasis">
    <w:name w:val="Emphasis"/>
    <w:basedOn w:val="DefaultParagraphFont"/>
    <w:uiPriority w:val="20"/>
    <w:qFormat/>
    <w:rsid w:val="008702F0"/>
    <w:rPr>
      <w:i/>
      <w:iCs/>
    </w:rPr>
  </w:style>
  <w:style w:type="paragraph" w:styleId="Header">
    <w:name w:val="header"/>
    <w:basedOn w:val="Normal"/>
    <w:link w:val="HeaderChar"/>
    <w:uiPriority w:val="99"/>
    <w:unhideWhenUsed/>
    <w:rsid w:val="008C5FBA"/>
    <w:pPr>
      <w:tabs>
        <w:tab w:val="center" w:pos="4680"/>
        <w:tab w:val="right" w:pos="9360"/>
      </w:tabs>
      <w:spacing w:after="0"/>
    </w:pPr>
  </w:style>
  <w:style w:type="character" w:customStyle="1" w:styleId="HeaderChar">
    <w:name w:val="Header Char"/>
    <w:basedOn w:val="DefaultParagraphFont"/>
    <w:link w:val="Header"/>
    <w:uiPriority w:val="99"/>
    <w:rsid w:val="008C5FBA"/>
    <w:rPr>
      <w:sz w:val="24"/>
      <w:szCs w:val="24"/>
    </w:rPr>
  </w:style>
  <w:style w:type="paragraph" w:styleId="Footer">
    <w:name w:val="footer"/>
    <w:basedOn w:val="Normal"/>
    <w:link w:val="FooterChar"/>
    <w:uiPriority w:val="99"/>
    <w:unhideWhenUsed/>
    <w:rsid w:val="008C5FBA"/>
    <w:pPr>
      <w:tabs>
        <w:tab w:val="center" w:pos="4680"/>
        <w:tab w:val="right" w:pos="9360"/>
      </w:tabs>
      <w:spacing w:after="0"/>
    </w:pPr>
  </w:style>
  <w:style w:type="character" w:customStyle="1" w:styleId="FooterChar">
    <w:name w:val="Footer Char"/>
    <w:basedOn w:val="DefaultParagraphFont"/>
    <w:link w:val="Footer"/>
    <w:uiPriority w:val="99"/>
    <w:rsid w:val="008C5FBA"/>
    <w:rPr>
      <w:sz w:val="24"/>
      <w:szCs w:val="24"/>
    </w:rPr>
  </w:style>
  <w:style w:type="character" w:styleId="PlaceholderText">
    <w:name w:val="Placeholder Text"/>
    <w:basedOn w:val="DefaultParagraphFont"/>
    <w:uiPriority w:val="99"/>
    <w:semiHidden/>
    <w:rsid w:val="00B57E59"/>
    <w:rPr>
      <w:color w:val="808080"/>
    </w:rPr>
  </w:style>
  <w:style w:type="paragraph" w:styleId="ListBullet">
    <w:name w:val="List Bullet"/>
    <w:basedOn w:val="Normal"/>
    <w:uiPriority w:val="99"/>
    <w:unhideWhenUsed/>
    <w:rsid w:val="00B16BC7"/>
    <w:pPr>
      <w:numPr>
        <w:numId w:val="1"/>
      </w:numPr>
      <w:contextualSpacing/>
    </w:pPr>
  </w:style>
  <w:style w:type="character" w:styleId="LineNumber">
    <w:name w:val="line number"/>
    <w:basedOn w:val="DefaultParagraphFont"/>
    <w:uiPriority w:val="99"/>
    <w:semiHidden/>
    <w:unhideWhenUsed/>
    <w:rsid w:val="00882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5238A-83D6-46C6-A981-4E298357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3694</Words>
  <Characters>21057</Characters>
  <Application>Microsoft Office Word</Application>
  <DocSecurity>0</DocSecurity>
  <Lines>175</Lines>
  <Paragraphs>49</Paragraphs>
  <ScaleCrop>false</ScaleCrop>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Harris</dc:creator>
  <cp:keywords/>
  <dc:description/>
  <cp:lastModifiedBy>Mallory Harris</cp:lastModifiedBy>
  <cp:revision>3</cp:revision>
  <dcterms:created xsi:type="dcterms:W3CDTF">2022-12-20T20:36:00Z</dcterms:created>
  <dcterms:modified xsi:type="dcterms:W3CDTF">2022-12-20T20:36:00Z</dcterms:modified>
</cp:coreProperties>
</file>