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0E3B6" w14:textId="77777777" w:rsidR="00081EA7" w:rsidRPr="00670813" w:rsidRDefault="00081EA7" w:rsidP="00081EA7">
      <w:pPr>
        <w:spacing w:after="0"/>
        <w:rPr>
          <w:rFonts w:ascii="Times New Roman" w:hAnsi="Times New Roman" w:cs="Times New Roman"/>
          <w:b/>
          <w:sz w:val="24"/>
          <w:szCs w:val="24"/>
        </w:rPr>
      </w:pPr>
      <w:r w:rsidRPr="00B9674D">
        <w:rPr>
          <w:rFonts w:ascii="Times New Roman" w:hAnsi="Times New Roman" w:cs="Times New Roman"/>
          <w:b/>
          <w:sz w:val="24"/>
          <w:szCs w:val="24"/>
        </w:rPr>
        <w:t>Supplement 1. Bloom analysis for the US-Veteran Microbiome Project (US-VMP)</w:t>
      </w:r>
    </w:p>
    <w:p w14:paraId="47EC661A" w14:textId="77777777" w:rsidR="00081EA7" w:rsidRPr="00B9674D" w:rsidRDefault="00081EA7" w:rsidP="00081EA7">
      <w:pPr>
        <w:spacing w:after="0"/>
        <w:ind w:firstLine="720"/>
        <w:rPr>
          <w:rFonts w:ascii="Times New Roman" w:hAnsi="Times New Roman" w:cs="Times New Roman"/>
          <w:sz w:val="24"/>
          <w:szCs w:val="24"/>
        </w:rPr>
      </w:pPr>
      <w:r w:rsidRPr="00B9674D">
        <w:rPr>
          <w:rFonts w:ascii="Times New Roman" w:hAnsi="Times New Roman" w:cs="Times New Roman"/>
          <w:sz w:val="24"/>
          <w:szCs w:val="24"/>
        </w:rPr>
        <w:t>Our sampling procedures allowed participants to provide samples in one of two ways: 1) during their in-person visit; or 2) using a provided sampling kit at home and subsequently ship</w:t>
      </w:r>
      <w:r>
        <w:rPr>
          <w:rFonts w:ascii="Times New Roman" w:hAnsi="Times New Roman" w:cs="Times New Roman"/>
          <w:sz w:val="24"/>
          <w:szCs w:val="24"/>
        </w:rPr>
        <w:t xml:space="preserve">ping </w:t>
      </w:r>
      <w:r w:rsidRPr="00B9674D">
        <w:rPr>
          <w:rFonts w:ascii="Times New Roman" w:hAnsi="Times New Roman" w:cs="Times New Roman"/>
          <w:sz w:val="24"/>
          <w:szCs w:val="24"/>
        </w:rPr>
        <w:t xml:space="preserve">the sample to the research facility. Although the participants were provided with an ice pack and instructed to ship the sample to the research facility with the ice pack, this protocol was not always followed. Therefore, samples shipped to the research facility had the potential to be above freezing temperature for extended periods of time (1 - 44 days). In contrast, samples collected by participants that elected to provide their sample during the in-person visit were immediately frozen and stored at –80 </w:t>
      </w:r>
      <w:r w:rsidRPr="00B9674D">
        <w:rPr>
          <w:rFonts w:ascii="Times New Roman" w:hAnsi="Times New Roman" w:cs="Times New Roman"/>
          <w:sz w:val="24"/>
          <w:szCs w:val="24"/>
        </w:rPr>
        <w:sym w:font="Symbol" w:char="F0B0"/>
      </w:r>
      <w:r w:rsidRPr="00B9674D">
        <w:rPr>
          <w:rFonts w:ascii="Times New Roman" w:hAnsi="Times New Roman" w:cs="Times New Roman"/>
          <w:sz w:val="24"/>
          <w:szCs w:val="24"/>
        </w:rPr>
        <w:t xml:space="preserve">C. </w:t>
      </w:r>
    </w:p>
    <w:p w14:paraId="5315DAFF" w14:textId="77777777" w:rsidR="00081EA7" w:rsidRPr="00B9674D" w:rsidRDefault="00081EA7" w:rsidP="00081EA7">
      <w:pPr>
        <w:spacing w:after="0"/>
        <w:ind w:firstLine="720"/>
        <w:rPr>
          <w:rFonts w:ascii="Times New Roman" w:hAnsi="Times New Roman" w:cs="Times New Roman"/>
          <w:sz w:val="24"/>
          <w:szCs w:val="24"/>
        </w:rPr>
      </w:pPr>
      <w:r w:rsidRPr="00B9674D">
        <w:rPr>
          <w:rFonts w:ascii="Times New Roman" w:hAnsi="Times New Roman" w:cs="Times New Roman"/>
          <w:sz w:val="24"/>
          <w:szCs w:val="24"/>
        </w:rPr>
        <w:t>Amir et al.</w:t>
      </w:r>
      <w:r>
        <w:rPr>
          <w:rFonts w:ascii="Times New Roman" w:hAnsi="Times New Roman" w:cs="Times New Roman"/>
          <w:sz w:val="24"/>
          <w:szCs w:val="24"/>
        </w:rPr>
        <w:t xml:space="preserve"> </w:t>
      </w:r>
      <w:r w:rsidRPr="00802211">
        <w:rPr>
          <w:rFonts w:ascii="Times New Roman" w:hAnsi="Times New Roman" w:cs="Times New Roman"/>
          <w:sz w:val="24"/>
          <w:szCs w:val="24"/>
        </w:rPr>
        <w:t>(Amir, McDonald, Navas-Molina, Debelius, et al., 2017)</w:t>
      </w:r>
      <w:r w:rsidRPr="00B9674D">
        <w:rPr>
          <w:rFonts w:ascii="Times New Roman" w:hAnsi="Times New Roman" w:cs="Times New Roman"/>
          <w:sz w:val="24"/>
          <w:szCs w:val="24"/>
        </w:rPr>
        <w:t>, reported on the phenomena of “blooming”, where certain taxa that are not obligate anerobic bacteria can bloom in fecal samples if not quickly refrigerated or frozen. Their publication provided detailed explanations, files, and code on how taxa determined to have artificially “bloomed” were removed from the American Gut Project data</w:t>
      </w:r>
      <w:r>
        <w:rPr>
          <w:rFonts w:ascii="Times New Roman" w:hAnsi="Times New Roman" w:cs="Times New Roman"/>
          <w:sz w:val="24"/>
          <w:szCs w:val="24"/>
        </w:rPr>
        <w:t xml:space="preserve"> set</w:t>
      </w:r>
      <w:r w:rsidRPr="00B9674D">
        <w:rPr>
          <w:rFonts w:ascii="Times New Roman" w:hAnsi="Times New Roman" w:cs="Times New Roman"/>
          <w:sz w:val="24"/>
          <w:szCs w:val="24"/>
        </w:rPr>
        <w:t>. We performed the deblooming analysis as previously described by Amir and colleagues</w:t>
      </w:r>
      <w:r>
        <w:rPr>
          <w:rFonts w:ascii="Times New Roman" w:hAnsi="Times New Roman" w:cs="Times New Roman"/>
          <w:sz w:val="24"/>
          <w:szCs w:val="24"/>
        </w:rPr>
        <w:t xml:space="preserve"> </w:t>
      </w:r>
      <w:r w:rsidRPr="00802211">
        <w:rPr>
          <w:rFonts w:ascii="Times New Roman" w:hAnsi="Times New Roman" w:cs="Times New Roman"/>
          <w:sz w:val="24"/>
          <w:szCs w:val="24"/>
        </w:rPr>
        <w:t>(Amir, McDonald, Navas-Molina, Debelius, et al., 2017)</w:t>
      </w:r>
      <w:r w:rsidRPr="00B9674D">
        <w:rPr>
          <w:rFonts w:ascii="Times New Roman" w:hAnsi="Times New Roman" w:cs="Times New Roman"/>
          <w:sz w:val="24"/>
          <w:szCs w:val="24"/>
        </w:rPr>
        <w:t xml:space="preserve">. A total of </w:t>
      </w:r>
      <w:r w:rsidRPr="00B9674D">
        <w:rPr>
          <w:rFonts w:ascii="Times New Roman" w:hAnsi="Times New Roman" w:cs="Times New Roman"/>
          <w:i/>
          <w:sz w:val="24"/>
          <w:szCs w:val="24"/>
        </w:rPr>
        <w:t>N</w:t>
      </w:r>
      <w:r w:rsidRPr="00B9674D">
        <w:rPr>
          <w:rFonts w:ascii="Times New Roman" w:hAnsi="Times New Roman" w:cs="Times New Roman"/>
          <w:sz w:val="24"/>
          <w:szCs w:val="24"/>
        </w:rPr>
        <w:t xml:space="preserve"> = 95 samples were provided during in-person visits, whereas a total of </w:t>
      </w:r>
      <w:r w:rsidRPr="00B9674D">
        <w:rPr>
          <w:rFonts w:ascii="Times New Roman" w:hAnsi="Times New Roman" w:cs="Times New Roman"/>
          <w:i/>
          <w:sz w:val="24"/>
          <w:szCs w:val="24"/>
        </w:rPr>
        <w:t>N</w:t>
      </w:r>
      <w:r w:rsidRPr="00B9674D">
        <w:rPr>
          <w:rFonts w:ascii="Times New Roman" w:hAnsi="Times New Roman" w:cs="Times New Roman"/>
          <w:sz w:val="24"/>
          <w:szCs w:val="24"/>
        </w:rPr>
        <w:t xml:space="preserve"> = 235 samples were shipped. </w:t>
      </w:r>
      <w:r w:rsidRPr="00B9674D">
        <w:rPr>
          <w:rFonts w:ascii="Times New Roman" w:hAnsi="Times New Roman" w:cs="Times New Roman"/>
          <w:i/>
          <w:sz w:val="24"/>
          <w:szCs w:val="24"/>
        </w:rPr>
        <w:t>R</w:t>
      </w:r>
      <w:r w:rsidRPr="00B9674D">
        <w:rPr>
          <w:rFonts w:ascii="Times New Roman" w:hAnsi="Times New Roman" w:cs="Times New Roman"/>
          <w:i/>
          <w:sz w:val="24"/>
          <w:szCs w:val="24"/>
          <w:vertAlign w:val="superscript"/>
        </w:rPr>
        <w:t>2</w:t>
      </w:r>
      <w:r w:rsidRPr="00B9674D">
        <w:rPr>
          <w:rFonts w:ascii="Times New Roman" w:hAnsi="Times New Roman" w:cs="Times New Roman"/>
          <w:sz w:val="24"/>
          <w:szCs w:val="24"/>
        </w:rPr>
        <w:t xml:space="preserve"> values from canonical correspondence analysis (CCA) of the weighted UniFrac distance matrix were used as a means to objectively determine how deblooming analysis impacted measures of bacterial community structure. We examined </w:t>
      </w:r>
      <w:r w:rsidRPr="00B9674D">
        <w:rPr>
          <w:rFonts w:ascii="Times New Roman" w:hAnsi="Times New Roman" w:cs="Times New Roman"/>
          <w:i/>
          <w:sz w:val="24"/>
          <w:szCs w:val="24"/>
        </w:rPr>
        <w:t>R</w:t>
      </w:r>
      <w:r w:rsidRPr="00B9674D">
        <w:rPr>
          <w:rFonts w:ascii="Times New Roman" w:hAnsi="Times New Roman" w:cs="Times New Roman"/>
          <w:i/>
          <w:sz w:val="24"/>
          <w:szCs w:val="24"/>
          <w:vertAlign w:val="superscript"/>
        </w:rPr>
        <w:t>2</w:t>
      </w:r>
      <w:r w:rsidRPr="00B9674D">
        <w:rPr>
          <w:rFonts w:ascii="Times New Roman" w:hAnsi="Times New Roman" w:cs="Times New Roman"/>
          <w:sz w:val="24"/>
          <w:szCs w:val="24"/>
        </w:rPr>
        <w:t xml:space="preserve"> values of both the dichotomous variable of shipped (yes (</w:t>
      </w:r>
      <w:r w:rsidRPr="00B9674D">
        <w:rPr>
          <w:rFonts w:ascii="Times New Roman" w:hAnsi="Times New Roman" w:cs="Times New Roman"/>
          <w:i/>
          <w:sz w:val="24"/>
          <w:szCs w:val="24"/>
        </w:rPr>
        <w:t>N</w:t>
      </w:r>
      <w:r w:rsidRPr="00B9674D">
        <w:rPr>
          <w:rFonts w:ascii="Times New Roman" w:hAnsi="Times New Roman" w:cs="Times New Roman"/>
          <w:sz w:val="24"/>
          <w:szCs w:val="24"/>
        </w:rPr>
        <w:t xml:space="preserve"> = 235) or no (</w:t>
      </w:r>
      <w:r w:rsidRPr="00B9674D">
        <w:rPr>
          <w:rFonts w:ascii="Times New Roman" w:hAnsi="Times New Roman" w:cs="Times New Roman"/>
          <w:i/>
          <w:sz w:val="24"/>
          <w:szCs w:val="24"/>
        </w:rPr>
        <w:t>N</w:t>
      </w:r>
      <w:r w:rsidRPr="00B9674D">
        <w:rPr>
          <w:rFonts w:ascii="Times New Roman" w:hAnsi="Times New Roman" w:cs="Times New Roman"/>
          <w:sz w:val="24"/>
          <w:szCs w:val="24"/>
        </w:rPr>
        <w:t xml:space="preserve"> = 95)) and the continuous variable of transit days (number of days between when the sample was collected by the participant and when the sample was placed into the –80 </w:t>
      </w:r>
      <w:r w:rsidRPr="00B9674D">
        <w:rPr>
          <w:rFonts w:ascii="Times New Roman" w:hAnsi="Times New Roman" w:cs="Times New Roman"/>
          <w:sz w:val="24"/>
          <w:szCs w:val="24"/>
        </w:rPr>
        <w:sym w:font="Symbol" w:char="F0B0"/>
      </w:r>
      <w:r w:rsidRPr="00B9674D">
        <w:rPr>
          <w:rFonts w:ascii="Times New Roman" w:hAnsi="Times New Roman" w:cs="Times New Roman"/>
          <w:sz w:val="24"/>
          <w:szCs w:val="24"/>
        </w:rPr>
        <w:t xml:space="preserve">C freezer at the research facility; mean </w:t>
      </w:r>
      <w:r w:rsidRPr="00B9674D">
        <w:rPr>
          <w:rFonts w:ascii="Times New Roman" w:hAnsi="Times New Roman" w:cs="Times New Roman"/>
          <w:sz w:val="24"/>
          <w:szCs w:val="24"/>
        </w:rPr>
        <w:sym w:font="Symbol" w:char="F0B1"/>
      </w:r>
      <w:r w:rsidRPr="00B9674D">
        <w:rPr>
          <w:rFonts w:ascii="Times New Roman" w:hAnsi="Times New Roman" w:cs="Times New Roman"/>
          <w:sz w:val="24"/>
          <w:szCs w:val="24"/>
        </w:rPr>
        <w:t xml:space="preserve"> SD (2.94 </w:t>
      </w:r>
      <w:r w:rsidRPr="00B9674D">
        <w:rPr>
          <w:rFonts w:ascii="Times New Roman" w:hAnsi="Times New Roman" w:cs="Times New Roman"/>
          <w:sz w:val="24"/>
          <w:szCs w:val="24"/>
        </w:rPr>
        <w:sym w:font="Symbol" w:char="F0B1"/>
      </w:r>
      <w:r w:rsidRPr="00B9674D">
        <w:rPr>
          <w:rFonts w:ascii="Times New Roman" w:hAnsi="Times New Roman" w:cs="Times New Roman"/>
          <w:sz w:val="24"/>
          <w:szCs w:val="24"/>
        </w:rPr>
        <w:t xml:space="preserve"> 3.82 days)). We performed CCA analysis on the data before deblooming analysis, after deblooming analysis of all samples (</w:t>
      </w:r>
      <w:r w:rsidRPr="00B9674D">
        <w:rPr>
          <w:rFonts w:ascii="Times New Roman" w:hAnsi="Times New Roman" w:cs="Times New Roman"/>
          <w:i/>
          <w:sz w:val="24"/>
          <w:szCs w:val="24"/>
        </w:rPr>
        <w:t>N</w:t>
      </w:r>
      <w:r w:rsidRPr="00B9674D">
        <w:rPr>
          <w:rFonts w:ascii="Times New Roman" w:hAnsi="Times New Roman" w:cs="Times New Roman"/>
          <w:sz w:val="24"/>
          <w:szCs w:val="24"/>
        </w:rPr>
        <w:t xml:space="preserve"> = 330), and after deblooming analysis of only samples shipped back to the research facility (</w:t>
      </w:r>
      <w:r w:rsidRPr="00B9674D">
        <w:rPr>
          <w:rFonts w:ascii="Times New Roman" w:hAnsi="Times New Roman" w:cs="Times New Roman"/>
          <w:i/>
          <w:sz w:val="24"/>
          <w:szCs w:val="24"/>
        </w:rPr>
        <w:t>N</w:t>
      </w:r>
      <w:r w:rsidRPr="00B9674D">
        <w:rPr>
          <w:rFonts w:ascii="Times New Roman" w:hAnsi="Times New Roman" w:cs="Times New Roman"/>
          <w:sz w:val="24"/>
          <w:szCs w:val="24"/>
        </w:rPr>
        <w:t xml:space="preserve"> = 235). The results of this analysis are shown in </w:t>
      </w:r>
      <w:r w:rsidRPr="00B9674D">
        <w:rPr>
          <w:rFonts w:ascii="Times New Roman" w:hAnsi="Times New Roman" w:cs="Times New Roman"/>
          <w:b/>
          <w:bCs/>
          <w:sz w:val="24"/>
          <w:szCs w:val="24"/>
        </w:rPr>
        <w:t>Supplemental Figure 1</w:t>
      </w:r>
      <w:r w:rsidRPr="00B9674D">
        <w:rPr>
          <w:rFonts w:ascii="Times New Roman" w:hAnsi="Times New Roman" w:cs="Times New Roman"/>
          <w:sz w:val="24"/>
          <w:szCs w:val="24"/>
        </w:rPr>
        <w:t xml:space="preserve">. </w:t>
      </w:r>
    </w:p>
    <w:p w14:paraId="0BF26DE8" w14:textId="77777777" w:rsidR="006B3506" w:rsidRDefault="006B3506" w:rsidP="00081EA7">
      <w:pPr>
        <w:spacing w:after="0"/>
        <w:rPr>
          <w:rFonts w:ascii="Times New Roman" w:hAnsi="Times New Roman" w:cs="Times New Roman"/>
          <w:b/>
          <w:bCs/>
          <w:sz w:val="19"/>
          <w:szCs w:val="19"/>
        </w:rPr>
      </w:pPr>
    </w:p>
    <w:p w14:paraId="37A0401B" w14:textId="77777777" w:rsidR="006B3506" w:rsidRDefault="006B3506" w:rsidP="00081EA7">
      <w:pPr>
        <w:spacing w:after="0"/>
        <w:rPr>
          <w:rFonts w:ascii="Times New Roman" w:hAnsi="Times New Roman" w:cs="Times New Roman"/>
          <w:b/>
          <w:bCs/>
          <w:sz w:val="19"/>
          <w:szCs w:val="19"/>
        </w:rPr>
      </w:pPr>
    </w:p>
    <w:p w14:paraId="2A8D8EB1" w14:textId="77777777" w:rsidR="006B3506" w:rsidRDefault="006B3506" w:rsidP="00081EA7">
      <w:pPr>
        <w:spacing w:after="0"/>
        <w:rPr>
          <w:rFonts w:ascii="Times New Roman" w:hAnsi="Times New Roman" w:cs="Times New Roman"/>
          <w:b/>
          <w:bCs/>
          <w:sz w:val="19"/>
          <w:szCs w:val="19"/>
        </w:rPr>
      </w:pPr>
    </w:p>
    <w:p w14:paraId="298FC34F" w14:textId="77777777" w:rsidR="006B3506" w:rsidRDefault="006B3506" w:rsidP="00081EA7">
      <w:pPr>
        <w:spacing w:after="0"/>
        <w:rPr>
          <w:rFonts w:ascii="Times New Roman" w:hAnsi="Times New Roman" w:cs="Times New Roman"/>
          <w:b/>
          <w:bCs/>
          <w:sz w:val="19"/>
          <w:szCs w:val="19"/>
        </w:rPr>
      </w:pPr>
    </w:p>
    <w:p w14:paraId="5D1C614E" w14:textId="77777777" w:rsidR="006B3506" w:rsidRDefault="006B3506" w:rsidP="00081EA7">
      <w:pPr>
        <w:spacing w:after="0"/>
        <w:rPr>
          <w:rFonts w:ascii="Times New Roman" w:hAnsi="Times New Roman" w:cs="Times New Roman"/>
          <w:b/>
          <w:bCs/>
          <w:sz w:val="19"/>
          <w:szCs w:val="19"/>
        </w:rPr>
      </w:pPr>
    </w:p>
    <w:p w14:paraId="09472E05" w14:textId="77777777" w:rsidR="006B3506" w:rsidRDefault="006B3506" w:rsidP="00081EA7">
      <w:pPr>
        <w:spacing w:after="0"/>
        <w:rPr>
          <w:rFonts w:ascii="Times New Roman" w:hAnsi="Times New Roman" w:cs="Times New Roman"/>
          <w:b/>
          <w:bCs/>
          <w:sz w:val="19"/>
          <w:szCs w:val="19"/>
        </w:rPr>
      </w:pPr>
    </w:p>
    <w:p w14:paraId="13A14E0B" w14:textId="77777777" w:rsidR="006B3506" w:rsidRDefault="006B3506" w:rsidP="00081EA7">
      <w:pPr>
        <w:spacing w:after="0"/>
        <w:rPr>
          <w:rFonts w:ascii="Times New Roman" w:hAnsi="Times New Roman" w:cs="Times New Roman"/>
          <w:b/>
          <w:bCs/>
          <w:sz w:val="19"/>
          <w:szCs w:val="19"/>
        </w:rPr>
      </w:pPr>
    </w:p>
    <w:p w14:paraId="46BB591B" w14:textId="77777777" w:rsidR="006B3506" w:rsidRDefault="006B3506" w:rsidP="00081EA7">
      <w:pPr>
        <w:spacing w:after="0"/>
        <w:rPr>
          <w:rFonts w:ascii="Times New Roman" w:hAnsi="Times New Roman" w:cs="Times New Roman"/>
          <w:b/>
          <w:bCs/>
          <w:sz w:val="19"/>
          <w:szCs w:val="19"/>
        </w:rPr>
      </w:pPr>
    </w:p>
    <w:p w14:paraId="34177857" w14:textId="77777777" w:rsidR="006B3506" w:rsidRDefault="006B3506" w:rsidP="00081EA7">
      <w:pPr>
        <w:spacing w:after="0"/>
        <w:rPr>
          <w:rFonts w:ascii="Times New Roman" w:hAnsi="Times New Roman" w:cs="Times New Roman"/>
          <w:b/>
          <w:bCs/>
          <w:sz w:val="19"/>
          <w:szCs w:val="19"/>
        </w:rPr>
      </w:pPr>
    </w:p>
    <w:p w14:paraId="09544318" w14:textId="77777777" w:rsidR="006B3506" w:rsidRDefault="006B3506" w:rsidP="00081EA7">
      <w:pPr>
        <w:spacing w:after="0"/>
        <w:rPr>
          <w:rFonts w:ascii="Times New Roman" w:hAnsi="Times New Roman" w:cs="Times New Roman"/>
          <w:b/>
          <w:bCs/>
          <w:sz w:val="19"/>
          <w:szCs w:val="19"/>
        </w:rPr>
      </w:pPr>
    </w:p>
    <w:p w14:paraId="6309AE43" w14:textId="77777777" w:rsidR="006B3506" w:rsidRDefault="006B3506" w:rsidP="00081EA7">
      <w:pPr>
        <w:spacing w:after="0"/>
        <w:rPr>
          <w:rFonts w:ascii="Times New Roman" w:hAnsi="Times New Roman" w:cs="Times New Roman"/>
          <w:b/>
          <w:bCs/>
          <w:sz w:val="19"/>
          <w:szCs w:val="19"/>
        </w:rPr>
      </w:pPr>
    </w:p>
    <w:p w14:paraId="159F0D92" w14:textId="77777777" w:rsidR="006B3506" w:rsidRDefault="006B3506" w:rsidP="00081EA7">
      <w:pPr>
        <w:spacing w:after="0"/>
        <w:rPr>
          <w:rFonts w:ascii="Times New Roman" w:hAnsi="Times New Roman" w:cs="Times New Roman"/>
          <w:b/>
          <w:bCs/>
          <w:sz w:val="19"/>
          <w:szCs w:val="19"/>
        </w:rPr>
      </w:pPr>
    </w:p>
    <w:p w14:paraId="3208B3CA" w14:textId="77777777" w:rsidR="006B3506" w:rsidRDefault="006B3506" w:rsidP="00081EA7">
      <w:pPr>
        <w:spacing w:after="0"/>
        <w:rPr>
          <w:rFonts w:ascii="Times New Roman" w:hAnsi="Times New Roman" w:cs="Times New Roman"/>
          <w:b/>
          <w:bCs/>
          <w:sz w:val="19"/>
          <w:szCs w:val="19"/>
        </w:rPr>
      </w:pPr>
    </w:p>
    <w:p w14:paraId="22130D5B" w14:textId="77777777" w:rsidR="006B3506" w:rsidRDefault="006B3506" w:rsidP="00081EA7">
      <w:pPr>
        <w:spacing w:after="0"/>
        <w:rPr>
          <w:rFonts w:ascii="Times New Roman" w:hAnsi="Times New Roman" w:cs="Times New Roman"/>
          <w:b/>
          <w:bCs/>
          <w:sz w:val="19"/>
          <w:szCs w:val="19"/>
        </w:rPr>
      </w:pPr>
    </w:p>
    <w:p w14:paraId="63A84E0C" w14:textId="77777777" w:rsidR="006B3506" w:rsidRDefault="006B3506" w:rsidP="00081EA7">
      <w:pPr>
        <w:spacing w:after="0"/>
        <w:rPr>
          <w:rFonts w:ascii="Times New Roman" w:hAnsi="Times New Roman" w:cs="Times New Roman"/>
          <w:b/>
          <w:bCs/>
          <w:sz w:val="19"/>
          <w:szCs w:val="19"/>
        </w:rPr>
      </w:pPr>
    </w:p>
    <w:p w14:paraId="530D30ED" w14:textId="77777777" w:rsidR="006B3506" w:rsidRDefault="006B3506" w:rsidP="00081EA7">
      <w:pPr>
        <w:spacing w:after="0"/>
        <w:rPr>
          <w:rFonts w:ascii="Times New Roman" w:hAnsi="Times New Roman" w:cs="Times New Roman"/>
          <w:b/>
          <w:bCs/>
          <w:sz w:val="19"/>
          <w:szCs w:val="19"/>
        </w:rPr>
      </w:pPr>
    </w:p>
    <w:p w14:paraId="6BB45DD9" w14:textId="77777777" w:rsidR="006B3506" w:rsidRDefault="006B3506" w:rsidP="00081EA7">
      <w:pPr>
        <w:spacing w:after="0"/>
        <w:rPr>
          <w:rFonts w:ascii="Times New Roman" w:hAnsi="Times New Roman" w:cs="Times New Roman"/>
          <w:b/>
          <w:bCs/>
          <w:sz w:val="19"/>
          <w:szCs w:val="19"/>
        </w:rPr>
      </w:pPr>
    </w:p>
    <w:p w14:paraId="56A47793" w14:textId="77777777" w:rsidR="006B3506" w:rsidRDefault="006B3506" w:rsidP="00081EA7">
      <w:pPr>
        <w:spacing w:after="0"/>
        <w:rPr>
          <w:rFonts w:ascii="Times New Roman" w:hAnsi="Times New Roman" w:cs="Times New Roman"/>
          <w:b/>
          <w:bCs/>
          <w:sz w:val="19"/>
          <w:szCs w:val="19"/>
        </w:rPr>
      </w:pPr>
    </w:p>
    <w:p w14:paraId="5EEB01C1" w14:textId="77777777" w:rsidR="006B3506" w:rsidRDefault="006B3506" w:rsidP="00081EA7">
      <w:pPr>
        <w:spacing w:after="0"/>
        <w:rPr>
          <w:rFonts w:ascii="Times New Roman" w:hAnsi="Times New Roman" w:cs="Times New Roman"/>
          <w:b/>
          <w:bCs/>
          <w:sz w:val="19"/>
          <w:szCs w:val="19"/>
        </w:rPr>
      </w:pPr>
    </w:p>
    <w:p w14:paraId="74B11BB8" w14:textId="77777777" w:rsidR="006B3506" w:rsidRDefault="006B3506" w:rsidP="00081EA7">
      <w:pPr>
        <w:spacing w:after="0"/>
        <w:rPr>
          <w:rFonts w:ascii="Times New Roman" w:hAnsi="Times New Roman" w:cs="Times New Roman"/>
          <w:b/>
          <w:bCs/>
          <w:sz w:val="19"/>
          <w:szCs w:val="19"/>
        </w:rPr>
      </w:pPr>
    </w:p>
    <w:p w14:paraId="3F54FC1B" w14:textId="78AF35D5" w:rsidR="00081EA7" w:rsidRPr="0081771D" w:rsidRDefault="00081EA7" w:rsidP="00081EA7">
      <w:pPr>
        <w:spacing w:after="0"/>
        <w:rPr>
          <w:rFonts w:ascii="Times New Roman" w:hAnsi="Times New Roman" w:cs="Times New Roman"/>
          <w:sz w:val="19"/>
          <w:szCs w:val="19"/>
        </w:rPr>
      </w:pPr>
      <w:r w:rsidRPr="0081771D">
        <w:rPr>
          <w:rFonts w:ascii="Times New Roman" w:hAnsi="Times New Roman" w:cs="Times New Roman"/>
          <w:b/>
          <w:bCs/>
          <w:sz w:val="19"/>
          <w:szCs w:val="19"/>
        </w:rPr>
        <w:lastRenderedPageBreak/>
        <w:t>Supplemental Figure 1.</w:t>
      </w:r>
      <w:r w:rsidRPr="0081771D">
        <w:rPr>
          <w:rFonts w:ascii="Times New Roman" w:hAnsi="Times New Roman" w:cs="Times New Roman"/>
          <w:sz w:val="19"/>
          <w:szCs w:val="19"/>
        </w:rPr>
        <w:t xml:space="preserve"> </w:t>
      </w:r>
      <w:bookmarkStart w:id="0" w:name="_Hlk62630409"/>
      <w:r w:rsidRPr="0081771D">
        <w:rPr>
          <w:rFonts w:ascii="Times New Roman" w:hAnsi="Times New Roman" w:cs="Times New Roman"/>
          <w:b/>
          <w:bCs/>
          <w:sz w:val="19"/>
          <w:szCs w:val="19"/>
        </w:rPr>
        <w:t xml:space="preserve">Bar plots of </w:t>
      </w:r>
      <w:r w:rsidRPr="0081771D">
        <w:rPr>
          <w:rFonts w:ascii="Times New Roman" w:hAnsi="Times New Roman" w:cs="Times New Roman"/>
          <w:b/>
          <w:bCs/>
          <w:i/>
          <w:sz w:val="19"/>
          <w:szCs w:val="19"/>
        </w:rPr>
        <w:t>R</w:t>
      </w:r>
      <w:r w:rsidRPr="0081771D">
        <w:rPr>
          <w:rFonts w:ascii="Times New Roman" w:hAnsi="Times New Roman" w:cs="Times New Roman"/>
          <w:b/>
          <w:bCs/>
          <w:i/>
          <w:sz w:val="19"/>
          <w:szCs w:val="19"/>
          <w:vertAlign w:val="superscript"/>
        </w:rPr>
        <w:t>2</w:t>
      </w:r>
      <w:r w:rsidRPr="0081771D">
        <w:rPr>
          <w:rFonts w:ascii="Times New Roman" w:hAnsi="Times New Roman" w:cs="Times New Roman"/>
          <w:b/>
          <w:bCs/>
          <w:sz w:val="19"/>
          <w:szCs w:val="19"/>
        </w:rPr>
        <w:t xml:space="preserve"> values from canonical correspondence analysis (CCA) of the weighted UniFrac distance matrix for the shipped variable. CCA was performed on the data before deblooming analysis, after deblooming analysis on all samples, and after deblooming analysis on only samples shipped to the research facility.</w:t>
      </w:r>
      <w:r w:rsidRPr="0081771D">
        <w:rPr>
          <w:rFonts w:ascii="Times New Roman" w:hAnsi="Times New Roman" w:cs="Times New Roman"/>
          <w:sz w:val="19"/>
          <w:szCs w:val="19"/>
        </w:rPr>
        <w:t xml:space="preserve"> </w:t>
      </w:r>
      <w:bookmarkEnd w:id="0"/>
    </w:p>
    <w:p w14:paraId="3A585CBE" w14:textId="77777777" w:rsidR="00081EA7" w:rsidRDefault="00081EA7" w:rsidP="00081EA7">
      <w:pPr>
        <w:spacing w:after="0"/>
        <w:rPr>
          <w:rFonts w:ascii="Times New Roman" w:hAnsi="Times New Roman" w:cs="Times New Roman"/>
        </w:rPr>
      </w:pPr>
      <w:r>
        <w:rPr>
          <w:rFonts w:ascii="Times New Roman" w:hAnsi="Times New Roman" w:cs="Times New Roman"/>
          <w:noProof/>
        </w:rPr>
        <w:drawing>
          <wp:inline distT="0" distB="0" distL="0" distR="0" wp14:anchorId="6E57BB6B" wp14:editId="36BDE904">
            <wp:extent cx="3840480" cy="4349115"/>
            <wp:effectExtent l="19050" t="19050" r="26670" b="1333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creenshot of a cell phon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0480" cy="4349115"/>
                    </a:xfrm>
                    <a:prstGeom prst="rect">
                      <a:avLst/>
                    </a:prstGeom>
                    <a:noFill/>
                    <a:ln>
                      <a:solidFill>
                        <a:schemeClr val="tx1"/>
                      </a:solidFill>
                    </a:ln>
                  </pic:spPr>
                </pic:pic>
              </a:graphicData>
            </a:graphic>
          </wp:inline>
        </w:drawing>
      </w:r>
    </w:p>
    <w:p w14:paraId="6AEAC30E" w14:textId="77777777" w:rsidR="00081EA7" w:rsidRPr="0035330B" w:rsidRDefault="00081EA7" w:rsidP="00081EA7">
      <w:pPr>
        <w:spacing w:after="0"/>
        <w:ind w:firstLine="720"/>
        <w:rPr>
          <w:rFonts w:ascii="Times New Roman" w:hAnsi="Times New Roman" w:cs="Times New Roman"/>
          <w:sz w:val="24"/>
          <w:szCs w:val="24"/>
        </w:rPr>
      </w:pPr>
      <w:r w:rsidRPr="0035330B">
        <w:rPr>
          <w:rFonts w:ascii="Times New Roman" w:hAnsi="Times New Roman" w:cs="Times New Roman"/>
          <w:sz w:val="24"/>
          <w:szCs w:val="24"/>
        </w:rPr>
        <w:t xml:space="preserve">The </w:t>
      </w:r>
      <w:r w:rsidRPr="0035330B">
        <w:rPr>
          <w:rFonts w:ascii="Times New Roman" w:hAnsi="Times New Roman" w:cs="Times New Roman"/>
          <w:i/>
          <w:sz w:val="24"/>
          <w:szCs w:val="24"/>
        </w:rPr>
        <w:t>R</w:t>
      </w:r>
      <w:r w:rsidRPr="0035330B">
        <w:rPr>
          <w:rFonts w:ascii="Times New Roman" w:hAnsi="Times New Roman" w:cs="Times New Roman"/>
          <w:i/>
          <w:sz w:val="24"/>
          <w:szCs w:val="24"/>
          <w:vertAlign w:val="superscript"/>
        </w:rPr>
        <w:t>2</w:t>
      </w:r>
      <w:r w:rsidRPr="0035330B">
        <w:rPr>
          <w:rFonts w:ascii="Times New Roman" w:hAnsi="Times New Roman" w:cs="Times New Roman"/>
          <w:sz w:val="24"/>
          <w:szCs w:val="24"/>
        </w:rPr>
        <w:t xml:space="preserve"> values from the CCA analysis, which </w:t>
      </w:r>
      <w:r>
        <w:rPr>
          <w:rFonts w:ascii="Times New Roman" w:hAnsi="Times New Roman" w:cs="Times New Roman"/>
          <w:sz w:val="24"/>
          <w:szCs w:val="24"/>
        </w:rPr>
        <w:t>are</w:t>
      </w:r>
      <w:r w:rsidRPr="0035330B">
        <w:rPr>
          <w:rFonts w:ascii="Times New Roman" w:hAnsi="Times New Roman" w:cs="Times New Roman"/>
          <w:sz w:val="24"/>
          <w:szCs w:val="24"/>
        </w:rPr>
        <w:t xml:space="preserve"> measure</w:t>
      </w:r>
      <w:r>
        <w:rPr>
          <w:rFonts w:ascii="Times New Roman" w:hAnsi="Times New Roman" w:cs="Times New Roman"/>
          <w:sz w:val="24"/>
          <w:szCs w:val="24"/>
        </w:rPr>
        <w:t>s</w:t>
      </w:r>
      <w:r w:rsidRPr="0035330B">
        <w:rPr>
          <w:rFonts w:ascii="Times New Roman" w:hAnsi="Times New Roman" w:cs="Times New Roman"/>
          <w:sz w:val="24"/>
          <w:szCs w:val="24"/>
        </w:rPr>
        <w:t xml:space="preserve"> of the variance explained by the factor “shipping” on the bacterial community composition, were reduced by performing the deblooming analysis on only samples shipped back to the research facility. The variance explained (</w:t>
      </w:r>
      <w:r w:rsidRPr="0035330B">
        <w:rPr>
          <w:rFonts w:ascii="Times New Roman" w:hAnsi="Times New Roman" w:cs="Times New Roman"/>
          <w:i/>
          <w:sz w:val="24"/>
          <w:szCs w:val="24"/>
        </w:rPr>
        <w:t>R</w:t>
      </w:r>
      <w:r w:rsidRPr="0035330B">
        <w:rPr>
          <w:rFonts w:ascii="Times New Roman" w:hAnsi="Times New Roman" w:cs="Times New Roman"/>
          <w:i/>
          <w:sz w:val="24"/>
          <w:szCs w:val="24"/>
          <w:vertAlign w:val="superscript"/>
        </w:rPr>
        <w:t>2</w:t>
      </w:r>
      <w:r w:rsidRPr="0035330B">
        <w:rPr>
          <w:rFonts w:ascii="Times New Roman" w:hAnsi="Times New Roman" w:cs="Times New Roman"/>
          <w:sz w:val="24"/>
          <w:szCs w:val="24"/>
          <w:vertAlign w:val="superscript"/>
        </w:rPr>
        <w:t xml:space="preserve"> </w:t>
      </w:r>
      <w:r w:rsidRPr="0035330B">
        <w:rPr>
          <w:rFonts w:ascii="Times New Roman" w:hAnsi="Times New Roman" w:cs="Times New Roman"/>
          <w:sz w:val="24"/>
          <w:szCs w:val="24"/>
        </w:rPr>
        <w:t xml:space="preserve">value) was reduced from 4.5% to 3% by performing the deblooming analysis on only samples shipped back to the research facility. Although not ideal, we believe that this approach provided an objective analysis for performing the deblooming analysis in only samples shipped back to the research facility. </w:t>
      </w:r>
    </w:p>
    <w:p w14:paraId="4B49EEB7" w14:textId="77777777" w:rsidR="00081EA7" w:rsidRPr="0035330B" w:rsidRDefault="00081EA7" w:rsidP="00081EA7">
      <w:pPr>
        <w:spacing w:after="0"/>
        <w:ind w:firstLine="720"/>
        <w:rPr>
          <w:rFonts w:ascii="Times New Roman" w:hAnsi="Times New Roman" w:cs="Times New Roman"/>
          <w:sz w:val="24"/>
          <w:szCs w:val="24"/>
        </w:rPr>
      </w:pPr>
      <w:r w:rsidRPr="0035330B">
        <w:rPr>
          <w:rFonts w:ascii="Times New Roman" w:hAnsi="Times New Roman" w:cs="Times New Roman"/>
          <w:sz w:val="24"/>
          <w:szCs w:val="24"/>
        </w:rPr>
        <w:t xml:space="preserve">Additionally, Bokulich et al. </w:t>
      </w:r>
      <w:r w:rsidRPr="00802211">
        <w:rPr>
          <w:rFonts w:ascii="Times New Roman" w:hAnsi="Times New Roman" w:cs="Times New Roman"/>
          <w:sz w:val="24"/>
          <w:szCs w:val="24"/>
        </w:rPr>
        <w:t>(</w:t>
      </w:r>
      <w:proofErr w:type="spellStart"/>
      <w:r w:rsidRPr="00802211">
        <w:rPr>
          <w:rFonts w:ascii="Times New Roman" w:hAnsi="Times New Roman" w:cs="Times New Roman"/>
          <w:sz w:val="24"/>
          <w:szCs w:val="24"/>
        </w:rPr>
        <w:t>Bokulich</w:t>
      </w:r>
      <w:proofErr w:type="spellEnd"/>
      <w:r w:rsidRPr="00802211">
        <w:rPr>
          <w:rFonts w:ascii="Times New Roman" w:hAnsi="Times New Roman" w:cs="Times New Roman"/>
          <w:sz w:val="24"/>
          <w:szCs w:val="24"/>
        </w:rPr>
        <w:t xml:space="preserve">, Maldonado, Kang, </w:t>
      </w:r>
      <w:proofErr w:type="spellStart"/>
      <w:r w:rsidRPr="00802211">
        <w:rPr>
          <w:rFonts w:ascii="Times New Roman" w:hAnsi="Times New Roman" w:cs="Times New Roman"/>
          <w:sz w:val="24"/>
          <w:szCs w:val="24"/>
        </w:rPr>
        <w:t>Krajmalnik</w:t>
      </w:r>
      <w:proofErr w:type="spellEnd"/>
      <w:r w:rsidRPr="00802211">
        <w:rPr>
          <w:rFonts w:ascii="Times New Roman" w:hAnsi="Times New Roman" w:cs="Times New Roman"/>
          <w:sz w:val="24"/>
          <w:szCs w:val="24"/>
        </w:rPr>
        <w:t xml:space="preserve">-Brown, &amp; </w:t>
      </w:r>
      <w:proofErr w:type="spellStart"/>
      <w:r w:rsidRPr="00802211">
        <w:rPr>
          <w:rFonts w:ascii="Times New Roman" w:hAnsi="Times New Roman" w:cs="Times New Roman"/>
          <w:sz w:val="24"/>
          <w:szCs w:val="24"/>
        </w:rPr>
        <w:t>Caporaso</w:t>
      </w:r>
      <w:proofErr w:type="spellEnd"/>
      <w:r w:rsidRPr="00802211">
        <w:rPr>
          <w:rFonts w:ascii="Times New Roman" w:hAnsi="Times New Roman" w:cs="Times New Roman"/>
          <w:sz w:val="24"/>
          <w:szCs w:val="24"/>
        </w:rPr>
        <w:t>, 2019)</w:t>
      </w:r>
      <w:r w:rsidRPr="0035330B">
        <w:rPr>
          <w:rFonts w:ascii="Times New Roman" w:hAnsi="Times New Roman" w:cs="Times New Roman"/>
          <w:sz w:val="24"/>
          <w:szCs w:val="24"/>
        </w:rPr>
        <w:t xml:space="preserve"> showed that the taxa that artificially bloom in fecal samples exposed to room temperature conditions for extended periods of time are overrepresented by members of the Enterobacteriaceae family. For this reason, we also examined all the </w:t>
      </w:r>
      <w:proofErr w:type="spellStart"/>
      <w:r w:rsidRPr="0035330B">
        <w:rPr>
          <w:rFonts w:ascii="Times New Roman" w:hAnsi="Times New Roman" w:cs="Times New Roman"/>
          <w:sz w:val="24"/>
          <w:szCs w:val="24"/>
        </w:rPr>
        <w:t>sOTUs</w:t>
      </w:r>
      <w:proofErr w:type="spellEnd"/>
      <w:r w:rsidRPr="0035330B">
        <w:rPr>
          <w:rFonts w:ascii="Times New Roman" w:hAnsi="Times New Roman" w:cs="Times New Roman"/>
          <w:sz w:val="24"/>
          <w:szCs w:val="24"/>
        </w:rPr>
        <w:t xml:space="preserve"> in our dataset belonging to the Enter</w:t>
      </w:r>
      <w:r>
        <w:rPr>
          <w:rFonts w:ascii="Times New Roman" w:hAnsi="Times New Roman" w:cs="Times New Roman"/>
          <w:sz w:val="24"/>
          <w:szCs w:val="24"/>
        </w:rPr>
        <w:t>ob</w:t>
      </w:r>
      <w:r w:rsidRPr="0035330B">
        <w:rPr>
          <w:rFonts w:ascii="Times New Roman" w:hAnsi="Times New Roman" w:cs="Times New Roman"/>
          <w:sz w:val="24"/>
          <w:szCs w:val="24"/>
        </w:rPr>
        <w:t xml:space="preserve">acteriaceae family for significant correlation with transit days to ensure that our initial deblooming analysis did not overlook other taxa that may have bloomed. We found 21 </w:t>
      </w:r>
      <w:proofErr w:type="spellStart"/>
      <w:r w:rsidRPr="0035330B">
        <w:rPr>
          <w:rFonts w:ascii="Times New Roman" w:hAnsi="Times New Roman" w:cs="Times New Roman"/>
          <w:sz w:val="24"/>
          <w:szCs w:val="24"/>
        </w:rPr>
        <w:t>sOTUs</w:t>
      </w:r>
      <w:proofErr w:type="spellEnd"/>
      <w:r w:rsidRPr="0035330B">
        <w:rPr>
          <w:rFonts w:ascii="Times New Roman" w:hAnsi="Times New Roman" w:cs="Times New Roman"/>
          <w:sz w:val="24"/>
          <w:szCs w:val="24"/>
        </w:rPr>
        <w:t xml:space="preserve"> in our dataset belonging to the Enterobacteriaceae family. The results for the correlations run for each </w:t>
      </w:r>
      <w:proofErr w:type="spellStart"/>
      <w:r w:rsidRPr="0035330B">
        <w:rPr>
          <w:rFonts w:ascii="Times New Roman" w:hAnsi="Times New Roman" w:cs="Times New Roman"/>
          <w:sz w:val="24"/>
          <w:szCs w:val="24"/>
        </w:rPr>
        <w:t>sOTU</w:t>
      </w:r>
      <w:proofErr w:type="spellEnd"/>
      <w:r w:rsidRPr="0035330B">
        <w:rPr>
          <w:rFonts w:ascii="Times New Roman" w:hAnsi="Times New Roman" w:cs="Times New Roman"/>
          <w:sz w:val="24"/>
          <w:szCs w:val="24"/>
        </w:rPr>
        <w:t xml:space="preserve"> against transit days can be found in </w:t>
      </w:r>
      <w:r w:rsidRPr="0035330B">
        <w:rPr>
          <w:rFonts w:ascii="Times New Roman" w:hAnsi="Times New Roman" w:cs="Times New Roman"/>
          <w:b/>
          <w:bCs/>
          <w:sz w:val="24"/>
          <w:szCs w:val="24"/>
        </w:rPr>
        <w:t>Supplemental Table 1</w:t>
      </w:r>
      <w:r w:rsidRPr="0035330B">
        <w:rPr>
          <w:rFonts w:ascii="Times New Roman" w:hAnsi="Times New Roman" w:cs="Times New Roman"/>
          <w:sz w:val="24"/>
          <w:szCs w:val="24"/>
        </w:rPr>
        <w:t xml:space="preserve">. </w:t>
      </w:r>
    </w:p>
    <w:p w14:paraId="4F8163F0" w14:textId="72FCC6FE" w:rsidR="0065420A" w:rsidRDefault="0065420A" w:rsidP="00081EA7">
      <w:pPr>
        <w:suppressLineNumbers/>
        <w:spacing w:after="0" w:line="240" w:lineRule="auto"/>
        <w:rPr>
          <w:rFonts w:ascii="Times New Roman" w:hAnsi="Times New Roman" w:cs="Times New Roman"/>
          <w:sz w:val="24"/>
          <w:szCs w:val="24"/>
        </w:rPr>
      </w:pPr>
    </w:p>
    <w:p w14:paraId="2F8AE46E" w14:textId="7E6A1843" w:rsidR="00081EA7" w:rsidRDefault="00081EA7" w:rsidP="00081EA7">
      <w:pPr>
        <w:suppressLineNumbers/>
        <w:spacing w:after="0" w:line="240" w:lineRule="auto"/>
        <w:rPr>
          <w:rFonts w:ascii="Times New Roman" w:hAnsi="Times New Roman" w:cs="Times New Roman"/>
          <w:sz w:val="24"/>
          <w:szCs w:val="24"/>
        </w:rPr>
      </w:pPr>
    </w:p>
    <w:p w14:paraId="4731CD68" w14:textId="5CA1ED6A" w:rsidR="00081EA7" w:rsidRDefault="00081EA7" w:rsidP="00081EA7">
      <w:pPr>
        <w:suppressLineNumbers/>
        <w:spacing w:after="0" w:line="240" w:lineRule="auto"/>
        <w:rPr>
          <w:rFonts w:ascii="Times New Roman" w:hAnsi="Times New Roman" w:cs="Times New Roman"/>
          <w:sz w:val="24"/>
          <w:szCs w:val="24"/>
        </w:rPr>
      </w:pPr>
    </w:p>
    <w:p w14:paraId="03A4AB7C" w14:textId="466B86E9" w:rsidR="00081EA7" w:rsidRPr="0035330B" w:rsidRDefault="00081EA7" w:rsidP="00081EA7">
      <w:pPr>
        <w:spacing w:after="0" w:line="240" w:lineRule="auto"/>
        <w:rPr>
          <w:rFonts w:ascii="Times New Roman" w:hAnsi="Times New Roman" w:cs="Times New Roman"/>
          <w:sz w:val="19"/>
          <w:szCs w:val="19"/>
        </w:rPr>
      </w:pPr>
      <w:r w:rsidRPr="0035330B">
        <w:rPr>
          <w:rFonts w:ascii="Times New Roman" w:hAnsi="Times New Roman" w:cs="Times New Roman"/>
          <w:b/>
          <w:bCs/>
          <w:sz w:val="19"/>
          <w:szCs w:val="19"/>
        </w:rPr>
        <w:t xml:space="preserve">Supplemental Table </w:t>
      </w:r>
      <w:r w:rsidR="00C3248B">
        <w:rPr>
          <w:rFonts w:ascii="Times New Roman" w:hAnsi="Times New Roman" w:cs="Times New Roman"/>
          <w:b/>
          <w:bCs/>
          <w:sz w:val="19"/>
          <w:szCs w:val="19"/>
        </w:rPr>
        <w:t>1</w:t>
      </w:r>
      <w:r w:rsidRPr="0035330B">
        <w:rPr>
          <w:rFonts w:ascii="Times New Roman" w:hAnsi="Times New Roman" w:cs="Times New Roman"/>
          <w:b/>
          <w:bCs/>
          <w:sz w:val="19"/>
          <w:szCs w:val="19"/>
        </w:rPr>
        <w:t>.</w:t>
      </w:r>
      <w:r w:rsidRPr="0035330B">
        <w:rPr>
          <w:rFonts w:ascii="Times New Roman" w:hAnsi="Times New Roman" w:cs="Times New Roman"/>
          <w:sz w:val="19"/>
          <w:szCs w:val="19"/>
        </w:rPr>
        <w:t xml:space="preserve"> </w:t>
      </w:r>
      <w:r w:rsidRPr="0035330B">
        <w:rPr>
          <w:rFonts w:ascii="Times New Roman" w:hAnsi="Times New Roman" w:cs="Times New Roman"/>
          <w:b/>
          <w:bCs/>
          <w:sz w:val="19"/>
          <w:szCs w:val="19"/>
        </w:rPr>
        <w:t xml:space="preserve">Table of correlation results of </w:t>
      </w:r>
      <w:proofErr w:type="spellStart"/>
      <w:r w:rsidRPr="0035330B">
        <w:rPr>
          <w:rFonts w:ascii="Times New Roman" w:hAnsi="Times New Roman" w:cs="Times New Roman"/>
          <w:b/>
          <w:bCs/>
          <w:sz w:val="19"/>
          <w:szCs w:val="19"/>
        </w:rPr>
        <w:t>sOTUs</w:t>
      </w:r>
      <w:proofErr w:type="spellEnd"/>
      <w:r w:rsidRPr="0035330B">
        <w:rPr>
          <w:rFonts w:ascii="Times New Roman" w:hAnsi="Times New Roman" w:cs="Times New Roman"/>
          <w:b/>
          <w:bCs/>
          <w:sz w:val="19"/>
          <w:szCs w:val="19"/>
        </w:rPr>
        <w:t xml:space="preserve"> belonging to the family of Enterobacteriaceae against transit days.</w:t>
      </w:r>
      <w:r w:rsidRPr="0035330B">
        <w:rPr>
          <w:rFonts w:ascii="Times New Roman" w:hAnsi="Times New Roman" w:cs="Times New Roman"/>
          <w:sz w:val="19"/>
          <w:szCs w:val="19"/>
        </w:rPr>
        <w:t xml:space="preserve"> </w:t>
      </w:r>
    </w:p>
    <w:p w14:paraId="5F5370D0" w14:textId="77777777" w:rsidR="00081EA7" w:rsidRDefault="00081EA7" w:rsidP="00081EA7">
      <w:pPr>
        <w:rPr>
          <w:noProof/>
        </w:rPr>
      </w:pPr>
      <w:r>
        <w:rPr>
          <w:noProof/>
        </w:rPr>
        <w:drawing>
          <wp:inline distT="0" distB="0" distL="0" distR="0" wp14:anchorId="1017CA5D" wp14:editId="7BBB0ED9">
            <wp:extent cx="5943600" cy="3152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l="5460" t="7494" r="7681" b="32994"/>
                    <a:stretch>
                      <a:fillRect/>
                    </a:stretch>
                  </pic:blipFill>
                  <pic:spPr bwMode="auto">
                    <a:xfrm>
                      <a:off x="0" y="0"/>
                      <a:ext cx="5943600" cy="3152140"/>
                    </a:xfrm>
                    <a:prstGeom prst="rect">
                      <a:avLst/>
                    </a:prstGeom>
                    <a:noFill/>
                    <a:ln>
                      <a:noFill/>
                    </a:ln>
                  </pic:spPr>
                </pic:pic>
              </a:graphicData>
            </a:graphic>
          </wp:inline>
        </w:drawing>
      </w:r>
    </w:p>
    <w:p w14:paraId="1F1BC151" w14:textId="77777777" w:rsidR="00081EA7" w:rsidRPr="0035330B" w:rsidRDefault="00081EA7" w:rsidP="00081EA7">
      <w:pPr>
        <w:tabs>
          <w:tab w:val="left" w:pos="9330"/>
        </w:tabs>
        <w:spacing w:after="0"/>
        <w:rPr>
          <w:rFonts w:ascii="Times New Roman" w:hAnsi="Times New Roman" w:cs="Times New Roman"/>
          <w:sz w:val="24"/>
          <w:szCs w:val="24"/>
        </w:rPr>
      </w:pPr>
      <w:r>
        <w:rPr>
          <w:noProof/>
        </w:rPr>
        <w:t xml:space="preserve">             </w:t>
      </w:r>
      <w:r w:rsidRPr="0035330B">
        <w:rPr>
          <w:rFonts w:ascii="Times New Roman" w:hAnsi="Times New Roman" w:cs="Times New Roman"/>
          <w:sz w:val="24"/>
          <w:szCs w:val="24"/>
        </w:rPr>
        <w:t xml:space="preserve">There was only 1 </w:t>
      </w:r>
      <w:proofErr w:type="spellStart"/>
      <w:r w:rsidRPr="0035330B">
        <w:rPr>
          <w:rFonts w:ascii="Times New Roman" w:hAnsi="Times New Roman" w:cs="Times New Roman"/>
          <w:sz w:val="24"/>
          <w:szCs w:val="24"/>
        </w:rPr>
        <w:t>sOTU</w:t>
      </w:r>
      <w:proofErr w:type="spellEnd"/>
      <w:r w:rsidRPr="0035330B">
        <w:rPr>
          <w:rFonts w:ascii="Times New Roman" w:hAnsi="Times New Roman" w:cs="Times New Roman"/>
          <w:sz w:val="24"/>
          <w:szCs w:val="24"/>
        </w:rPr>
        <w:t xml:space="preserve"> from the Enterobacteriaceae family that was significantly correlated with transit days (</w:t>
      </w:r>
      <w:proofErr w:type="spellStart"/>
      <w:r w:rsidRPr="0035330B">
        <w:rPr>
          <w:rFonts w:ascii="Times New Roman" w:hAnsi="Times New Roman" w:cs="Times New Roman"/>
          <w:sz w:val="24"/>
          <w:szCs w:val="24"/>
        </w:rPr>
        <w:t>sOTU</w:t>
      </w:r>
      <w:proofErr w:type="spellEnd"/>
      <w:r w:rsidRPr="0035330B">
        <w:rPr>
          <w:rFonts w:ascii="Times New Roman" w:hAnsi="Times New Roman" w:cs="Times New Roman"/>
          <w:sz w:val="24"/>
          <w:szCs w:val="24"/>
        </w:rPr>
        <w:t xml:space="preserve">: 4c8288bfbd76958c0c094d87b97650f8; Genus: </w:t>
      </w:r>
      <w:r w:rsidRPr="0035330B">
        <w:rPr>
          <w:rFonts w:ascii="Times New Roman" w:hAnsi="Times New Roman" w:cs="Times New Roman"/>
          <w:i/>
          <w:iCs/>
          <w:sz w:val="24"/>
          <w:szCs w:val="24"/>
        </w:rPr>
        <w:t>Escherichia-Shigella</w:t>
      </w:r>
      <w:r w:rsidRPr="0035330B">
        <w:rPr>
          <w:rFonts w:ascii="Times New Roman" w:hAnsi="Times New Roman" w:cs="Times New Roman"/>
          <w:sz w:val="24"/>
          <w:szCs w:val="24"/>
        </w:rPr>
        <w:t xml:space="preserve">; Species: Unknown). This </w:t>
      </w:r>
      <w:proofErr w:type="spellStart"/>
      <w:r w:rsidRPr="0035330B">
        <w:rPr>
          <w:rFonts w:ascii="Times New Roman" w:hAnsi="Times New Roman" w:cs="Times New Roman"/>
          <w:sz w:val="24"/>
          <w:szCs w:val="24"/>
        </w:rPr>
        <w:t>sOTU</w:t>
      </w:r>
      <w:proofErr w:type="spellEnd"/>
      <w:r w:rsidRPr="0035330B">
        <w:rPr>
          <w:rFonts w:ascii="Times New Roman" w:hAnsi="Times New Roman" w:cs="Times New Roman"/>
          <w:sz w:val="24"/>
          <w:szCs w:val="24"/>
        </w:rPr>
        <w:t xml:space="preserve"> was also identified by Amir et al.</w:t>
      </w:r>
      <w:r>
        <w:rPr>
          <w:rFonts w:ascii="Times New Roman" w:hAnsi="Times New Roman" w:cs="Times New Roman"/>
          <w:sz w:val="24"/>
          <w:szCs w:val="24"/>
        </w:rPr>
        <w:t xml:space="preserve"> </w:t>
      </w:r>
      <w:r w:rsidRPr="00802211">
        <w:rPr>
          <w:rFonts w:ascii="Times New Roman" w:hAnsi="Times New Roman" w:cs="Times New Roman"/>
          <w:sz w:val="24"/>
          <w:szCs w:val="24"/>
        </w:rPr>
        <w:t xml:space="preserve">(Amir, McDonald, </w:t>
      </w:r>
      <w:proofErr w:type="spellStart"/>
      <w:r w:rsidRPr="00802211">
        <w:rPr>
          <w:rFonts w:ascii="Times New Roman" w:hAnsi="Times New Roman" w:cs="Times New Roman"/>
          <w:sz w:val="24"/>
          <w:szCs w:val="24"/>
        </w:rPr>
        <w:t>Navas</w:t>
      </w:r>
      <w:proofErr w:type="spellEnd"/>
      <w:r w:rsidRPr="00802211">
        <w:rPr>
          <w:rFonts w:ascii="Times New Roman" w:hAnsi="Times New Roman" w:cs="Times New Roman"/>
          <w:sz w:val="24"/>
          <w:szCs w:val="24"/>
        </w:rPr>
        <w:t xml:space="preserve">-Molina, </w:t>
      </w:r>
      <w:proofErr w:type="spellStart"/>
      <w:r w:rsidRPr="00802211">
        <w:rPr>
          <w:rFonts w:ascii="Times New Roman" w:hAnsi="Times New Roman" w:cs="Times New Roman"/>
          <w:sz w:val="24"/>
          <w:szCs w:val="24"/>
        </w:rPr>
        <w:t>Kopylova</w:t>
      </w:r>
      <w:proofErr w:type="spellEnd"/>
      <w:r w:rsidRPr="00802211">
        <w:rPr>
          <w:rFonts w:ascii="Times New Roman" w:hAnsi="Times New Roman" w:cs="Times New Roman"/>
          <w:sz w:val="24"/>
          <w:szCs w:val="24"/>
        </w:rPr>
        <w:t>, et al., 2017)</w:t>
      </w:r>
      <w:r w:rsidRPr="0035330B">
        <w:rPr>
          <w:rFonts w:ascii="Times New Roman" w:hAnsi="Times New Roman" w:cs="Times New Roman"/>
          <w:sz w:val="24"/>
          <w:szCs w:val="24"/>
        </w:rPr>
        <w:t>, and therefore was already removed from the dataset during the initial deblooming analysis. Consequently, in this report we have used data derived from deblooming of only the samples shipped back to the research facility.</w:t>
      </w:r>
    </w:p>
    <w:p w14:paraId="06D40D88" w14:textId="77777777" w:rsidR="00081EA7" w:rsidRDefault="00081EA7" w:rsidP="00081EA7">
      <w:pPr>
        <w:rPr>
          <w:rFonts w:ascii="Times New Roman" w:hAnsi="Times New Roman" w:cs="Times New Roman"/>
        </w:rPr>
      </w:pPr>
      <w:r>
        <w:rPr>
          <w:rFonts w:ascii="Times New Roman" w:hAnsi="Times New Roman" w:cs="Times New Roman"/>
        </w:rPr>
        <w:t xml:space="preserve"> </w:t>
      </w:r>
    </w:p>
    <w:p w14:paraId="4B1DE528" w14:textId="0BC523EA" w:rsidR="00081EA7" w:rsidRDefault="00081EA7" w:rsidP="00081EA7">
      <w:pPr>
        <w:suppressLineNumbers/>
        <w:spacing w:after="0" w:line="240" w:lineRule="auto"/>
        <w:rPr>
          <w:rFonts w:ascii="Times New Roman" w:hAnsi="Times New Roman" w:cs="Times New Roman"/>
          <w:sz w:val="24"/>
          <w:szCs w:val="24"/>
        </w:rPr>
      </w:pPr>
    </w:p>
    <w:p w14:paraId="41666BFC" w14:textId="77777777" w:rsidR="00081EA7" w:rsidRPr="00081EA7" w:rsidRDefault="00081EA7" w:rsidP="00081EA7">
      <w:pPr>
        <w:suppressLineNumbers/>
        <w:spacing w:after="0" w:line="240" w:lineRule="auto"/>
        <w:rPr>
          <w:rFonts w:ascii="Times New Roman" w:hAnsi="Times New Roman" w:cs="Times New Roman"/>
          <w:sz w:val="24"/>
          <w:szCs w:val="24"/>
        </w:rPr>
      </w:pPr>
    </w:p>
    <w:sectPr w:rsidR="00081EA7" w:rsidRPr="00081EA7" w:rsidSect="00197D2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42121A" w14:textId="77777777" w:rsidR="00497A02" w:rsidRDefault="00497A02" w:rsidP="005B24B5">
      <w:pPr>
        <w:spacing w:after="0" w:line="240" w:lineRule="auto"/>
      </w:pPr>
      <w:r>
        <w:separator/>
      </w:r>
    </w:p>
  </w:endnote>
  <w:endnote w:type="continuationSeparator" w:id="0">
    <w:p w14:paraId="4F3603C6" w14:textId="77777777" w:rsidR="00497A02" w:rsidRDefault="00497A02" w:rsidP="005B24B5">
      <w:pPr>
        <w:spacing w:after="0" w:line="240" w:lineRule="auto"/>
      </w:pPr>
      <w:r>
        <w:continuationSeparator/>
      </w:r>
    </w:p>
  </w:endnote>
  <w:endnote w:type="continuationNotice" w:id="1">
    <w:p w14:paraId="166A7538" w14:textId="77777777" w:rsidR="00497A02" w:rsidRDefault="00497A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BAB531" w14:textId="77777777" w:rsidR="00497A02" w:rsidRDefault="00497A02" w:rsidP="005B24B5">
      <w:pPr>
        <w:spacing w:after="0" w:line="240" w:lineRule="auto"/>
      </w:pPr>
      <w:r>
        <w:separator/>
      </w:r>
    </w:p>
  </w:footnote>
  <w:footnote w:type="continuationSeparator" w:id="0">
    <w:p w14:paraId="33C38633" w14:textId="77777777" w:rsidR="00497A02" w:rsidRDefault="00497A02" w:rsidP="005B24B5">
      <w:pPr>
        <w:spacing w:after="0" w:line="240" w:lineRule="auto"/>
      </w:pPr>
      <w:r>
        <w:continuationSeparator/>
      </w:r>
    </w:p>
  </w:footnote>
  <w:footnote w:type="continuationNotice" w:id="1">
    <w:p w14:paraId="71A506FF" w14:textId="77777777" w:rsidR="00497A02" w:rsidRDefault="00497A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9271351"/>
      <w:docPartObj>
        <w:docPartGallery w:val="Page Numbers (Top of Page)"/>
        <w:docPartUnique/>
      </w:docPartObj>
    </w:sdtPr>
    <w:sdtEndPr>
      <w:rPr>
        <w:noProof/>
      </w:rPr>
    </w:sdtEndPr>
    <w:sdtContent>
      <w:p w14:paraId="2999C9F2" w14:textId="16BB9DCF" w:rsidR="00A8229A" w:rsidRDefault="00A8229A">
        <w:pPr>
          <w:pStyle w:val="Header"/>
          <w:jc w:val="right"/>
        </w:pPr>
        <w:r>
          <w:fldChar w:fldCharType="begin"/>
        </w:r>
        <w:r>
          <w:instrText xml:space="preserve"> PAGE   \* MERGEFORMAT </w:instrText>
        </w:r>
        <w:r>
          <w:fldChar w:fldCharType="separate"/>
        </w:r>
        <w:r>
          <w:rPr>
            <w:noProof/>
          </w:rPr>
          <w:t>3</w:t>
        </w:r>
        <w:r>
          <w:rPr>
            <w:noProof/>
          </w:rPr>
          <w:fldChar w:fldCharType="end"/>
        </w:r>
      </w:p>
    </w:sdtContent>
  </w:sdt>
  <w:p w14:paraId="1BC49296" w14:textId="77777777" w:rsidR="00A8229A" w:rsidRDefault="00A822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61080A"/>
    <w:multiLevelType w:val="hybridMultilevel"/>
    <w:tmpl w:val="C908D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17749C"/>
    <w:multiLevelType w:val="hybridMultilevel"/>
    <w:tmpl w:val="C7128A8A"/>
    <w:lvl w:ilvl="0" w:tplc="0C6CD9A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0631F1"/>
    <w:multiLevelType w:val="hybridMultilevel"/>
    <w:tmpl w:val="6686BABC"/>
    <w:lvl w:ilvl="0" w:tplc="256282F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1748D9"/>
    <w:multiLevelType w:val="hybridMultilevel"/>
    <w:tmpl w:val="59D48DB2"/>
    <w:lvl w:ilvl="0" w:tplc="B1EC42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E53F7B"/>
    <w:multiLevelType w:val="hybridMultilevel"/>
    <w:tmpl w:val="449EB438"/>
    <w:lvl w:ilvl="0" w:tplc="188E5E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NbE0MTIwNzMxNzZR0lEKTi0uzszPAykwrAUAxF8hoCwAAAA="/>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2as9tv2zaewvaedvw6pffws0tpd9rptxpzx&quot;&gt;My EndNote Library_01.23.21&lt;record-ids&gt;&lt;item&gt;101&lt;/item&gt;&lt;item&gt;639&lt;/item&gt;&lt;item&gt;762&lt;/item&gt;&lt;item&gt;1082&lt;/item&gt;&lt;item&gt;1983&lt;/item&gt;&lt;item&gt;2339&lt;/item&gt;&lt;item&gt;2811&lt;/item&gt;&lt;item&gt;2812&lt;/item&gt;&lt;item&gt;2813&lt;/item&gt;&lt;item&gt;2814&lt;/item&gt;&lt;item&gt;2819&lt;/item&gt;&lt;item&gt;2827&lt;/item&gt;&lt;item&gt;2865&lt;/item&gt;&lt;item&gt;2866&lt;/item&gt;&lt;item&gt;2867&lt;/item&gt;&lt;item&gt;2868&lt;/item&gt;&lt;item&gt;2869&lt;/item&gt;&lt;item&gt;2870&lt;/item&gt;&lt;item&gt;2871&lt;/item&gt;&lt;item&gt;2872&lt;/item&gt;&lt;item&gt;2873&lt;/item&gt;&lt;item&gt;2874&lt;/item&gt;&lt;item&gt;2875&lt;/item&gt;&lt;/record-ids&gt;&lt;/item&gt;&lt;/Libraries&gt;"/>
  </w:docVars>
  <w:rsids>
    <w:rsidRoot w:val="00C32006"/>
    <w:rsid w:val="0000097E"/>
    <w:rsid w:val="00005284"/>
    <w:rsid w:val="0000638E"/>
    <w:rsid w:val="00010EDA"/>
    <w:rsid w:val="00013234"/>
    <w:rsid w:val="00013D3F"/>
    <w:rsid w:val="00014DA1"/>
    <w:rsid w:val="00020CBE"/>
    <w:rsid w:val="00021165"/>
    <w:rsid w:val="00021C22"/>
    <w:rsid w:val="000221BD"/>
    <w:rsid w:val="000223B7"/>
    <w:rsid w:val="00026B0C"/>
    <w:rsid w:val="00030B8C"/>
    <w:rsid w:val="00031BB8"/>
    <w:rsid w:val="00031BED"/>
    <w:rsid w:val="000339E8"/>
    <w:rsid w:val="00035F45"/>
    <w:rsid w:val="00037A75"/>
    <w:rsid w:val="0004094A"/>
    <w:rsid w:val="000416EF"/>
    <w:rsid w:val="0004436B"/>
    <w:rsid w:val="00044C3E"/>
    <w:rsid w:val="00045897"/>
    <w:rsid w:val="000464EB"/>
    <w:rsid w:val="00046551"/>
    <w:rsid w:val="00054298"/>
    <w:rsid w:val="00056A24"/>
    <w:rsid w:val="00057C89"/>
    <w:rsid w:val="00061005"/>
    <w:rsid w:val="00063B31"/>
    <w:rsid w:val="00067403"/>
    <w:rsid w:val="00067468"/>
    <w:rsid w:val="00067968"/>
    <w:rsid w:val="0007151E"/>
    <w:rsid w:val="000717A1"/>
    <w:rsid w:val="0007707F"/>
    <w:rsid w:val="00077218"/>
    <w:rsid w:val="00081EA7"/>
    <w:rsid w:val="0008226D"/>
    <w:rsid w:val="0008227E"/>
    <w:rsid w:val="00086358"/>
    <w:rsid w:val="00090C34"/>
    <w:rsid w:val="000921D0"/>
    <w:rsid w:val="00094733"/>
    <w:rsid w:val="0009492A"/>
    <w:rsid w:val="00094AE5"/>
    <w:rsid w:val="0009648B"/>
    <w:rsid w:val="00096FE6"/>
    <w:rsid w:val="000971FC"/>
    <w:rsid w:val="000A0C63"/>
    <w:rsid w:val="000A13AF"/>
    <w:rsid w:val="000A22D2"/>
    <w:rsid w:val="000A4263"/>
    <w:rsid w:val="000A4E49"/>
    <w:rsid w:val="000A5929"/>
    <w:rsid w:val="000A6EEC"/>
    <w:rsid w:val="000A785F"/>
    <w:rsid w:val="000B0790"/>
    <w:rsid w:val="000B2679"/>
    <w:rsid w:val="000B29D5"/>
    <w:rsid w:val="000B31FC"/>
    <w:rsid w:val="000B3591"/>
    <w:rsid w:val="000B3932"/>
    <w:rsid w:val="000B5079"/>
    <w:rsid w:val="000B72A8"/>
    <w:rsid w:val="000C02C0"/>
    <w:rsid w:val="000C1C0A"/>
    <w:rsid w:val="000C2A56"/>
    <w:rsid w:val="000C74ED"/>
    <w:rsid w:val="000D0483"/>
    <w:rsid w:val="000D3573"/>
    <w:rsid w:val="000D37F2"/>
    <w:rsid w:val="000E0CBE"/>
    <w:rsid w:val="000E4E41"/>
    <w:rsid w:val="000E4F07"/>
    <w:rsid w:val="000E76BB"/>
    <w:rsid w:val="000E7A10"/>
    <w:rsid w:val="000F01CA"/>
    <w:rsid w:val="000F03D1"/>
    <w:rsid w:val="000F72FA"/>
    <w:rsid w:val="000F764D"/>
    <w:rsid w:val="00100196"/>
    <w:rsid w:val="00100E83"/>
    <w:rsid w:val="00101F36"/>
    <w:rsid w:val="001022D7"/>
    <w:rsid w:val="0010307B"/>
    <w:rsid w:val="00103E03"/>
    <w:rsid w:val="00104961"/>
    <w:rsid w:val="0010524C"/>
    <w:rsid w:val="001123E5"/>
    <w:rsid w:val="001136AE"/>
    <w:rsid w:val="00114546"/>
    <w:rsid w:val="001167B6"/>
    <w:rsid w:val="001247B7"/>
    <w:rsid w:val="00125E33"/>
    <w:rsid w:val="0013175C"/>
    <w:rsid w:val="00135731"/>
    <w:rsid w:val="00140B06"/>
    <w:rsid w:val="00140D84"/>
    <w:rsid w:val="001410CE"/>
    <w:rsid w:val="00143A6A"/>
    <w:rsid w:val="00151660"/>
    <w:rsid w:val="00151CE9"/>
    <w:rsid w:val="001556A5"/>
    <w:rsid w:val="001564F2"/>
    <w:rsid w:val="00156EF7"/>
    <w:rsid w:val="0016334C"/>
    <w:rsid w:val="0016397F"/>
    <w:rsid w:val="00165F9D"/>
    <w:rsid w:val="00167D34"/>
    <w:rsid w:val="00167D5E"/>
    <w:rsid w:val="00170D10"/>
    <w:rsid w:val="00170F82"/>
    <w:rsid w:val="00171525"/>
    <w:rsid w:val="0017700A"/>
    <w:rsid w:val="00180A24"/>
    <w:rsid w:val="0018284F"/>
    <w:rsid w:val="001875FC"/>
    <w:rsid w:val="001902D0"/>
    <w:rsid w:val="00190CAC"/>
    <w:rsid w:val="00191962"/>
    <w:rsid w:val="001944CF"/>
    <w:rsid w:val="00195604"/>
    <w:rsid w:val="00197859"/>
    <w:rsid w:val="00197D2E"/>
    <w:rsid w:val="001A43C7"/>
    <w:rsid w:val="001A5AF2"/>
    <w:rsid w:val="001A6C7E"/>
    <w:rsid w:val="001A7E57"/>
    <w:rsid w:val="001B0BDD"/>
    <w:rsid w:val="001B13FD"/>
    <w:rsid w:val="001B39F2"/>
    <w:rsid w:val="001B4CAB"/>
    <w:rsid w:val="001B7097"/>
    <w:rsid w:val="001B72A4"/>
    <w:rsid w:val="001C1EE1"/>
    <w:rsid w:val="001C5FD2"/>
    <w:rsid w:val="001D103A"/>
    <w:rsid w:val="001D7F9D"/>
    <w:rsid w:val="001E3A23"/>
    <w:rsid w:val="001E445E"/>
    <w:rsid w:val="001E4C6B"/>
    <w:rsid w:val="001E5223"/>
    <w:rsid w:val="001E67E6"/>
    <w:rsid w:val="001F0FB9"/>
    <w:rsid w:val="001F14E1"/>
    <w:rsid w:val="001F22DC"/>
    <w:rsid w:val="001F2DD2"/>
    <w:rsid w:val="001F3CB5"/>
    <w:rsid w:val="001F5866"/>
    <w:rsid w:val="001F677F"/>
    <w:rsid w:val="001F6990"/>
    <w:rsid w:val="001F7F70"/>
    <w:rsid w:val="00201053"/>
    <w:rsid w:val="00201616"/>
    <w:rsid w:val="002017F0"/>
    <w:rsid w:val="00204EC5"/>
    <w:rsid w:val="00205335"/>
    <w:rsid w:val="00205A07"/>
    <w:rsid w:val="0020613C"/>
    <w:rsid w:val="0020634B"/>
    <w:rsid w:val="00206437"/>
    <w:rsid w:val="00207321"/>
    <w:rsid w:val="002074D7"/>
    <w:rsid w:val="00213E60"/>
    <w:rsid w:val="00214085"/>
    <w:rsid w:val="00214459"/>
    <w:rsid w:val="00217454"/>
    <w:rsid w:val="00224569"/>
    <w:rsid w:val="002257D2"/>
    <w:rsid w:val="00233B5B"/>
    <w:rsid w:val="00236CDA"/>
    <w:rsid w:val="00237C3F"/>
    <w:rsid w:val="002463B5"/>
    <w:rsid w:val="002463ED"/>
    <w:rsid w:val="00247403"/>
    <w:rsid w:val="0025099F"/>
    <w:rsid w:val="00252790"/>
    <w:rsid w:val="00252A65"/>
    <w:rsid w:val="00254B42"/>
    <w:rsid w:val="00254CF2"/>
    <w:rsid w:val="00266EB0"/>
    <w:rsid w:val="00270B3B"/>
    <w:rsid w:val="00270F8C"/>
    <w:rsid w:val="00273933"/>
    <w:rsid w:val="002740F5"/>
    <w:rsid w:val="00274A40"/>
    <w:rsid w:val="00277277"/>
    <w:rsid w:val="00281667"/>
    <w:rsid w:val="00284186"/>
    <w:rsid w:val="002845F1"/>
    <w:rsid w:val="00291071"/>
    <w:rsid w:val="002931B4"/>
    <w:rsid w:val="00293A8B"/>
    <w:rsid w:val="002942C5"/>
    <w:rsid w:val="00297B30"/>
    <w:rsid w:val="002A3236"/>
    <w:rsid w:val="002A362B"/>
    <w:rsid w:val="002A4C56"/>
    <w:rsid w:val="002A68DD"/>
    <w:rsid w:val="002A7EEC"/>
    <w:rsid w:val="002B195A"/>
    <w:rsid w:val="002B28D5"/>
    <w:rsid w:val="002B3339"/>
    <w:rsid w:val="002B495D"/>
    <w:rsid w:val="002B6296"/>
    <w:rsid w:val="002B69B7"/>
    <w:rsid w:val="002B6F9F"/>
    <w:rsid w:val="002B7B4D"/>
    <w:rsid w:val="002C0CE9"/>
    <w:rsid w:val="002C19A9"/>
    <w:rsid w:val="002C2579"/>
    <w:rsid w:val="002C26DE"/>
    <w:rsid w:val="002C3C90"/>
    <w:rsid w:val="002C4DDB"/>
    <w:rsid w:val="002D0E42"/>
    <w:rsid w:val="002D2434"/>
    <w:rsid w:val="002D2C5F"/>
    <w:rsid w:val="002D2F78"/>
    <w:rsid w:val="002D4198"/>
    <w:rsid w:val="002E0463"/>
    <w:rsid w:val="002E2786"/>
    <w:rsid w:val="002E2B89"/>
    <w:rsid w:val="002E55D5"/>
    <w:rsid w:val="002E60D7"/>
    <w:rsid w:val="002F1859"/>
    <w:rsid w:val="002F2FD4"/>
    <w:rsid w:val="002F6871"/>
    <w:rsid w:val="002F7DFB"/>
    <w:rsid w:val="00301421"/>
    <w:rsid w:val="00301BF1"/>
    <w:rsid w:val="0030214E"/>
    <w:rsid w:val="00302B28"/>
    <w:rsid w:val="003113F1"/>
    <w:rsid w:val="00311BC2"/>
    <w:rsid w:val="00311F37"/>
    <w:rsid w:val="003125A1"/>
    <w:rsid w:val="00313FA9"/>
    <w:rsid w:val="00317993"/>
    <w:rsid w:val="00322FEC"/>
    <w:rsid w:val="00323BFB"/>
    <w:rsid w:val="0032469B"/>
    <w:rsid w:val="003279AF"/>
    <w:rsid w:val="003306EB"/>
    <w:rsid w:val="00333B36"/>
    <w:rsid w:val="0033492F"/>
    <w:rsid w:val="00334F10"/>
    <w:rsid w:val="00335259"/>
    <w:rsid w:val="003358F9"/>
    <w:rsid w:val="0033690B"/>
    <w:rsid w:val="00336C20"/>
    <w:rsid w:val="0033779C"/>
    <w:rsid w:val="003406BE"/>
    <w:rsid w:val="00343A6F"/>
    <w:rsid w:val="0034468D"/>
    <w:rsid w:val="003462D8"/>
    <w:rsid w:val="003467FE"/>
    <w:rsid w:val="00350AC6"/>
    <w:rsid w:val="003516EE"/>
    <w:rsid w:val="003542C1"/>
    <w:rsid w:val="0036157F"/>
    <w:rsid w:val="0036279D"/>
    <w:rsid w:val="00364312"/>
    <w:rsid w:val="00365420"/>
    <w:rsid w:val="00367054"/>
    <w:rsid w:val="00367AC2"/>
    <w:rsid w:val="00370F4B"/>
    <w:rsid w:val="00372B57"/>
    <w:rsid w:val="00380C7C"/>
    <w:rsid w:val="00381174"/>
    <w:rsid w:val="003814DA"/>
    <w:rsid w:val="003836BF"/>
    <w:rsid w:val="00384BA6"/>
    <w:rsid w:val="00386DD5"/>
    <w:rsid w:val="003903EF"/>
    <w:rsid w:val="00391D6B"/>
    <w:rsid w:val="00392139"/>
    <w:rsid w:val="0039678F"/>
    <w:rsid w:val="003A3EAE"/>
    <w:rsid w:val="003A3EC6"/>
    <w:rsid w:val="003A50D8"/>
    <w:rsid w:val="003A6AC9"/>
    <w:rsid w:val="003A7660"/>
    <w:rsid w:val="003B2538"/>
    <w:rsid w:val="003B4976"/>
    <w:rsid w:val="003B4C70"/>
    <w:rsid w:val="003B6082"/>
    <w:rsid w:val="003C274B"/>
    <w:rsid w:val="003C374B"/>
    <w:rsid w:val="003C3D46"/>
    <w:rsid w:val="003C4CF2"/>
    <w:rsid w:val="003C6048"/>
    <w:rsid w:val="003D0CE2"/>
    <w:rsid w:val="003D1902"/>
    <w:rsid w:val="003D3244"/>
    <w:rsid w:val="003D34B5"/>
    <w:rsid w:val="003D3CC3"/>
    <w:rsid w:val="003D5D26"/>
    <w:rsid w:val="003D6F07"/>
    <w:rsid w:val="003D7F05"/>
    <w:rsid w:val="003E2B84"/>
    <w:rsid w:val="003F361D"/>
    <w:rsid w:val="003F5325"/>
    <w:rsid w:val="003F783F"/>
    <w:rsid w:val="004008B9"/>
    <w:rsid w:val="00400E56"/>
    <w:rsid w:val="0040117C"/>
    <w:rsid w:val="00401F5F"/>
    <w:rsid w:val="00402A68"/>
    <w:rsid w:val="00403A32"/>
    <w:rsid w:val="00405E4E"/>
    <w:rsid w:val="00407012"/>
    <w:rsid w:val="00414869"/>
    <w:rsid w:val="00416AEC"/>
    <w:rsid w:val="00426CFA"/>
    <w:rsid w:val="0042741A"/>
    <w:rsid w:val="00427E49"/>
    <w:rsid w:val="00433CB7"/>
    <w:rsid w:val="00434326"/>
    <w:rsid w:val="004365B6"/>
    <w:rsid w:val="00442D5D"/>
    <w:rsid w:val="004447AA"/>
    <w:rsid w:val="00444B5F"/>
    <w:rsid w:val="004467F5"/>
    <w:rsid w:val="00447742"/>
    <w:rsid w:val="00450AA9"/>
    <w:rsid w:val="00457020"/>
    <w:rsid w:val="0046001E"/>
    <w:rsid w:val="00461FE4"/>
    <w:rsid w:val="00462AED"/>
    <w:rsid w:val="00463E3C"/>
    <w:rsid w:val="00465B52"/>
    <w:rsid w:val="00470FDF"/>
    <w:rsid w:val="004764FE"/>
    <w:rsid w:val="004826C1"/>
    <w:rsid w:val="00485C22"/>
    <w:rsid w:val="00491CED"/>
    <w:rsid w:val="00493274"/>
    <w:rsid w:val="00495650"/>
    <w:rsid w:val="00497A02"/>
    <w:rsid w:val="00497FBF"/>
    <w:rsid w:val="004A2DDA"/>
    <w:rsid w:val="004A308C"/>
    <w:rsid w:val="004A5ACE"/>
    <w:rsid w:val="004A6AD3"/>
    <w:rsid w:val="004A6E52"/>
    <w:rsid w:val="004A7CCE"/>
    <w:rsid w:val="004B2821"/>
    <w:rsid w:val="004B35AF"/>
    <w:rsid w:val="004B362E"/>
    <w:rsid w:val="004B4469"/>
    <w:rsid w:val="004B6E73"/>
    <w:rsid w:val="004B7757"/>
    <w:rsid w:val="004C186C"/>
    <w:rsid w:val="004C31EB"/>
    <w:rsid w:val="004C60F0"/>
    <w:rsid w:val="004D0A91"/>
    <w:rsid w:val="004D1920"/>
    <w:rsid w:val="004D1CF0"/>
    <w:rsid w:val="004D3015"/>
    <w:rsid w:val="004D4F28"/>
    <w:rsid w:val="004D60BA"/>
    <w:rsid w:val="004D7408"/>
    <w:rsid w:val="004D7878"/>
    <w:rsid w:val="004E0363"/>
    <w:rsid w:val="004E0389"/>
    <w:rsid w:val="004E1D81"/>
    <w:rsid w:val="004E25DC"/>
    <w:rsid w:val="004E46CD"/>
    <w:rsid w:val="004E6862"/>
    <w:rsid w:val="004F38AD"/>
    <w:rsid w:val="004F7687"/>
    <w:rsid w:val="00501495"/>
    <w:rsid w:val="0050150E"/>
    <w:rsid w:val="00501E41"/>
    <w:rsid w:val="00502177"/>
    <w:rsid w:val="00502CB3"/>
    <w:rsid w:val="00507234"/>
    <w:rsid w:val="00507D05"/>
    <w:rsid w:val="00512674"/>
    <w:rsid w:val="00512D22"/>
    <w:rsid w:val="0051464F"/>
    <w:rsid w:val="00514F9A"/>
    <w:rsid w:val="005164CF"/>
    <w:rsid w:val="00516CBA"/>
    <w:rsid w:val="00520D0D"/>
    <w:rsid w:val="00521B95"/>
    <w:rsid w:val="00523BED"/>
    <w:rsid w:val="0052561B"/>
    <w:rsid w:val="00530B67"/>
    <w:rsid w:val="00535EAC"/>
    <w:rsid w:val="00537AA9"/>
    <w:rsid w:val="00540094"/>
    <w:rsid w:val="0054025C"/>
    <w:rsid w:val="00542B7E"/>
    <w:rsid w:val="00542DFB"/>
    <w:rsid w:val="00544AEA"/>
    <w:rsid w:val="005452F0"/>
    <w:rsid w:val="005458E9"/>
    <w:rsid w:val="00550A98"/>
    <w:rsid w:val="00550EDF"/>
    <w:rsid w:val="00554131"/>
    <w:rsid w:val="00554CBF"/>
    <w:rsid w:val="005553C0"/>
    <w:rsid w:val="00565A0A"/>
    <w:rsid w:val="00570809"/>
    <w:rsid w:val="00571217"/>
    <w:rsid w:val="005811BC"/>
    <w:rsid w:val="00583433"/>
    <w:rsid w:val="00584359"/>
    <w:rsid w:val="00584C87"/>
    <w:rsid w:val="00585A5A"/>
    <w:rsid w:val="00585C8F"/>
    <w:rsid w:val="00587CEE"/>
    <w:rsid w:val="0059049A"/>
    <w:rsid w:val="0059256F"/>
    <w:rsid w:val="0059407C"/>
    <w:rsid w:val="005959A6"/>
    <w:rsid w:val="0059659C"/>
    <w:rsid w:val="005A0ECF"/>
    <w:rsid w:val="005A3626"/>
    <w:rsid w:val="005A3D24"/>
    <w:rsid w:val="005A58E4"/>
    <w:rsid w:val="005A59EF"/>
    <w:rsid w:val="005A71E6"/>
    <w:rsid w:val="005A7AD4"/>
    <w:rsid w:val="005B24B5"/>
    <w:rsid w:val="005B334A"/>
    <w:rsid w:val="005B35F1"/>
    <w:rsid w:val="005B41D8"/>
    <w:rsid w:val="005B58C6"/>
    <w:rsid w:val="005B6F60"/>
    <w:rsid w:val="005C0973"/>
    <w:rsid w:val="005C14ED"/>
    <w:rsid w:val="005C2670"/>
    <w:rsid w:val="005C2CDB"/>
    <w:rsid w:val="005C4405"/>
    <w:rsid w:val="005C4D56"/>
    <w:rsid w:val="005C53CF"/>
    <w:rsid w:val="005C546B"/>
    <w:rsid w:val="005C7688"/>
    <w:rsid w:val="005D2403"/>
    <w:rsid w:val="005D6379"/>
    <w:rsid w:val="005E1DFC"/>
    <w:rsid w:val="005E28EE"/>
    <w:rsid w:val="005E3B4A"/>
    <w:rsid w:val="005E652B"/>
    <w:rsid w:val="005E7064"/>
    <w:rsid w:val="005F3991"/>
    <w:rsid w:val="005F4720"/>
    <w:rsid w:val="005F4E77"/>
    <w:rsid w:val="005F7EF5"/>
    <w:rsid w:val="00600EC2"/>
    <w:rsid w:val="0060179B"/>
    <w:rsid w:val="00601D53"/>
    <w:rsid w:val="00602896"/>
    <w:rsid w:val="00603E93"/>
    <w:rsid w:val="00604E52"/>
    <w:rsid w:val="00607011"/>
    <w:rsid w:val="00616B5E"/>
    <w:rsid w:val="0062406E"/>
    <w:rsid w:val="00625C30"/>
    <w:rsid w:val="0062628B"/>
    <w:rsid w:val="006268ED"/>
    <w:rsid w:val="00626B1D"/>
    <w:rsid w:val="00630C7B"/>
    <w:rsid w:val="00633D5F"/>
    <w:rsid w:val="00636402"/>
    <w:rsid w:val="00637714"/>
    <w:rsid w:val="006449AE"/>
    <w:rsid w:val="0064697D"/>
    <w:rsid w:val="006470C7"/>
    <w:rsid w:val="006534C3"/>
    <w:rsid w:val="0065420A"/>
    <w:rsid w:val="0065797F"/>
    <w:rsid w:val="006610E0"/>
    <w:rsid w:val="0066143D"/>
    <w:rsid w:val="00664E8C"/>
    <w:rsid w:val="00665D75"/>
    <w:rsid w:val="00667DB8"/>
    <w:rsid w:val="006703F1"/>
    <w:rsid w:val="00670FF6"/>
    <w:rsid w:val="006716B0"/>
    <w:rsid w:val="00672945"/>
    <w:rsid w:val="0067299B"/>
    <w:rsid w:val="00673A8C"/>
    <w:rsid w:val="0067647C"/>
    <w:rsid w:val="006767C2"/>
    <w:rsid w:val="00680B0A"/>
    <w:rsid w:val="00685397"/>
    <w:rsid w:val="00686CF4"/>
    <w:rsid w:val="00690870"/>
    <w:rsid w:val="006909A1"/>
    <w:rsid w:val="00692B6D"/>
    <w:rsid w:val="006931BA"/>
    <w:rsid w:val="0069582B"/>
    <w:rsid w:val="0069702E"/>
    <w:rsid w:val="006A21DD"/>
    <w:rsid w:val="006A3B4E"/>
    <w:rsid w:val="006A4DDA"/>
    <w:rsid w:val="006A4F6F"/>
    <w:rsid w:val="006A4FFC"/>
    <w:rsid w:val="006A7B9E"/>
    <w:rsid w:val="006B3506"/>
    <w:rsid w:val="006B60F0"/>
    <w:rsid w:val="006B7D64"/>
    <w:rsid w:val="006C21CD"/>
    <w:rsid w:val="006C2F4E"/>
    <w:rsid w:val="006C3038"/>
    <w:rsid w:val="006C7EA7"/>
    <w:rsid w:val="006D021C"/>
    <w:rsid w:val="006E02C8"/>
    <w:rsid w:val="006E0589"/>
    <w:rsid w:val="006E313E"/>
    <w:rsid w:val="006E388B"/>
    <w:rsid w:val="006F0E93"/>
    <w:rsid w:val="006F14E7"/>
    <w:rsid w:val="006F2383"/>
    <w:rsid w:val="006F2BA7"/>
    <w:rsid w:val="006F3A01"/>
    <w:rsid w:val="006F54FE"/>
    <w:rsid w:val="006F5D92"/>
    <w:rsid w:val="0070039A"/>
    <w:rsid w:val="007041C5"/>
    <w:rsid w:val="007059F8"/>
    <w:rsid w:val="00707DB5"/>
    <w:rsid w:val="0071113A"/>
    <w:rsid w:val="007142F9"/>
    <w:rsid w:val="0071564C"/>
    <w:rsid w:val="00716475"/>
    <w:rsid w:val="00717983"/>
    <w:rsid w:val="00717C4F"/>
    <w:rsid w:val="007201BA"/>
    <w:rsid w:val="00722272"/>
    <w:rsid w:val="00722B85"/>
    <w:rsid w:val="00725C0C"/>
    <w:rsid w:val="0072703C"/>
    <w:rsid w:val="0073015E"/>
    <w:rsid w:val="00731CD5"/>
    <w:rsid w:val="00740EFD"/>
    <w:rsid w:val="00743E4E"/>
    <w:rsid w:val="00744C91"/>
    <w:rsid w:val="007453FC"/>
    <w:rsid w:val="00751E9D"/>
    <w:rsid w:val="007541CA"/>
    <w:rsid w:val="0075730F"/>
    <w:rsid w:val="007606B7"/>
    <w:rsid w:val="00771287"/>
    <w:rsid w:val="007776D5"/>
    <w:rsid w:val="007778A0"/>
    <w:rsid w:val="007837CF"/>
    <w:rsid w:val="007850EF"/>
    <w:rsid w:val="0079597D"/>
    <w:rsid w:val="00795AB5"/>
    <w:rsid w:val="00795B26"/>
    <w:rsid w:val="00797FE0"/>
    <w:rsid w:val="007A0063"/>
    <w:rsid w:val="007A1521"/>
    <w:rsid w:val="007A1580"/>
    <w:rsid w:val="007A1F42"/>
    <w:rsid w:val="007A5215"/>
    <w:rsid w:val="007A52B5"/>
    <w:rsid w:val="007B4D03"/>
    <w:rsid w:val="007B4DAB"/>
    <w:rsid w:val="007B7101"/>
    <w:rsid w:val="007B760F"/>
    <w:rsid w:val="007C08A2"/>
    <w:rsid w:val="007C1CDA"/>
    <w:rsid w:val="007C51FF"/>
    <w:rsid w:val="007D6B17"/>
    <w:rsid w:val="007E0DD0"/>
    <w:rsid w:val="007E260C"/>
    <w:rsid w:val="007E4A9A"/>
    <w:rsid w:val="007E6F54"/>
    <w:rsid w:val="007F3A1C"/>
    <w:rsid w:val="007F6DB7"/>
    <w:rsid w:val="00800A21"/>
    <w:rsid w:val="00801122"/>
    <w:rsid w:val="00801C2E"/>
    <w:rsid w:val="00803F61"/>
    <w:rsid w:val="00804EFB"/>
    <w:rsid w:val="0080514E"/>
    <w:rsid w:val="00805BF9"/>
    <w:rsid w:val="00806882"/>
    <w:rsid w:val="00807E58"/>
    <w:rsid w:val="00812707"/>
    <w:rsid w:val="008140E1"/>
    <w:rsid w:val="00825BBF"/>
    <w:rsid w:val="008267A1"/>
    <w:rsid w:val="008300F0"/>
    <w:rsid w:val="0083080B"/>
    <w:rsid w:val="0083127C"/>
    <w:rsid w:val="00832870"/>
    <w:rsid w:val="00835C65"/>
    <w:rsid w:val="008368DD"/>
    <w:rsid w:val="00840059"/>
    <w:rsid w:val="00844457"/>
    <w:rsid w:val="00845CB1"/>
    <w:rsid w:val="00847290"/>
    <w:rsid w:val="00847722"/>
    <w:rsid w:val="00852BFB"/>
    <w:rsid w:val="00852FE6"/>
    <w:rsid w:val="00853D96"/>
    <w:rsid w:val="008551EE"/>
    <w:rsid w:val="00856E90"/>
    <w:rsid w:val="008570B4"/>
    <w:rsid w:val="00861102"/>
    <w:rsid w:val="008654D3"/>
    <w:rsid w:val="008669A3"/>
    <w:rsid w:val="00867725"/>
    <w:rsid w:val="00867CC2"/>
    <w:rsid w:val="00867D28"/>
    <w:rsid w:val="00872A4A"/>
    <w:rsid w:val="008738D9"/>
    <w:rsid w:val="008743DE"/>
    <w:rsid w:val="008754F1"/>
    <w:rsid w:val="00880700"/>
    <w:rsid w:val="00881D36"/>
    <w:rsid w:val="00882DAD"/>
    <w:rsid w:val="0088588D"/>
    <w:rsid w:val="00886112"/>
    <w:rsid w:val="00887FDD"/>
    <w:rsid w:val="00891475"/>
    <w:rsid w:val="00895BDB"/>
    <w:rsid w:val="008967C7"/>
    <w:rsid w:val="00896909"/>
    <w:rsid w:val="00897364"/>
    <w:rsid w:val="008973DF"/>
    <w:rsid w:val="008978F0"/>
    <w:rsid w:val="008A0F46"/>
    <w:rsid w:val="008A181E"/>
    <w:rsid w:val="008A2D53"/>
    <w:rsid w:val="008A3693"/>
    <w:rsid w:val="008A4695"/>
    <w:rsid w:val="008A478D"/>
    <w:rsid w:val="008A5CD5"/>
    <w:rsid w:val="008A7000"/>
    <w:rsid w:val="008A7C44"/>
    <w:rsid w:val="008B2BE6"/>
    <w:rsid w:val="008B393B"/>
    <w:rsid w:val="008B421D"/>
    <w:rsid w:val="008B5928"/>
    <w:rsid w:val="008B5EB9"/>
    <w:rsid w:val="008B723E"/>
    <w:rsid w:val="008C2067"/>
    <w:rsid w:val="008C2E3A"/>
    <w:rsid w:val="008C3187"/>
    <w:rsid w:val="008C4173"/>
    <w:rsid w:val="008C76E2"/>
    <w:rsid w:val="008D315E"/>
    <w:rsid w:val="008D7B6C"/>
    <w:rsid w:val="008E01F9"/>
    <w:rsid w:val="008E09B6"/>
    <w:rsid w:val="008E0F58"/>
    <w:rsid w:val="008E165E"/>
    <w:rsid w:val="008E1B15"/>
    <w:rsid w:val="008E3DF3"/>
    <w:rsid w:val="008E5155"/>
    <w:rsid w:val="008F0927"/>
    <w:rsid w:val="008F201A"/>
    <w:rsid w:val="008F3DF1"/>
    <w:rsid w:val="008F3E01"/>
    <w:rsid w:val="008F57E5"/>
    <w:rsid w:val="008F691B"/>
    <w:rsid w:val="00900D1F"/>
    <w:rsid w:val="00900E13"/>
    <w:rsid w:val="0090365C"/>
    <w:rsid w:val="0091098E"/>
    <w:rsid w:val="009111D2"/>
    <w:rsid w:val="00911666"/>
    <w:rsid w:val="00914670"/>
    <w:rsid w:val="00914D4F"/>
    <w:rsid w:val="00917B79"/>
    <w:rsid w:val="009221A2"/>
    <w:rsid w:val="00923781"/>
    <w:rsid w:val="009278C3"/>
    <w:rsid w:val="00930C0D"/>
    <w:rsid w:val="00932E91"/>
    <w:rsid w:val="00935A57"/>
    <w:rsid w:val="009364E4"/>
    <w:rsid w:val="00941804"/>
    <w:rsid w:val="00941E32"/>
    <w:rsid w:val="00942CB2"/>
    <w:rsid w:val="0094353E"/>
    <w:rsid w:val="0094358C"/>
    <w:rsid w:val="00944C05"/>
    <w:rsid w:val="00947E46"/>
    <w:rsid w:val="00952680"/>
    <w:rsid w:val="00957117"/>
    <w:rsid w:val="00960049"/>
    <w:rsid w:val="009637C8"/>
    <w:rsid w:val="00964DF7"/>
    <w:rsid w:val="00965226"/>
    <w:rsid w:val="00967699"/>
    <w:rsid w:val="00970977"/>
    <w:rsid w:val="009737E2"/>
    <w:rsid w:val="00974844"/>
    <w:rsid w:val="00975687"/>
    <w:rsid w:val="0098571F"/>
    <w:rsid w:val="0098644E"/>
    <w:rsid w:val="0098698D"/>
    <w:rsid w:val="0099031A"/>
    <w:rsid w:val="00994FD3"/>
    <w:rsid w:val="009967E8"/>
    <w:rsid w:val="00997F51"/>
    <w:rsid w:val="009A21A9"/>
    <w:rsid w:val="009A5EA4"/>
    <w:rsid w:val="009A60F6"/>
    <w:rsid w:val="009A645E"/>
    <w:rsid w:val="009A7CBD"/>
    <w:rsid w:val="009B0705"/>
    <w:rsid w:val="009B1356"/>
    <w:rsid w:val="009B433F"/>
    <w:rsid w:val="009B457C"/>
    <w:rsid w:val="009B69B4"/>
    <w:rsid w:val="009B7BDE"/>
    <w:rsid w:val="009C097E"/>
    <w:rsid w:val="009C1971"/>
    <w:rsid w:val="009C2234"/>
    <w:rsid w:val="009C320F"/>
    <w:rsid w:val="009C4695"/>
    <w:rsid w:val="009C5B88"/>
    <w:rsid w:val="009C6560"/>
    <w:rsid w:val="009D18BD"/>
    <w:rsid w:val="009D257F"/>
    <w:rsid w:val="009D3447"/>
    <w:rsid w:val="009D41D8"/>
    <w:rsid w:val="009D4AEE"/>
    <w:rsid w:val="009D6545"/>
    <w:rsid w:val="009E1110"/>
    <w:rsid w:val="009E226A"/>
    <w:rsid w:val="009E24AA"/>
    <w:rsid w:val="009E3202"/>
    <w:rsid w:val="009E3EB0"/>
    <w:rsid w:val="009E50C9"/>
    <w:rsid w:val="009E61EB"/>
    <w:rsid w:val="009E67C2"/>
    <w:rsid w:val="009F20BA"/>
    <w:rsid w:val="009F469D"/>
    <w:rsid w:val="009F5F30"/>
    <w:rsid w:val="00A000B8"/>
    <w:rsid w:val="00A00740"/>
    <w:rsid w:val="00A0150C"/>
    <w:rsid w:val="00A02C9F"/>
    <w:rsid w:val="00A034A4"/>
    <w:rsid w:val="00A03CAC"/>
    <w:rsid w:val="00A053FA"/>
    <w:rsid w:val="00A05558"/>
    <w:rsid w:val="00A10A3F"/>
    <w:rsid w:val="00A10AFB"/>
    <w:rsid w:val="00A130ED"/>
    <w:rsid w:val="00A20CA0"/>
    <w:rsid w:val="00A23D62"/>
    <w:rsid w:val="00A2456B"/>
    <w:rsid w:val="00A26285"/>
    <w:rsid w:val="00A279AF"/>
    <w:rsid w:val="00A30214"/>
    <w:rsid w:val="00A32A8A"/>
    <w:rsid w:val="00A34B81"/>
    <w:rsid w:val="00A34DFC"/>
    <w:rsid w:val="00A42711"/>
    <w:rsid w:val="00A465A8"/>
    <w:rsid w:val="00A50B60"/>
    <w:rsid w:val="00A52F08"/>
    <w:rsid w:val="00A53C2C"/>
    <w:rsid w:val="00A545D4"/>
    <w:rsid w:val="00A549E5"/>
    <w:rsid w:val="00A55387"/>
    <w:rsid w:val="00A55D4E"/>
    <w:rsid w:val="00A62ED1"/>
    <w:rsid w:val="00A65D52"/>
    <w:rsid w:val="00A71A59"/>
    <w:rsid w:val="00A809AD"/>
    <w:rsid w:val="00A80E78"/>
    <w:rsid w:val="00A81E6F"/>
    <w:rsid w:val="00A82238"/>
    <w:rsid w:val="00A8229A"/>
    <w:rsid w:val="00A84E0C"/>
    <w:rsid w:val="00A856DA"/>
    <w:rsid w:val="00A86370"/>
    <w:rsid w:val="00A863CC"/>
    <w:rsid w:val="00A922AF"/>
    <w:rsid w:val="00A953A4"/>
    <w:rsid w:val="00A95F86"/>
    <w:rsid w:val="00A9653B"/>
    <w:rsid w:val="00A96805"/>
    <w:rsid w:val="00AA07C2"/>
    <w:rsid w:val="00AA0C09"/>
    <w:rsid w:val="00AA2BB2"/>
    <w:rsid w:val="00AA368A"/>
    <w:rsid w:val="00AA5B10"/>
    <w:rsid w:val="00AB0DC1"/>
    <w:rsid w:val="00AB15E7"/>
    <w:rsid w:val="00AB19B5"/>
    <w:rsid w:val="00AB25B4"/>
    <w:rsid w:val="00AB3367"/>
    <w:rsid w:val="00AB4ED4"/>
    <w:rsid w:val="00AB5BF6"/>
    <w:rsid w:val="00AB7B00"/>
    <w:rsid w:val="00AB7C58"/>
    <w:rsid w:val="00AC033F"/>
    <w:rsid w:val="00AC2D7E"/>
    <w:rsid w:val="00AC36AD"/>
    <w:rsid w:val="00AC4F4D"/>
    <w:rsid w:val="00AC677A"/>
    <w:rsid w:val="00AD3238"/>
    <w:rsid w:val="00AD3CBC"/>
    <w:rsid w:val="00AD5E9F"/>
    <w:rsid w:val="00AD5F97"/>
    <w:rsid w:val="00AD6336"/>
    <w:rsid w:val="00AD7C31"/>
    <w:rsid w:val="00AD7CE3"/>
    <w:rsid w:val="00AE01B0"/>
    <w:rsid w:val="00AE0370"/>
    <w:rsid w:val="00AE4E77"/>
    <w:rsid w:val="00AE70E4"/>
    <w:rsid w:val="00AF0255"/>
    <w:rsid w:val="00AF1227"/>
    <w:rsid w:val="00AF46C6"/>
    <w:rsid w:val="00AF5315"/>
    <w:rsid w:val="00AF56BE"/>
    <w:rsid w:val="00AF57BF"/>
    <w:rsid w:val="00B0250C"/>
    <w:rsid w:val="00B025C1"/>
    <w:rsid w:val="00B02C55"/>
    <w:rsid w:val="00B04AEF"/>
    <w:rsid w:val="00B074E7"/>
    <w:rsid w:val="00B07C8F"/>
    <w:rsid w:val="00B12612"/>
    <w:rsid w:val="00B134E4"/>
    <w:rsid w:val="00B14CE6"/>
    <w:rsid w:val="00B15D9D"/>
    <w:rsid w:val="00B23611"/>
    <w:rsid w:val="00B241F6"/>
    <w:rsid w:val="00B26183"/>
    <w:rsid w:val="00B2696D"/>
    <w:rsid w:val="00B26D0B"/>
    <w:rsid w:val="00B30938"/>
    <w:rsid w:val="00B35317"/>
    <w:rsid w:val="00B366DD"/>
    <w:rsid w:val="00B40021"/>
    <w:rsid w:val="00B51A7A"/>
    <w:rsid w:val="00B55860"/>
    <w:rsid w:val="00B57BD6"/>
    <w:rsid w:val="00B57D47"/>
    <w:rsid w:val="00B6189A"/>
    <w:rsid w:val="00B61CAF"/>
    <w:rsid w:val="00B65534"/>
    <w:rsid w:val="00B73586"/>
    <w:rsid w:val="00B73A86"/>
    <w:rsid w:val="00B75166"/>
    <w:rsid w:val="00B752C3"/>
    <w:rsid w:val="00B764AE"/>
    <w:rsid w:val="00B80AEA"/>
    <w:rsid w:val="00B82531"/>
    <w:rsid w:val="00B95186"/>
    <w:rsid w:val="00B97DFA"/>
    <w:rsid w:val="00BA1B96"/>
    <w:rsid w:val="00BA4894"/>
    <w:rsid w:val="00BA49CC"/>
    <w:rsid w:val="00BA5055"/>
    <w:rsid w:val="00BA6016"/>
    <w:rsid w:val="00BA6F23"/>
    <w:rsid w:val="00BB1991"/>
    <w:rsid w:val="00BB4BEF"/>
    <w:rsid w:val="00BB4CD1"/>
    <w:rsid w:val="00BB6A0D"/>
    <w:rsid w:val="00BC015F"/>
    <w:rsid w:val="00BC2340"/>
    <w:rsid w:val="00BC327F"/>
    <w:rsid w:val="00BC3B9D"/>
    <w:rsid w:val="00BC5526"/>
    <w:rsid w:val="00BC6133"/>
    <w:rsid w:val="00BC64CA"/>
    <w:rsid w:val="00BC6512"/>
    <w:rsid w:val="00BC66FC"/>
    <w:rsid w:val="00BC72FC"/>
    <w:rsid w:val="00BC74AB"/>
    <w:rsid w:val="00BD2E53"/>
    <w:rsid w:val="00BD701A"/>
    <w:rsid w:val="00BE0CD7"/>
    <w:rsid w:val="00BE2A8D"/>
    <w:rsid w:val="00BE4898"/>
    <w:rsid w:val="00BE6686"/>
    <w:rsid w:val="00BE6B5C"/>
    <w:rsid w:val="00BE7CBC"/>
    <w:rsid w:val="00BF0D39"/>
    <w:rsid w:val="00BF41AC"/>
    <w:rsid w:val="00BF4EE0"/>
    <w:rsid w:val="00BF56C6"/>
    <w:rsid w:val="00C01B00"/>
    <w:rsid w:val="00C02B02"/>
    <w:rsid w:val="00C02BAB"/>
    <w:rsid w:val="00C05127"/>
    <w:rsid w:val="00C0598A"/>
    <w:rsid w:val="00C10202"/>
    <w:rsid w:val="00C102FC"/>
    <w:rsid w:val="00C143B6"/>
    <w:rsid w:val="00C150A3"/>
    <w:rsid w:val="00C16EC3"/>
    <w:rsid w:val="00C17FFD"/>
    <w:rsid w:val="00C206A7"/>
    <w:rsid w:val="00C21151"/>
    <w:rsid w:val="00C22B03"/>
    <w:rsid w:val="00C22F9A"/>
    <w:rsid w:val="00C22FFF"/>
    <w:rsid w:val="00C25B33"/>
    <w:rsid w:val="00C25CC6"/>
    <w:rsid w:val="00C25DE2"/>
    <w:rsid w:val="00C27155"/>
    <w:rsid w:val="00C30CA7"/>
    <w:rsid w:val="00C32006"/>
    <w:rsid w:val="00C3248B"/>
    <w:rsid w:val="00C32FD0"/>
    <w:rsid w:val="00C350AF"/>
    <w:rsid w:val="00C36A32"/>
    <w:rsid w:val="00C37460"/>
    <w:rsid w:val="00C41082"/>
    <w:rsid w:val="00C41711"/>
    <w:rsid w:val="00C423DD"/>
    <w:rsid w:val="00C428A9"/>
    <w:rsid w:val="00C4290C"/>
    <w:rsid w:val="00C45212"/>
    <w:rsid w:val="00C454ED"/>
    <w:rsid w:val="00C46D2E"/>
    <w:rsid w:val="00C474C6"/>
    <w:rsid w:val="00C523C0"/>
    <w:rsid w:val="00C52E87"/>
    <w:rsid w:val="00C54D45"/>
    <w:rsid w:val="00C55605"/>
    <w:rsid w:val="00C564CE"/>
    <w:rsid w:val="00C56A54"/>
    <w:rsid w:val="00C56F8F"/>
    <w:rsid w:val="00C60AE5"/>
    <w:rsid w:val="00C635DB"/>
    <w:rsid w:val="00C64590"/>
    <w:rsid w:val="00C64E03"/>
    <w:rsid w:val="00C650C7"/>
    <w:rsid w:val="00C65617"/>
    <w:rsid w:val="00C659AC"/>
    <w:rsid w:val="00C65F1D"/>
    <w:rsid w:val="00C66F80"/>
    <w:rsid w:val="00C7000E"/>
    <w:rsid w:val="00C70031"/>
    <w:rsid w:val="00C7010D"/>
    <w:rsid w:val="00C7085F"/>
    <w:rsid w:val="00C72398"/>
    <w:rsid w:val="00C76B5A"/>
    <w:rsid w:val="00C76F21"/>
    <w:rsid w:val="00C77909"/>
    <w:rsid w:val="00C8037A"/>
    <w:rsid w:val="00C809C5"/>
    <w:rsid w:val="00C81D56"/>
    <w:rsid w:val="00C829BE"/>
    <w:rsid w:val="00C83088"/>
    <w:rsid w:val="00C835D1"/>
    <w:rsid w:val="00C84E62"/>
    <w:rsid w:val="00C92744"/>
    <w:rsid w:val="00C93013"/>
    <w:rsid w:val="00C93575"/>
    <w:rsid w:val="00C9374B"/>
    <w:rsid w:val="00C94439"/>
    <w:rsid w:val="00C94889"/>
    <w:rsid w:val="00C948CB"/>
    <w:rsid w:val="00CA1F8A"/>
    <w:rsid w:val="00CA7747"/>
    <w:rsid w:val="00CB1C56"/>
    <w:rsid w:val="00CB2C61"/>
    <w:rsid w:val="00CB472B"/>
    <w:rsid w:val="00CB60A8"/>
    <w:rsid w:val="00CB7DE3"/>
    <w:rsid w:val="00CC0720"/>
    <w:rsid w:val="00CC648C"/>
    <w:rsid w:val="00CC7309"/>
    <w:rsid w:val="00CD0C5F"/>
    <w:rsid w:val="00CD266E"/>
    <w:rsid w:val="00CD34BD"/>
    <w:rsid w:val="00CD530B"/>
    <w:rsid w:val="00CE19DE"/>
    <w:rsid w:val="00CE1E23"/>
    <w:rsid w:val="00CF25F7"/>
    <w:rsid w:val="00CF3C50"/>
    <w:rsid w:val="00CF42D5"/>
    <w:rsid w:val="00CF59C7"/>
    <w:rsid w:val="00CF6A39"/>
    <w:rsid w:val="00D00F68"/>
    <w:rsid w:val="00D06394"/>
    <w:rsid w:val="00D12BDF"/>
    <w:rsid w:val="00D14E6B"/>
    <w:rsid w:val="00D15ACD"/>
    <w:rsid w:val="00D1710C"/>
    <w:rsid w:val="00D17462"/>
    <w:rsid w:val="00D17914"/>
    <w:rsid w:val="00D2008A"/>
    <w:rsid w:val="00D227B8"/>
    <w:rsid w:val="00D24286"/>
    <w:rsid w:val="00D25EFE"/>
    <w:rsid w:val="00D261CB"/>
    <w:rsid w:val="00D26F8F"/>
    <w:rsid w:val="00D32439"/>
    <w:rsid w:val="00D435E2"/>
    <w:rsid w:val="00D43A68"/>
    <w:rsid w:val="00D43BE6"/>
    <w:rsid w:val="00D44F7F"/>
    <w:rsid w:val="00D46796"/>
    <w:rsid w:val="00D50993"/>
    <w:rsid w:val="00D52AE5"/>
    <w:rsid w:val="00D54AD6"/>
    <w:rsid w:val="00D577B5"/>
    <w:rsid w:val="00D608D4"/>
    <w:rsid w:val="00D62A79"/>
    <w:rsid w:val="00D62B1F"/>
    <w:rsid w:val="00D633CC"/>
    <w:rsid w:val="00D66A03"/>
    <w:rsid w:val="00D73616"/>
    <w:rsid w:val="00D77A74"/>
    <w:rsid w:val="00D816E8"/>
    <w:rsid w:val="00D8293F"/>
    <w:rsid w:val="00D91189"/>
    <w:rsid w:val="00D920F6"/>
    <w:rsid w:val="00D9242F"/>
    <w:rsid w:val="00D97024"/>
    <w:rsid w:val="00DA36DE"/>
    <w:rsid w:val="00DA6D70"/>
    <w:rsid w:val="00DB1BA9"/>
    <w:rsid w:val="00DB22BF"/>
    <w:rsid w:val="00DB75EC"/>
    <w:rsid w:val="00DC05CB"/>
    <w:rsid w:val="00DC07BA"/>
    <w:rsid w:val="00DD41D8"/>
    <w:rsid w:val="00DD75E8"/>
    <w:rsid w:val="00DE004F"/>
    <w:rsid w:val="00DE2A72"/>
    <w:rsid w:val="00DE440A"/>
    <w:rsid w:val="00DE7A7E"/>
    <w:rsid w:val="00DF04EA"/>
    <w:rsid w:val="00DF0C10"/>
    <w:rsid w:val="00DF50C1"/>
    <w:rsid w:val="00DF6E3F"/>
    <w:rsid w:val="00DF7915"/>
    <w:rsid w:val="00DF7995"/>
    <w:rsid w:val="00DF7ED3"/>
    <w:rsid w:val="00E03F5C"/>
    <w:rsid w:val="00E05063"/>
    <w:rsid w:val="00E05292"/>
    <w:rsid w:val="00E0538C"/>
    <w:rsid w:val="00E07137"/>
    <w:rsid w:val="00E1186F"/>
    <w:rsid w:val="00E160F8"/>
    <w:rsid w:val="00E1732E"/>
    <w:rsid w:val="00E22C7E"/>
    <w:rsid w:val="00E2305C"/>
    <w:rsid w:val="00E23790"/>
    <w:rsid w:val="00E24EC4"/>
    <w:rsid w:val="00E2743C"/>
    <w:rsid w:val="00E275B9"/>
    <w:rsid w:val="00E30215"/>
    <w:rsid w:val="00E34987"/>
    <w:rsid w:val="00E35850"/>
    <w:rsid w:val="00E40A08"/>
    <w:rsid w:val="00E422CE"/>
    <w:rsid w:val="00E43888"/>
    <w:rsid w:val="00E45376"/>
    <w:rsid w:val="00E454EC"/>
    <w:rsid w:val="00E545B3"/>
    <w:rsid w:val="00E56513"/>
    <w:rsid w:val="00E577C3"/>
    <w:rsid w:val="00E57C41"/>
    <w:rsid w:val="00E614D0"/>
    <w:rsid w:val="00E621BE"/>
    <w:rsid w:val="00E6317A"/>
    <w:rsid w:val="00E637B2"/>
    <w:rsid w:val="00E733E6"/>
    <w:rsid w:val="00E7485C"/>
    <w:rsid w:val="00E74FFB"/>
    <w:rsid w:val="00E80BDF"/>
    <w:rsid w:val="00E83BC5"/>
    <w:rsid w:val="00E840D0"/>
    <w:rsid w:val="00E865DB"/>
    <w:rsid w:val="00E86E0B"/>
    <w:rsid w:val="00E903CB"/>
    <w:rsid w:val="00E90C9C"/>
    <w:rsid w:val="00E92B1D"/>
    <w:rsid w:val="00EA0A03"/>
    <w:rsid w:val="00EA114F"/>
    <w:rsid w:val="00EA3AA5"/>
    <w:rsid w:val="00EA4228"/>
    <w:rsid w:val="00EA73C1"/>
    <w:rsid w:val="00EB096C"/>
    <w:rsid w:val="00EB20F6"/>
    <w:rsid w:val="00EB26D9"/>
    <w:rsid w:val="00EB36D3"/>
    <w:rsid w:val="00EB4693"/>
    <w:rsid w:val="00EB47A5"/>
    <w:rsid w:val="00EB49FA"/>
    <w:rsid w:val="00EB64C5"/>
    <w:rsid w:val="00EB6719"/>
    <w:rsid w:val="00EC0554"/>
    <w:rsid w:val="00EC0C3B"/>
    <w:rsid w:val="00EC1C0B"/>
    <w:rsid w:val="00EC36AC"/>
    <w:rsid w:val="00EC7865"/>
    <w:rsid w:val="00ED0AF1"/>
    <w:rsid w:val="00ED2140"/>
    <w:rsid w:val="00ED4F98"/>
    <w:rsid w:val="00ED503E"/>
    <w:rsid w:val="00ED51BA"/>
    <w:rsid w:val="00ED6797"/>
    <w:rsid w:val="00EE211C"/>
    <w:rsid w:val="00EE4E71"/>
    <w:rsid w:val="00EE6105"/>
    <w:rsid w:val="00EF1A19"/>
    <w:rsid w:val="00EF47C6"/>
    <w:rsid w:val="00EF48BF"/>
    <w:rsid w:val="00EF7EB1"/>
    <w:rsid w:val="00F000D1"/>
    <w:rsid w:val="00F03536"/>
    <w:rsid w:val="00F05312"/>
    <w:rsid w:val="00F100C5"/>
    <w:rsid w:val="00F105F6"/>
    <w:rsid w:val="00F11B94"/>
    <w:rsid w:val="00F143EE"/>
    <w:rsid w:val="00F24B70"/>
    <w:rsid w:val="00F26A63"/>
    <w:rsid w:val="00F3076E"/>
    <w:rsid w:val="00F30B2E"/>
    <w:rsid w:val="00F31552"/>
    <w:rsid w:val="00F347B3"/>
    <w:rsid w:val="00F34967"/>
    <w:rsid w:val="00F351B2"/>
    <w:rsid w:val="00F35778"/>
    <w:rsid w:val="00F360B9"/>
    <w:rsid w:val="00F40328"/>
    <w:rsid w:val="00F45D26"/>
    <w:rsid w:val="00F47D3C"/>
    <w:rsid w:val="00F501DF"/>
    <w:rsid w:val="00F50CF6"/>
    <w:rsid w:val="00F51D12"/>
    <w:rsid w:val="00F52226"/>
    <w:rsid w:val="00F53103"/>
    <w:rsid w:val="00F54116"/>
    <w:rsid w:val="00F57312"/>
    <w:rsid w:val="00F57A4B"/>
    <w:rsid w:val="00F6035B"/>
    <w:rsid w:val="00F60E99"/>
    <w:rsid w:val="00F72C49"/>
    <w:rsid w:val="00F761A8"/>
    <w:rsid w:val="00F77548"/>
    <w:rsid w:val="00F77AB9"/>
    <w:rsid w:val="00F83CBA"/>
    <w:rsid w:val="00F85503"/>
    <w:rsid w:val="00F877FC"/>
    <w:rsid w:val="00F95004"/>
    <w:rsid w:val="00F957A1"/>
    <w:rsid w:val="00F959D2"/>
    <w:rsid w:val="00FA0CE2"/>
    <w:rsid w:val="00FA12B0"/>
    <w:rsid w:val="00FA3DB2"/>
    <w:rsid w:val="00FA6699"/>
    <w:rsid w:val="00FB2212"/>
    <w:rsid w:val="00FB23FA"/>
    <w:rsid w:val="00FB381E"/>
    <w:rsid w:val="00FB3C34"/>
    <w:rsid w:val="00FB4C6D"/>
    <w:rsid w:val="00FB50B7"/>
    <w:rsid w:val="00FB6124"/>
    <w:rsid w:val="00FB6997"/>
    <w:rsid w:val="00FC0720"/>
    <w:rsid w:val="00FC19B3"/>
    <w:rsid w:val="00FC2907"/>
    <w:rsid w:val="00FC4CEE"/>
    <w:rsid w:val="00FC6E2B"/>
    <w:rsid w:val="00FD0BF3"/>
    <w:rsid w:val="00FD3549"/>
    <w:rsid w:val="00FD408F"/>
    <w:rsid w:val="00FD70B7"/>
    <w:rsid w:val="00FE01E1"/>
    <w:rsid w:val="00FE3877"/>
    <w:rsid w:val="00FE59FB"/>
    <w:rsid w:val="00FF0D92"/>
    <w:rsid w:val="00FF270B"/>
    <w:rsid w:val="00FF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D1D13"/>
  <w15:chartTrackingRefBased/>
  <w15:docId w15:val="{9325EB37-9446-4329-ADFC-F4236060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E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4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4B5"/>
  </w:style>
  <w:style w:type="paragraph" w:styleId="Footer">
    <w:name w:val="footer"/>
    <w:basedOn w:val="Normal"/>
    <w:link w:val="FooterChar"/>
    <w:uiPriority w:val="99"/>
    <w:unhideWhenUsed/>
    <w:rsid w:val="005B24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4B5"/>
  </w:style>
  <w:style w:type="character" w:styleId="LineNumber">
    <w:name w:val="line number"/>
    <w:basedOn w:val="DefaultParagraphFont"/>
    <w:uiPriority w:val="99"/>
    <w:semiHidden/>
    <w:unhideWhenUsed/>
    <w:rsid w:val="00935A57"/>
  </w:style>
  <w:style w:type="paragraph" w:styleId="ListParagraph">
    <w:name w:val="List Paragraph"/>
    <w:basedOn w:val="Normal"/>
    <w:uiPriority w:val="34"/>
    <w:qFormat/>
    <w:rsid w:val="003D5D26"/>
    <w:pPr>
      <w:ind w:left="720"/>
      <w:contextualSpacing/>
    </w:pPr>
  </w:style>
  <w:style w:type="paragraph" w:customStyle="1" w:styleId="EndNoteBibliographyTitle">
    <w:name w:val="EndNote Bibliography Title"/>
    <w:basedOn w:val="Normal"/>
    <w:link w:val="EndNoteBibliographyTitleChar"/>
    <w:rsid w:val="009B0705"/>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9B0705"/>
    <w:rPr>
      <w:rFonts w:ascii="Calibri" w:hAnsi="Calibri" w:cs="Calibri"/>
      <w:noProof/>
    </w:rPr>
  </w:style>
  <w:style w:type="paragraph" w:customStyle="1" w:styleId="EndNoteBibliography">
    <w:name w:val="EndNote Bibliography"/>
    <w:basedOn w:val="Normal"/>
    <w:link w:val="EndNoteBibliographyChar"/>
    <w:rsid w:val="009B0705"/>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9B0705"/>
    <w:rPr>
      <w:rFonts w:ascii="Calibri" w:hAnsi="Calibri" w:cs="Calibri"/>
      <w:noProof/>
    </w:rPr>
  </w:style>
  <w:style w:type="character" w:styleId="CommentReference">
    <w:name w:val="annotation reference"/>
    <w:basedOn w:val="DefaultParagraphFont"/>
    <w:uiPriority w:val="99"/>
    <w:unhideWhenUsed/>
    <w:rsid w:val="00B07C8F"/>
    <w:rPr>
      <w:sz w:val="16"/>
      <w:szCs w:val="16"/>
    </w:rPr>
  </w:style>
  <w:style w:type="paragraph" w:styleId="CommentText">
    <w:name w:val="annotation text"/>
    <w:basedOn w:val="Normal"/>
    <w:link w:val="CommentTextChar"/>
    <w:uiPriority w:val="99"/>
    <w:unhideWhenUsed/>
    <w:rsid w:val="00B07C8F"/>
    <w:pPr>
      <w:spacing w:line="240" w:lineRule="auto"/>
    </w:pPr>
    <w:rPr>
      <w:sz w:val="20"/>
      <w:szCs w:val="20"/>
    </w:rPr>
  </w:style>
  <w:style w:type="character" w:customStyle="1" w:styleId="CommentTextChar">
    <w:name w:val="Comment Text Char"/>
    <w:basedOn w:val="DefaultParagraphFont"/>
    <w:link w:val="CommentText"/>
    <w:uiPriority w:val="99"/>
    <w:rsid w:val="00B07C8F"/>
    <w:rPr>
      <w:sz w:val="20"/>
      <w:szCs w:val="20"/>
    </w:rPr>
  </w:style>
  <w:style w:type="paragraph" w:styleId="BalloonText">
    <w:name w:val="Balloon Text"/>
    <w:basedOn w:val="Normal"/>
    <w:link w:val="BalloonTextChar"/>
    <w:uiPriority w:val="99"/>
    <w:semiHidden/>
    <w:unhideWhenUsed/>
    <w:rsid w:val="00B07C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C8F"/>
    <w:rPr>
      <w:rFonts w:ascii="Segoe UI" w:hAnsi="Segoe UI" w:cs="Segoe UI"/>
      <w:sz w:val="18"/>
      <w:szCs w:val="18"/>
    </w:rPr>
  </w:style>
  <w:style w:type="character" w:styleId="Hyperlink">
    <w:name w:val="Hyperlink"/>
    <w:basedOn w:val="DefaultParagraphFont"/>
    <w:uiPriority w:val="99"/>
    <w:unhideWhenUsed/>
    <w:rsid w:val="00F11B94"/>
    <w:rPr>
      <w:color w:val="0563C1" w:themeColor="hyperlink"/>
      <w:u w:val="single"/>
    </w:rPr>
  </w:style>
  <w:style w:type="character" w:customStyle="1" w:styleId="UnresolvedMention1">
    <w:name w:val="Unresolved Mention1"/>
    <w:basedOn w:val="DefaultParagraphFont"/>
    <w:uiPriority w:val="99"/>
    <w:semiHidden/>
    <w:unhideWhenUsed/>
    <w:rsid w:val="00F11B9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A4263"/>
    <w:rPr>
      <w:b/>
      <w:bCs/>
    </w:rPr>
  </w:style>
  <w:style w:type="character" w:customStyle="1" w:styleId="CommentSubjectChar">
    <w:name w:val="Comment Subject Char"/>
    <w:basedOn w:val="CommentTextChar"/>
    <w:link w:val="CommentSubject"/>
    <w:uiPriority w:val="99"/>
    <w:semiHidden/>
    <w:rsid w:val="000A4263"/>
    <w:rPr>
      <w:b/>
      <w:bCs/>
      <w:sz w:val="20"/>
      <w:szCs w:val="20"/>
    </w:rPr>
  </w:style>
  <w:style w:type="paragraph" w:styleId="Revision">
    <w:name w:val="Revision"/>
    <w:hidden/>
    <w:uiPriority w:val="99"/>
    <w:semiHidden/>
    <w:rsid w:val="00BF0D39"/>
    <w:pPr>
      <w:spacing w:after="0" w:line="240" w:lineRule="auto"/>
    </w:pPr>
  </w:style>
  <w:style w:type="paragraph" w:styleId="Bibliography">
    <w:name w:val="Bibliography"/>
    <w:basedOn w:val="Normal"/>
    <w:next w:val="Normal"/>
    <w:uiPriority w:val="37"/>
    <w:semiHidden/>
    <w:unhideWhenUsed/>
    <w:rsid w:val="007A1F42"/>
  </w:style>
  <w:style w:type="paragraph" w:styleId="NormalWeb">
    <w:name w:val="Normal (Web)"/>
    <w:basedOn w:val="Normal"/>
    <w:uiPriority w:val="99"/>
    <w:semiHidden/>
    <w:unhideWhenUsed/>
    <w:rsid w:val="000C02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02C0"/>
    <w:rPr>
      <w:b/>
      <w:bCs/>
    </w:rPr>
  </w:style>
  <w:style w:type="character" w:styleId="Emphasis">
    <w:name w:val="Emphasis"/>
    <w:basedOn w:val="DefaultParagraphFont"/>
    <w:uiPriority w:val="20"/>
    <w:qFormat/>
    <w:rsid w:val="000C02C0"/>
    <w:rPr>
      <w:i/>
      <w:iCs/>
    </w:rPr>
  </w:style>
  <w:style w:type="character" w:customStyle="1" w:styleId="UnresolvedMention2">
    <w:name w:val="Unresolved Mention2"/>
    <w:basedOn w:val="DefaultParagraphFont"/>
    <w:uiPriority w:val="99"/>
    <w:semiHidden/>
    <w:unhideWhenUsed/>
    <w:rsid w:val="00E637B2"/>
    <w:rPr>
      <w:color w:val="605E5C"/>
      <w:shd w:val="clear" w:color="auto" w:fill="E1DFDD"/>
    </w:rPr>
  </w:style>
  <w:style w:type="table" w:styleId="TableGrid">
    <w:name w:val="Table Grid"/>
    <w:basedOn w:val="TableNormal"/>
    <w:uiPriority w:val="39"/>
    <w:rsid w:val="00C15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516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20103">
      <w:bodyDiv w:val="1"/>
      <w:marLeft w:val="0"/>
      <w:marRight w:val="0"/>
      <w:marTop w:val="0"/>
      <w:marBottom w:val="0"/>
      <w:divBdr>
        <w:top w:val="none" w:sz="0" w:space="0" w:color="auto"/>
        <w:left w:val="none" w:sz="0" w:space="0" w:color="auto"/>
        <w:bottom w:val="none" w:sz="0" w:space="0" w:color="auto"/>
        <w:right w:val="none" w:sz="0" w:space="0" w:color="auto"/>
      </w:divBdr>
    </w:div>
    <w:div w:id="89545995">
      <w:bodyDiv w:val="1"/>
      <w:marLeft w:val="0"/>
      <w:marRight w:val="0"/>
      <w:marTop w:val="0"/>
      <w:marBottom w:val="0"/>
      <w:divBdr>
        <w:top w:val="none" w:sz="0" w:space="0" w:color="auto"/>
        <w:left w:val="none" w:sz="0" w:space="0" w:color="auto"/>
        <w:bottom w:val="none" w:sz="0" w:space="0" w:color="auto"/>
        <w:right w:val="none" w:sz="0" w:space="0" w:color="auto"/>
      </w:divBdr>
    </w:div>
    <w:div w:id="121120716">
      <w:bodyDiv w:val="1"/>
      <w:marLeft w:val="0"/>
      <w:marRight w:val="0"/>
      <w:marTop w:val="0"/>
      <w:marBottom w:val="0"/>
      <w:divBdr>
        <w:top w:val="none" w:sz="0" w:space="0" w:color="auto"/>
        <w:left w:val="none" w:sz="0" w:space="0" w:color="auto"/>
        <w:bottom w:val="none" w:sz="0" w:space="0" w:color="auto"/>
        <w:right w:val="none" w:sz="0" w:space="0" w:color="auto"/>
      </w:divBdr>
    </w:div>
    <w:div w:id="148986461">
      <w:bodyDiv w:val="1"/>
      <w:marLeft w:val="0"/>
      <w:marRight w:val="0"/>
      <w:marTop w:val="0"/>
      <w:marBottom w:val="0"/>
      <w:divBdr>
        <w:top w:val="none" w:sz="0" w:space="0" w:color="auto"/>
        <w:left w:val="none" w:sz="0" w:space="0" w:color="auto"/>
        <w:bottom w:val="none" w:sz="0" w:space="0" w:color="auto"/>
        <w:right w:val="none" w:sz="0" w:space="0" w:color="auto"/>
      </w:divBdr>
    </w:div>
    <w:div w:id="216355911">
      <w:bodyDiv w:val="1"/>
      <w:marLeft w:val="0"/>
      <w:marRight w:val="0"/>
      <w:marTop w:val="0"/>
      <w:marBottom w:val="0"/>
      <w:divBdr>
        <w:top w:val="none" w:sz="0" w:space="0" w:color="auto"/>
        <w:left w:val="none" w:sz="0" w:space="0" w:color="auto"/>
        <w:bottom w:val="none" w:sz="0" w:space="0" w:color="auto"/>
        <w:right w:val="none" w:sz="0" w:space="0" w:color="auto"/>
      </w:divBdr>
    </w:div>
    <w:div w:id="311255854">
      <w:bodyDiv w:val="1"/>
      <w:marLeft w:val="0"/>
      <w:marRight w:val="0"/>
      <w:marTop w:val="0"/>
      <w:marBottom w:val="0"/>
      <w:divBdr>
        <w:top w:val="none" w:sz="0" w:space="0" w:color="auto"/>
        <w:left w:val="none" w:sz="0" w:space="0" w:color="auto"/>
        <w:bottom w:val="none" w:sz="0" w:space="0" w:color="auto"/>
        <w:right w:val="none" w:sz="0" w:space="0" w:color="auto"/>
      </w:divBdr>
      <w:divsChild>
        <w:div w:id="635183006">
          <w:marLeft w:val="0"/>
          <w:marRight w:val="0"/>
          <w:marTop w:val="0"/>
          <w:marBottom w:val="0"/>
          <w:divBdr>
            <w:top w:val="none" w:sz="0" w:space="0" w:color="auto"/>
            <w:left w:val="none" w:sz="0" w:space="0" w:color="auto"/>
            <w:bottom w:val="none" w:sz="0" w:space="0" w:color="auto"/>
            <w:right w:val="none" w:sz="0" w:space="0" w:color="auto"/>
          </w:divBdr>
        </w:div>
        <w:div w:id="1946183498">
          <w:marLeft w:val="0"/>
          <w:marRight w:val="0"/>
          <w:marTop w:val="0"/>
          <w:marBottom w:val="0"/>
          <w:divBdr>
            <w:top w:val="none" w:sz="0" w:space="0" w:color="auto"/>
            <w:left w:val="none" w:sz="0" w:space="0" w:color="auto"/>
            <w:bottom w:val="none" w:sz="0" w:space="0" w:color="auto"/>
            <w:right w:val="none" w:sz="0" w:space="0" w:color="auto"/>
          </w:divBdr>
        </w:div>
        <w:div w:id="374351548">
          <w:marLeft w:val="0"/>
          <w:marRight w:val="0"/>
          <w:marTop w:val="0"/>
          <w:marBottom w:val="0"/>
          <w:divBdr>
            <w:top w:val="none" w:sz="0" w:space="0" w:color="auto"/>
            <w:left w:val="none" w:sz="0" w:space="0" w:color="auto"/>
            <w:bottom w:val="none" w:sz="0" w:space="0" w:color="auto"/>
            <w:right w:val="none" w:sz="0" w:space="0" w:color="auto"/>
          </w:divBdr>
        </w:div>
      </w:divsChild>
    </w:div>
    <w:div w:id="565923251">
      <w:bodyDiv w:val="1"/>
      <w:marLeft w:val="0"/>
      <w:marRight w:val="0"/>
      <w:marTop w:val="0"/>
      <w:marBottom w:val="0"/>
      <w:divBdr>
        <w:top w:val="none" w:sz="0" w:space="0" w:color="auto"/>
        <w:left w:val="none" w:sz="0" w:space="0" w:color="auto"/>
        <w:bottom w:val="none" w:sz="0" w:space="0" w:color="auto"/>
        <w:right w:val="none" w:sz="0" w:space="0" w:color="auto"/>
      </w:divBdr>
    </w:div>
    <w:div w:id="916943850">
      <w:bodyDiv w:val="1"/>
      <w:marLeft w:val="0"/>
      <w:marRight w:val="0"/>
      <w:marTop w:val="0"/>
      <w:marBottom w:val="0"/>
      <w:divBdr>
        <w:top w:val="none" w:sz="0" w:space="0" w:color="auto"/>
        <w:left w:val="none" w:sz="0" w:space="0" w:color="auto"/>
        <w:bottom w:val="none" w:sz="0" w:space="0" w:color="auto"/>
        <w:right w:val="none" w:sz="0" w:space="0" w:color="auto"/>
      </w:divBdr>
    </w:div>
    <w:div w:id="1175919615">
      <w:bodyDiv w:val="1"/>
      <w:marLeft w:val="0"/>
      <w:marRight w:val="0"/>
      <w:marTop w:val="0"/>
      <w:marBottom w:val="0"/>
      <w:divBdr>
        <w:top w:val="none" w:sz="0" w:space="0" w:color="auto"/>
        <w:left w:val="none" w:sz="0" w:space="0" w:color="auto"/>
        <w:bottom w:val="none" w:sz="0" w:space="0" w:color="auto"/>
        <w:right w:val="none" w:sz="0" w:space="0" w:color="auto"/>
      </w:divBdr>
    </w:div>
    <w:div w:id="1373725117">
      <w:bodyDiv w:val="1"/>
      <w:marLeft w:val="0"/>
      <w:marRight w:val="0"/>
      <w:marTop w:val="0"/>
      <w:marBottom w:val="0"/>
      <w:divBdr>
        <w:top w:val="none" w:sz="0" w:space="0" w:color="auto"/>
        <w:left w:val="none" w:sz="0" w:space="0" w:color="auto"/>
        <w:bottom w:val="none" w:sz="0" w:space="0" w:color="auto"/>
        <w:right w:val="none" w:sz="0" w:space="0" w:color="auto"/>
      </w:divBdr>
    </w:div>
    <w:div w:id="1472483122">
      <w:bodyDiv w:val="1"/>
      <w:marLeft w:val="0"/>
      <w:marRight w:val="0"/>
      <w:marTop w:val="0"/>
      <w:marBottom w:val="0"/>
      <w:divBdr>
        <w:top w:val="none" w:sz="0" w:space="0" w:color="auto"/>
        <w:left w:val="none" w:sz="0" w:space="0" w:color="auto"/>
        <w:bottom w:val="none" w:sz="0" w:space="0" w:color="auto"/>
        <w:right w:val="none" w:sz="0" w:space="0" w:color="auto"/>
      </w:divBdr>
      <w:divsChild>
        <w:div w:id="994336727">
          <w:marLeft w:val="0"/>
          <w:marRight w:val="0"/>
          <w:marTop w:val="0"/>
          <w:marBottom w:val="0"/>
          <w:divBdr>
            <w:top w:val="none" w:sz="0" w:space="0" w:color="auto"/>
            <w:left w:val="none" w:sz="0" w:space="0" w:color="auto"/>
            <w:bottom w:val="none" w:sz="0" w:space="0" w:color="auto"/>
            <w:right w:val="none" w:sz="0" w:space="0" w:color="auto"/>
          </w:divBdr>
        </w:div>
        <w:div w:id="1367632820">
          <w:marLeft w:val="0"/>
          <w:marRight w:val="0"/>
          <w:marTop w:val="0"/>
          <w:marBottom w:val="0"/>
          <w:divBdr>
            <w:top w:val="none" w:sz="0" w:space="0" w:color="auto"/>
            <w:left w:val="none" w:sz="0" w:space="0" w:color="auto"/>
            <w:bottom w:val="none" w:sz="0" w:space="0" w:color="auto"/>
            <w:right w:val="none" w:sz="0" w:space="0" w:color="auto"/>
          </w:divBdr>
        </w:div>
        <w:div w:id="1920023558">
          <w:marLeft w:val="0"/>
          <w:marRight w:val="0"/>
          <w:marTop w:val="0"/>
          <w:marBottom w:val="0"/>
          <w:divBdr>
            <w:top w:val="none" w:sz="0" w:space="0" w:color="auto"/>
            <w:left w:val="none" w:sz="0" w:space="0" w:color="auto"/>
            <w:bottom w:val="none" w:sz="0" w:space="0" w:color="auto"/>
            <w:right w:val="none" w:sz="0" w:space="0" w:color="auto"/>
          </w:divBdr>
        </w:div>
        <w:div w:id="1364405767">
          <w:marLeft w:val="0"/>
          <w:marRight w:val="0"/>
          <w:marTop w:val="0"/>
          <w:marBottom w:val="0"/>
          <w:divBdr>
            <w:top w:val="none" w:sz="0" w:space="0" w:color="auto"/>
            <w:left w:val="none" w:sz="0" w:space="0" w:color="auto"/>
            <w:bottom w:val="none" w:sz="0" w:space="0" w:color="auto"/>
            <w:right w:val="none" w:sz="0" w:space="0" w:color="auto"/>
          </w:divBdr>
        </w:div>
      </w:divsChild>
    </w:div>
    <w:div w:id="1582786514">
      <w:bodyDiv w:val="1"/>
      <w:marLeft w:val="0"/>
      <w:marRight w:val="0"/>
      <w:marTop w:val="0"/>
      <w:marBottom w:val="0"/>
      <w:divBdr>
        <w:top w:val="none" w:sz="0" w:space="0" w:color="auto"/>
        <w:left w:val="none" w:sz="0" w:space="0" w:color="auto"/>
        <w:bottom w:val="none" w:sz="0" w:space="0" w:color="auto"/>
        <w:right w:val="none" w:sz="0" w:space="0" w:color="auto"/>
      </w:divBdr>
    </w:div>
    <w:div w:id="179031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A8D44-9887-473D-B186-DEAF5E8C2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Brostow, Diana P.</dc:creator>
  <cp:keywords/>
  <dc:description/>
  <cp:lastModifiedBy>Rebecca Fitchett</cp:lastModifiedBy>
  <cp:revision>2</cp:revision>
  <dcterms:created xsi:type="dcterms:W3CDTF">2021-04-15T10:09:00Z</dcterms:created>
  <dcterms:modified xsi:type="dcterms:W3CDTF">2021-04-15T10:09:00Z</dcterms:modified>
</cp:coreProperties>
</file>