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3BDF4CDD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71718B">
        <w:rPr>
          <w:b/>
          <w:sz w:val="24"/>
          <w:szCs w:val="24"/>
        </w:rPr>
        <w:t>6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009485F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5CE419BD" w14:textId="46067A95" w:rsidR="0071718B" w:rsidRDefault="0071718B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p w14:paraId="01999135" w14:textId="5A1E95B1" w:rsidR="0071718B" w:rsidRDefault="0071718B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p w14:paraId="017CF743" w14:textId="77777777" w:rsidR="0071718B" w:rsidRPr="0071718B" w:rsidRDefault="0071718B" w:rsidP="0071718B">
      <w:pPr>
        <w:spacing w:line="240" w:lineRule="auto"/>
        <w:jc w:val="both"/>
        <w:rPr>
          <w:b/>
        </w:rPr>
      </w:pPr>
    </w:p>
    <w:p w14:paraId="32267765" w14:textId="77777777" w:rsidR="0071718B" w:rsidRPr="0071718B" w:rsidRDefault="0071718B" w:rsidP="0071718B">
      <w:pPr>
        <w:spacing w:line="276" w:lineRule="auto"/>
        <w:jc w:val="both"/>
      </w:pPr>
    </w:p>
    <w:tbl>
      <w:tblPr>
        <w:tblW w:w="92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5977"/>
      </w:tblGrid>
      <w:tr w:rsidR="0071718B" w:rsidRPr="0071718B" w14:paraId="02A327FB" w14:textId="77777777" w:rsidTr="00BA6AF2">
        <w:trPr>
          <w:trHeight w:val="265"/>
        </w:trPr>
        <w:tc>
          <w:tcPr>
            <w:tcW w:w="3265" w:type="dxa"/>
          </w:tcPr>
          <w:p w14:paraId="08BF1E0F" w14:textId="77777777" w:rsidR="0071718B" w:rsidRPr="0071718B" w:rsidRDefault="0071718B" w:rsidP="0071718B">
            <w:pPr>
              <w:spacing w:after="0" w:line="276" w:lineRule="auto"/>
              <w:jc w:val="both"/>
              <w:rPr>
                <w:b/>
              </w:rPr>
            </w:pPr>
            <w:r w:rsidRPr="0071718B">
              <w:rPr>
                <w:b/>
              </w:rPr>
              <w:t>Class</w:t>
            </w:r>
          </w:p>
        </w:tc>
        <w:tc>
          <w:tcPr>
            <w:tcW w:w="5977" w:type="dxa"/>
          </w:tcPr>
          <w:p w14:paraId="26F0E58D" w14:textId="77777777" w:rsidR="0071718B" w:rsidRPr="0071718B" w:rsidRDefault="0071718B" w:rsidP="0071718B">
            <w:pPr>
              <w:spacing w:after="0" w:line="276" w:lineRule="auto"/>
              <w:jc w:val="both"/>
              <w:rPr>
                <w:b/>
              </w:rPr>
            </w:pPr>
            <w:r w:rsidRPr="0071718B">
              <w:rPr>
                <w:b/>
              </w:rPr>
              <w:t>Function</w:t>
            </w:r>
          </w:p>
        </w:tc>
      </w:tr>
      <w:tr w:rsidR="0071718B" w:rsidRPr="0071718B" w14:paraId="7B3A9BD3" w14:textId="77777777" w:rsidTr="00BA6AF2">
        <w:trPr>
          <w:trHeight w:val="253"/>
        </w:trPr>
        <w:tc>
          <w:tcPr>
            <w:tcW w:w="3265" w:type="dxa"/>
          </w:tcPr>
          <w:p w14:paraId="48418A88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Glycoside hydrolases (GH)</w:t>
            </w:r>
          </w:p>
        </w:tc>
        <w:tc>
          <w:tcPr>
            <w:tcW w:w="5977" w:type="dxa"/>
          </w:tcPr>
          <w:p w14:paraId="156C6A67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 xml:space="preserve">Hydrolysis and/or </w:t>
            </w:r>
            <w:proofErr w:type="spellStart"/>
            <w:r w:rsidRPr="0071718B">
              <w:t>transglycosylation</w:t>
            </w:r>
            <w:proofErr w:type="spellEnd"/>
            <w:r w:rsidRPr="0071718B">
              <w:t xml:space="preserve"> of glycosidic bonds.</w:t>
            </w:r>
          </w:p>
        </w:tc>
      </w:tr>
      <w:tr w:rsidR="0071718B" w:rsidRPr="0071718B" w14:paraId="24D55369" w14:textId="77777777" w:rsidTr="00BA6AF2">
        <w:trPr>
          <w:trHeight w:val="265"/>
        </w:trPr>
        <w:tc>
          <w:tcPr>
            <w:tcW w:w="3265" w:type="dxa"/>
          </w:tcPr>
          <w:p w14:paraId="1278E684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Glycosyltransferases (GT)</w:t>
            </w:r>
          </w:p>
        </w:tc>
        <w:tc>
          <w:tcPr>
            <w:tcW w:w="5977" w:type="dxa"/>
          </w:tcPr>
          <w:p w14:paraId="433008FB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Biosynthesis of glycosidic bonds from phospho-activated sugar donors.</w:t>
            </w:r>
          </w:p>
        </w:tc>
      </w:tr>
      <w:tr w:rsidR="0071718B" w:rsidRPr="0071718B" w14:paraId="5B52374A" w14:textId="77777777" w:rsidTr="00BA6AF2">
        <w:trPr>
          <w:trHeight w:val="530"/>
        </w:trPr>
        <w:tc>
          <w:tcPr>
            <w:tcW w:w="3265" w:type="dxa"/>
          </w:tcPr>
          <w:p w14:paraId="26EDAEE6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Polysaccharide lyases (PL)</w:t>
            </w:r>
          </w:p>
        </w:tc>
        <w:tc>
          <w:tcPr>
            <w:tcW w:w="5977" w:type="dxa"/>
          </w:tcPr>
          <w:p w14:paraId="075B7989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 xml:space="preserve">Cleavage of the glycosidic bonds of </w:t>
            </w:r>
            <w:proofErr w:type="spellStart"/>
            <w:r w:rsidRPr="0071718B">
              <w:t>uronic</w:t>
            </w:r>
            <w:proofErr w:type="spellEnd"/>
            <w:r w:rsidRPr="0071718B">
              <w:t xml:space="preserve"> acid-containing polysaccharides by a β-elimination mechanism.</w:t>
            </w:r>
          </w:p>
        </w:tc>
      </w:tr>
      <w:tr w:rsidR="0071718B" w:rsidRPr="0071718B" w14:paraId="426BD7F7" w14:textId="77777777" w:rsidTr="00BA6AF2">
        <w:trPr>
          <w:trHeight w:val="782"/>
        </w:trPr>
        <w:tc>
          <w:tcPr>
            <w:tcW w:w="3265" w:type="dxa"/>
          </w:tcPr>
          <w:p w14:paraId="7C1FE666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 xml:space="preserve">Carbohydrate </w:t>
            </w:r>
            <w:proofErr w:type="spellStart"/>
            <w:r w:rsidRPr="0071718B">
              <w:t>esterases</w:t>
            </w:r>
            <w:proofErr w:type="spellEnd"/>
            <w:r w:rsidRPr="0071718B">
              <w:t xml:space="preserve"> (CE)</w:t>
            </w:r>
          </w:p>
        </w:tc>
        <w:tc>
          <w:tcPr>
            <w:tcW w:w="5977" w:type="dxa"/>
          </w:tcPr>
          <w:p w14:paraId="6ED6D30F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Removal of ester-based modifications present in mono-, oligo- and polysaccharides, thereby facilitating the action of GHs on complex polysaccharides.</w:t>
            </w:r>
          </w:p>
        </w:tc>
      </w:tr>
      <w:tr w:rsidR="0071718B" w:rsidRPr="0071718B" w14:paraId="45F93703" w14:textId="77777777" w:rsidTr="00BA6AF2">
        <w:trPr>
          <w:trHeight w:val="530"/>
        </w:trPr>
        <w:tc>
          <w:tcPr>
            <w:tcW w:w="3265" w:type="dxa"/>
          </w:tcPr>
          <w:p w14:paraId="3E48FFC3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Carbohydrate-binding modules (CBM)</w:t>
            </w:r>
          </w:p>
        </w:tc>
        <w:tc>
          <w:tcPr>
            <w:tcW w:w="5977" w:type="dxa"/>
          </w:tcPr>
          <w:p w14:paraId="1188BE4C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 xml:space="preserve">Targeted to substrate and promoting prolonged interacting, thereby potentiating the enzymatic activities of </w:t>
            </w:r>
            <w:proofErr w:type="spellStart"/>
            <w:r w:rsidRPr="0071718B">
              <w:t>CAZymes</w:t>
            </w:r>
            <w:proofErr w:type="spellEnd"/>
            <w:r w:rsidRPr="0071718B">
              <w:t xml:space="preserve">.  </w:t>
            </w:r>
          </w:p>
        </w:tc>
      </w:tr>
      <w:tr w:rsidR="0071718B" w:rsidRPr="0071718B" w14:paraId="490A6330" w14:textId="77777777" w:rsidTr="00BA6AF2">
        <w:trPr>
          <w:trHeight w:val="782"/>
        </w:trPr>
        <w:tc>
          <w:tcPr>
            <w:tcW w:w="3265" w:type="dxa"/>
          </w:tcPr>
          <w:p w14:paraId="04C039EC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Auxiliary Activities (AA)</w:t>
            </w:r>
          </w:p>
        </w:tc>
        <w:tc>
          <w:tcPr>
            <w:tcW w:w="5977" w:type="dxa"/>
          </w:tcPr>
          <w:p w14:paraId="5D7ABF51" w14:textId="77777777" w:rsidR="0071718B" w:rsidRPr="0071718B" w:rsidRDefault="0071718B" w:rsidP="0071718B">
            <w:pPr>
              <w:spacing w:after="0" w:line="276" w:lineRule="auto"/>
              <w:jc w:val="both"/>
            </w:pPr>
            <w:r w:rsidRPr="0071718B">
              <w:t>Catalytic enzymes potentially involved in plant cell degradation through an ability to help the original GH, PL and CE enzymes gain access to the carbohydrates comprising the plant cell wall</w:t>
            </w:r>
          </w:p>
        </w:tc>
      </w:tr>
    </w:tbl>
    <w:p w14:paraId="5475354F" w14:textId="77777777" w:rsidR="0071718B" w:rsidRDefault="0071718B" w:rsidP="0071718B">
      <w:pPr>
        <w:spacing w:line="276" w:lineRule="auto"/>
        <w:jc w:val="both"/>
        <w:rPr>
          <w:b/>
        </w:rPr>
      </w:pPr>
    </w:p>
    <w:p w14:paraId="2E8BFD55" w14:textId="7B89119A" w:rsidR="0071718B" w:rsidRPr="0071718B" w:rsidRDefault="0071718B" w:rsidP="0071718B">
      <w:pPr>
        <w:spacing w:line="276" w:lineRule="auto"/>
        <w:jc w:val="both"/>
      </w:pPr>
      <w:r w:rsidRPr="0071718B">
        <w:rPr>
          <w:b/>
        </w:rPr>
        <w:t xml:space="preserve">Table S6:  </w:t>
      </w:r>
      <w:proofErr w:type="spellStart"/>
      <w:r w:rsidRPr="0071718B">
        <w:rPr>
          <w:b/>
        </w:rPr>
        <w:t>CAZyDB</w:t>
      </w:r>
      <w:proofErr w:type="spellEnd"/>
      <w:r w:rsidRPr="0071718B">
        <w:rPr>
          <w:b/>
        </w:rPr>
        <w:t xml:space="preserve"> classes and their associated function. </w:t>
      </w:r>
      <w:r w:rsidRPr="0071718B">
        <w:t xml:space="preserve"> </w:t>
      </w:r>
    </w:p>
    <w:bookmarkEnd w:id="0"/>
    <w:p w14:paraId="62619AFD" w14:textId="77777777" w:rsidR="0071718B" w:rsidRDefault="0071718B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sectPr w:rsidR="00717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74AC1"/>
    <w:rsid w:val="0029486C"/>
    <w:rsid w:val="00382195"/>
    <w:rsid w:val="003C0253"/>
    <w:rsid w:val="003D6020"/>
    <w:rsid w:val="005812EE"/>
    <w:rsid w:val="0071718B"/>
    <w:rsid w:val="00760752"/>
    <w:rsid w:val="00814E74"/>
    <w:rsid w:val="009248C0"/>
    <w:rsid w:val="00CC6404"/>
    <w:rsid w:val="00D77EF3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2023-08-01T09:24:00Z</cp:lastPrinted>
  <dcterms:created xsi:type="dcterms:W3CDTF">2023-08-01T10:00:00Z</dcterms:created>
  <dcterms:modified xsi:type="dcterms:W3CDTF">2023-08-01T10:00:00Z</dcterms:modified>
</cp:coreProperties>
</file>