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both"/>
        <w:rPr>
          <w:rFonts w:ascii="EB Garamond" w:cs="EB Garamond" w:eastAsia="EB Garamond" w:hAnsi="EB Garamond"/>
          <w:b w:val="1"/>
        </w:rPr>
      </w:pPr>
      <w:r w:rsidDel="00000000" w:rsidR="00000000" w:rsidRPr="00000000">
        <w:rPr>
          <w:rtl w:val="0"/>
        </w:rPr>
      </w:r>
    </w:p>
    <w:p w:rsidR="00000000" w:rsidDel="00000000" w:rsidP="00000000" w:rsidRDefault="00000000" w:rsidRPr="00000000" w14:paraId="00000002">
      <w:pPr>
        <w:jc w:val="both"/>
        <w:rPr>
          <w:rFonts w:ascii="EB Garamond" w:cs="EB Garamond" w:eastAsia="EB Garamond" w:hAnsi="EB Garamond"/>
          <w:b w:val="1"/>
        </w:rPr>
      </w:pPr>
      <w:r w:rsidDel="00000000" w:rsidR="00000000" w:rsidRPr="00000000">
        <w:rPr>
          <w:rFonts w:ascii="EB Garamond" w:cs="EB Garamond" w:eastAsia="EB Garamond" w:hAnsi="EB Garamond"/>
          <w:b w:val="1"/>
          <w:rtl w:val="0"/>
        </w:rPr>
        <w:t xml:space="preserve">Supplementary figures</w:t>
      </w:r>
    </w:p>
    <w:p w:rsidR="00000000" w:rsidDel="00000000" w:rsidP="00000000" w:rsidRDefault="00000000" w:rsidRPr="00000000" w14:paraId="00000003">
      <w:pPr>
        <w:jc w:val="both"/>
        <w:rPr>
          <w:rFonts w:ascii="EB Garamond" w:cs="EB Garamond" w:eastAsia="EB Garamond" w:hAnsi="EB Garamond"/>
          <w:b w:val="1"/>
        </w:rPr>
      </w:pPr>
      <w:r w:rsidDel="00000000" w:rsidR="00000000" w:rsidRPr="00000000">
        <w:rPr>
          <w:rtl w:val="0"/>
        </w:rPr>
      </w:r>
    </w:p>
    <w:p w:rsidR="00000000" w:rsidDel="00000000" w:rsidP="00000000" w:rsidRDefault="00000000" w:rsidRPr="00000000" w14:paraId="00000004">
      <w:pPr>
        <w:jc w:val="both"/>
        <w:rPr>
          <w:rFonts w:ascii="EB Garamond" w:cs="EB Garamond" w:eastAsia="EB Garamond" w:hAnsi="EB Garamond"/>
          <w:b w:val="1"/>
        </w:rPr>
      </w:pPr>
      <w:r w:rsidDel="00000000" w:rsidR="00000000" w:rsidRPr="00000000">
        <w:rPr>
          <w:rFonts w:ascii="EB Garamond" w:cs="EB Garamond" w:eastAsia="EB Garamond" w:hAnsi="EB Garamond"/>
          <w:b w:val="1"/>
        </w:rPr>
        <w:drawing>
          <wp:inline distB="114300" distT="114300" distL="114300" distR="114300">
            <wp:extent cx="5731200" cy="4457700"/>
            <wp:effectExtent b="0" l="0" r="0" t="0"/>
            <wp:docPr id="3"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7312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jc w:val="both"/>
        <w:rPr>
          <w:rFonts w:ascii="EB Garamond" w:cs="EB Garamond" w:eastAsia="EB Garamond" w:hAnsi="EB Garamond"/>
          <w:b w:val="1"/>
        </w:rPr>
      </w:pPr>
      <w:r w:rsidDel="00000000" w:rsidR="00000000" w:rsidRPr="00000000">
        <w:rPr>
          <w:rtl w:val="0"/>
        </w:rPr>
      </w:r>
    </w:p>
    <w:p w:rsidR="00000000" w:rsidDel="00000000" w:rsidP="00000000" w:rsidRDefault="00000000" w:rsidRPr="00000000" w14:paraId="00000006">
      <w:pPr>
        <w:jc w:val="both"/>
        <w:rPr>
          <w:rFonts w:ascii="EB Garamond" w:cs="EB Garamond" w:eastAsia="EB Garamond" w:hAnsi="EB Garamond"/>
          <w:b w:val="1"/>
        </w:rPr>
      </w:pPr>
      <w:r w:rsidDel="00000000" w:rsidR="00000000" w:rsidRPr="00000000">
        <w:rPr>
          <w:rFonts w:ascii="EB Garamond" w:cs="EB Garamond" w:eastAsia="EB Garamond" w:hAnsi="EB Garamond"/>
          <w:b w:val="1"/>
          <w:rtl w:val="0"/>
        </w:rPr>
        <w:t xml:space="preserve">Figure S1 - Environmental conditions in the greenhouse, leaf area and carbon assimilation.</w:t>
      </w:r>
      <w:r w:rsidDel="00000000" w:rsidR="00000000" w:rsidRPr="00000000">
        <w:rPr>
          <w:rFonts w:ascii="EB Garamond" w:cs="EB Garamond" w:eastAsia="EB Garamond" w:hAnsi="EB Garamond"/>
          <w:rtl w:val="0"/>
        </w:rPr>
        <w:t xml:space="preserve"> (A) Ambient light during LI-6800 measurements (last 5 min of each steady-state used for correlation analysis at 100, 1000 and 0 PAR; both the total set of 120 measurements and the area-corrected subset of 35 individuals are shown). (B) Temperature during LI-6800 measurements (last 5 min of each steady-state used for correlation analysis 100, 1000 and 0 PAR; both the total set of 120 measurements and the area-corrected subset of 35 individuals are shown). (C) Relative humidity during LI-6800 measurements (last 5 min of each steady-state used for correlation analysis 100, 1000 and 0 PAR; both the total set of 120 measurements and the area-corrected subset of 35 individuals are shown). (D) Range of starting time of Li-6800 measurements of the 120 individuals (grey) and of the data subset of 35 individuals (magenta). (E) Leaf area accurately measured in a subset of 35 individuals (0.64±0.12). (F) Carbon assimilation during the light transitions 1000-100-1000 PAR (in black, data from 120 corrected by average leaf area of 0.64 cm</w:t>
      </w:r>
      <w:r w:rsidDel="00000000" w:rsidR="00000000" w:rsidRPr="00000000">
        <w:rPr>
          <w:rFonts w:ascii="EB Garamond" w:cs="EB Garamond" w:eastAsia="EB Garamond" w:hAnsi="EB Garamond"/>
          <w:vertAlign w:val="superscript"/>
          <w:rtl w:val="0"/>
        </w:rPr>
        <w:t xml:space="preserve">2</w:t>
      </w:r>
      <w:r w:rsidDel="00000000" w:rsidR="00000000" w:rsidRPr="00000000">
        <w:rPr>
          <w:rFonts w:ascii="EB Garamond" w:cs="EB Garamond" w:eastAsia="EB Garamond" w:hAnsi="EB Garamond"/>
          <w:rtl w:val="0"/>
        </w:rPr>
        <w:t xml:space="preserve"> and in magenta data from a subset of 35 individuals corrected by individual leaf area). P-values from t-tests are indicated.</w:t>
        <w:br w:type="textWrapping"/>
        <w:br w:type="textWrapping"/>
        <w:br w:type="textWrapping"/>
      </w:r>
      <w:r w:rsidDel="00000000" w:rsidR="00000000" w:rsidRPr="00000000">
        <w:rPr>
          <w:rtl w:val="0"/>
        </w:rPr>
      </w:r>
    </w:p>
    <w:p w:rsidR="00000000" w:rsidDel="00000000" w:rsidP="00000000" w:rsidRDefault="00000000" w:rsidRPr="00000000" w14:paraId="00000007">
      <w:pPr>
        <w:jc w:val="both"/>
        <w:rPr>
          <w:rFonts w:ascii="EB Garamond" w:cs="EB Garamond" w:eastAsia="EB Garamond" w:hAnsi="EB Garamond"/>
          <w:b w:val="1"/>
        </w:rPr>
      </w:pPr>
      <w:r w:rsidDel="00000000" w:rsidR="00000000" w:rsidRPr="00000000">
        <w:rPr>
          <w:rFonts w:ascii="EB Garamond" w:cs="EB Garamond" w:eastAsia="EB Garamond" w:hAnsi="EB Garamond"/>
          <w:b w:val="1"/>
        </w:rPr>
        <w:drawing>
          <wp:inline distB="114300" distT="114300" distL="114300" distR="114300">
            <wp:extent cx="5731200" cy="7912100"/>
            <wp:effectExtent b="0" l="0" r="0" t="0"/>
            <wp:docPr id="5"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5731200" cy="791210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jc w:val="both"/>
        <w:rPr>
          <w:rFonts w:ascii="EB Garamond" w:cs="EB Garamond" w:eastAsia="EB Garamond" w:hAnsi="EB Garamond"/>
          <w:b w:val="1"/>
        </w:rPr>
      </w:pPr>
      <w:r w:rsidDel="00000000" w:rsidR="00000000" w:rsidRPr="00000000">
        <w:rPr>
          <w:rFonts w:ascii="EB Garamond" w:cs="EB Garamond" w:eastAsia="EB Garamond" w:hAnsi="EB Garamond"/>
          <w:b w:val="1"/>
          <w:rtl w:val="0"/>
        </w:rPr>
        <w:t xml:space="preserve">Figure S2 - Effect of environmental conditions on gas exchange and stomatal kinetics. </w:t>
      </w:r>
      <w:r w:rsidDel="00000000" w:rsidR="00000000" w:rsidRPr="00000000">
        <w:rPr>
          <w:rFonts w:ascii="EB Garamond" w:cs="EB Garamond" w:eastAsia="EB Garamond" w:hAnsi="EB Garamond"/>
          <w:rtl w:val="0"/>
        </w:rPr>
        <w:t xml:space="preserve">(A) Non-linear relation between </w:t>
      </w:r>
      <w:r w:rsidDel="00000000" w:rsidR="00000000" w:rsidRPr="00000000">
        <w:rPr>
          <w:rFonts w:ascii="EB Garamond" w:cs="EB Garamond" w:eastAsia="EB Garamond" w:hAnsi="EB Garamond"/>
          <w:i w:val="1"/>
          <w:rtl w:val="0"/>
        </w:rPr>
        <w:t xml:space="preserve">A</w:t>
      </w:r>
      <w:r w:rsidDel="00000000" w:rsidR="00000000" w:rsidRPr="00000000">
        <w:rPr>
          <w:rFonts w:ascii="EB Garamond" w:cs="EB Garamond" w:eastAsia="EB Garamond" w:hAnsi="EB Garamond"/>
          <w:rtl w:val="0"/>
        </w:rPr>
        <w:t xml:space="preserve"> and time at 100 PAR (n=35). (B) Non-linear relation between </w:t>
      </w:r>
      <w:r w:rsidDel="00000000" w:rsidR="00000000" w:rsidRPr="00000000">
        <w:rPr>
          <w:rFonts w:ascii="EB Garamond" w:cs="EB Garamond" w:eastAsia="EB Garamond" w:hAnsi="EB Garamond"/>
          <w:i w:val="1"/>
          <w:rtl w:val="0"/>
        </w:rPr>
        <w:t xml:space="preserve">g</w:t>
      </w:r>
      <w:r w:rsidDel="00000000" w:rsidR="00000000" w:rsidRPr="00000000">
        <w:rPr>
          <w:rFonts w:ascii="EB Garamond" w:cs="EB Garamond" w:eastAsia="EB Garamond" w:hAnsi="EB Garamond"/>
          <w:vertAlign w:val="subscript"/>
          <w:rtl w:val="0"/>
        </w:rPr>
        <w:t xml:space="preserve">sw</w:t>
      </w:r>
      <w:r w:rsidDel="00000000" w:rsidR="00000000" w:rsidRPr="00000000">
        <w:rPr>
          <w:rFonts w:ascii="EB Garamond" w:cs="EB Garamond" w:eastAsia="EB Garamond" w:hAnsi="EB Garamond"/>
          <w:rtl w:val="0"/>
        </w:rPr>
        <w:t xml:space="preserve"> and time at 100 PAR (n=35). (C) Non-linear relation between </w:t>
      </w:r>
      <w:r w:rsidDel="00000000" w:rsidR="00000000" w:rsidRPr="00000000">
        <w:rPr>
          <w:rFonts w:ascii="EB Garamond" w:cs="EB Garamond" w:eastAsia="EB Garamond" w:hAnsi="EB Garamond"/>
          <w:i w:val="1"/>
          <w:rtl w:val="0"/>
        </w:rPr>
        <w:t xml:space="preserve">A</w:t>
      </w:r>
      <w:r w:rsidDel="00000000" w:rsidR="00000000" w:rsidRPr="00000000">
        <w:rPr>
          <w:rFonts w:ascii="EB Garamond" w:cs="EB Garamond" w:eastAsia="EB Garamond" w:hAnsi="EB Garamond"/>
          <w:rtl w:val="0"/>
        </w:rPr>
        <w:t xml:space="preserve"> and time at 1000 PAR (n=35). (D) Non-linear relation between </w:t>
      </w:r>
      <w:r w:rsidDel="00000000" w:rsidR="00000000" w:rsidRPr="00000000">
        <w:rPr>
          <w:rFonts w:ascii="EB Garamond" w:cs="EB Garamond" w:eastAsia="EB Garamond" w:hAnsi="EB Garamond"/>
          <w:i w:val="1"/>
          <w:rtl w:val="0"/>
        </w:rPr>
        <w:t xml:space="preserve">g</w:t>
      </w:r>
      <w:r w:rsidDel="00000000" w:rsidR="00000000" w:rsidRPr="00000000">
        <w:rPr>
          <w:rFonts w:ascii="EB Garamond" w:cs="EB Garamond" w:eastAsia="EB Garamond" w:hAnsi="EB Garamond"/>
          <w:vertAlign w:val="subscript"/>
          <w:rtl w:val="0"/>
        </w:rPr>
        <w:t xml:space="preserve">sw</w:t>
      </w:r>
      <w:r w:rsidDel="00000000" w:rsidR="00000000" w:rsidRPr="00000000">
        <w:rPr>
          <w:rFonts w:ascii="EB Garamond" w:cs="EB Garamond" w:eastAsia="EB Garamond" w:hAnsi="EB Garamond"/>
          <w:rtl w:val="0"/>
        </w:rPr>
        <w:t xml:space="preserve"> and time at 1000 PAR (n=35). (E) Correlation matrix between </w:t>
      </w:r>
      <w:r w:rsidDel="00000000" w:rsidR="00000000" w:rsidRPr="00000000">
        <w:rPr>
          <w:rFonts w:ascii="EB Garamond" w:cs="EB Garamond" w:eastAsia="EB Garamond" w:hAnsi="EB Garamond"/>
          <w:i w:val="1"/>
          <w:rtl w:val="0"/>
        </w:rPr>
        <w:t xml:space="preserve">g</w:t>
      </w:r>
      <w:r w:rsidDel="00000000" w:rsidR="00000000" w:rsidRPr="00000000">
        <w:rPr>
          <w:rFonts w:ascii="EB Garamond" w:cs="EB Garamond" w:eastAsia="EB Garamond" w:hAnsi="EB Garamond"/>
          <w:vertAlign w:val="subscript"/>
          <w:rtl w:val="0"/>
        </w:rPr>
        <w:t xml:space="preserve">sw</w:t>
      </w:r>
      <w:r w:rsidDel="00000000" w:rsidR="00000000" w:rsidRPr="00000000">
        <w:rPr>
          <w:rFonts w:ascii="EB Garamond" w:cs="EB Garamond" w:eastAsia="EB Garamond" w:hAnsi="EB Garamond"/>
          <w:rtl w:val="0"/>
        </w:rPr>
        <w:t xml:space="preserve"> at 0 PAR and environmental conditions (Q</w:t>
      </w:r>
      <w:r w:rsidDel="00000000" w:rsidR="00000000" w:rsidRPr="00000000">
        <w:rPr>
          <w:rFonts w:ascii="EB Garamond" w:cs="EB Garamond" w:eastAsia="EB Garamond" w:hAnsi="EB Garamond"/>
          <w:vertAlign w:val="subscript"/>
          <w:rtl w:val="0"/>
        </w:rPr>
        <w:t xml:space="preserve">out</w:t>
      </w:r>
      <w:r w:rsidDel="00000000" w:rsidR="00000000" w:rsidRPr="00000000">
        <w:rPr>
          <w:rFonts w:ascii="EB Garamond" w:cs="EB Garamond" w:eastAsia="EB Garamond" w:hAnsi="EB Garamond"/>
          <w:rtl w:val="0"/>
        </w:rPr>
        <w:t xml:space="preserve">, T, RH and time) (n=35). (F) Linear relation between </w:t>
      </w:r>
      <w:r w:rsidDel="00000000" w:rsidR="00000000" w:rsidRPr="00000000">
        <w:rPr>
          <w:rFonts w:ascii="EB Garamond" w:cs="EB Garamond" w:eastAsia="EB Garamond" w:hAnsi="EB Garamond"/>
          <w:i w:val="1"/>
          <w:rtl w:val="0"/>
        </w:rPr>
        <w:t xml:space="preserve">g</w:t>
      </w:r>
      <w:r w:rsidDel="00000000" w:rsidR="00000000" w:rsidRPr="00000000">
        <w:rPr>
          <w:rFonts w:ascii="EB Garamond" w:cs="EB Garamond" w:eastAsia="EB Garamond" w:hAnsi="EB Garamond"/>
          <w:vertAlign w:val="subscript"/>
          <w:rtl w:val="0"/>
        </w:rPr>
        <w:t xml:space="preserve">sw </w:t>
      </w:r>
      <w:r w:rsidDel="00000000" w:rsidR="00000000" w:rsidRPr="00000000">
        <w:rPr>
          <w:rFonts w:ascii="EB Garamond" w:cs="EB Garamond" w:eastAsia="EB Garamond" w:hAnsi="EB Garamond"/>
          <w:rtl w:val="0"/>
        </w:rPr>
        <w:t xml:space="preserve">and Q</w:t>
      </w:r>
      <w:r w:rsidDel="00000000" w:rsidR="00000000" w:rsidRPr="00000000">
        <w:rPr>
          <w:rFonts w:ascii="EB Garamond" w:cs="EB Garamond" w:eastAsia="EB Garamond" w:hAnsi="EB Garamond"/>
          <w:vertAlign w:val="subscript"/>
          <w:rtl w:val="0"/>
        </w:rPr>
        <w:t xml:space="preserve">out</w:t>
      </w:r>
      <w:r w:rsidDel="00000000" w:rsidR="00000000" w:rsidRPr="00000000">
        <w:rPr>
          <w:rFonts w:ascii="EB Garamond" w:cs="EB Garamond" w:eastAsia="EB Garamond" w:hAnsi="EB Garamond"/>
          <w:rtl w:val="0"/>
        </w:rPr>
        <w:t xml:space="preserve"> at 0 PAR (n=33). (G) Non-linear relation between  </w:t>
      </w:r>
      <w:r w:rsidDel="00000000" w:rsidR="00000000" w:rsidRPr="00000000">
        <w:rPr>
          <w:rFonts w:ascii="EB Garamond" w:cs="EB Garamond" w:eastAsia="EB Garamond" w:hAnsi="EB Garamond"/>
          <w:i w:val="1"/>
          <w:rtl w:val="0"/>
        </w:rPr>
        <w:t xml:space="preserve">g</w:t>
      </w:r>
      <w:r w:rsidDel="00000000" w:rsidR="00000000" w:rsidRPr="00000000">
        <w:rPr>
          <w:rFonts w:ascii="EB Garamond" w:cs="EB Garamond" w:eastAsia="EB Garamond" w:hAnsi="EB Garamond"/>
          <w:vertAlign w:val="subscript"/>
          <w:rtl w:val="0"/>
        </w:rPr>
        <w:t xml:space="preserve">sw </w:t>
      </w:r>
      <w:r w:rsidDel="00000000" w:rsidR="00000000" w:rsidRPr="00000000">
        <w:rPr>
          <w:rFonts w:ascii="EB Garamond" w:cs="EB Garamond" w:eastAsia="EB Garamond" w:hAnsi="EB Garamond"/>
          <w:rtl w:val="0"/>
        </w:rPr>
        <w:t xml:space="preserve">and time at 0 PAR (n=33). (H) Correlation matrix between stomatal half-time of the light transitions 1000-100 PAR(T</w:t>
      </w:r>
      <w:r w:rsidDel="00000000" w:rsidR="00000000" w:rsidRPr="00000000">
        <w:rPr>
          <w:rFonts w:ascii="EB Garamond" w:cs="EB Garamond" w:eastAsia="EB Garamond" w:hAnsi="EB Garamond"/>
          <w:vertAlign w:val="subscript"/>
          <w:rtl w:val="0"/>
        </w:rPr>
        <w:t xml:space="preserve">-50%</w:t>
      </w:r>
      <w:r w:rsidDel="00000000" w:rsidR="00000000" w:rsidRPr="00000000">
        <w:rPr>
          <w:rFonts w:ascii="EB Garamond" w:cs="EB Garamond" w:eastAsia="EB Garamond" w:hAnsi="EB Garamond"/>
          <w:rtl w:val="0"/>
        </w:rPr>
        <w:t xml:space="preserve">I), 100-1000 PAR (T</w:t>
      </w:r>
      <w:r w:rsidDel="00000000" w:rsidR="00000000" w:rsidRPr="00000000">
        <w:rPr>
          <w:rFonts w:ascii="EB Garamond" w:cs="EB Garamond" w:eastAsia="EB Garamond" w:hAnsi="EB Garamond"/>
          <w:vertAlign w:val="subscript"/>
          <w:rtl w:val="0"/>
        </w:rPr>
        <w:t xml:space="preserve">+50%</w:t>
      </w:r>
      <w:r w:rsidDel="00000000" w:rsidR="00000000" w:rsidRPr="00000000">
        <w:rPr>
          <w:rFonts w:ascii="EB Garamond" w:cs="EB Garamond" w:eastAsia="EB Garamond" w:hAnsi="EB Garamond"/>
          <w:rtl w:val="0"/>
        </w:rPr>
        <w:t xml:space="preserve">II) and 1000-0 PAR (T</w:t>
      </w:r>
      <w:r w:rsidDel="00000000" w:rsidR="00000000" w:rsidRPr="00000000">
        <w:rPr>
          <w:rFonts w:ascii="EB Garamond" w:cs="EB Garamond" w:eastAsia="EB Garamond" w:hAnsi="EB Garamond"/>
          <w:vertAlign w:val="subscript"/>
          <w:rtl w:val="0"/>
        </w:rPr>
        <w:t xml:space="preserve">-50%</w:t>
      </w:r>
      <w:r w:rsidDel="00000000" w:rsidR="00000000" w:rsidRPr="00000000">
        <w:rPr>
          <w:rFonts w:ascii="EB Garamond" w:cs="EB Garamond" w:eastAsia="EB Garamond" w:hAnsi="EB Garamond"/>
          <w:rtl w:val="0"/>
        </w:rPr>
        <w:t xml:space="preserve">III) and initial/final step steady-state </w:t>
      </w:r>
      <w:r w:rsidDel="00000000" w:rsidR="00000000" w:rsidRPr="00000000">
        <w:rPr>
          <w:rFonts w:ascii="EB Garamond" w:cs="EB Garamond" w:eastAsia="EB Garamond" w:hAnsi="EB Garamond"/>
          <w:i w:val="1"/>
          <w:rtl w:val="0"/>
        </w:rPr>
        <w:t xml:space="preserve">g</w:t>
      </w:r>
      <w:r w:rsidDel="00000000" w:rsidR="00000000" w:rsidRPr="00000000">
        <w:rPr>
          <w:rFonts w:ascii="EB Garamond" w:cs="EB Garamond" w:eastAsia="EB Garamond" w:hAnsi="EB Garamond"/>
          <w:vertAlign w:val="subscript"/>
          <w:rtl w:val="0"/>
        </w:rPr>
        <w:t xml:space="preserve">sw  </w:t>
      </w:r>
      <w:r w:rsidDel="00000000" w:rsidR="00000000" w:rsidRPr="00000000">
        <w:rPr>
          <w:rFonts w:ascii="EB Garamond" w:cs="EB Garamond" w:eastAsia="EB Garamond" w:hAnsi="EB Garamond"/>
          <w:rtl w:val="0"/>
        </w:rPr>
        <w:t xml:space="preserve">(n=35). (I) Correlation matrix of stomatal closure half-time during the first light transition from 1000 to 100 PAR (T</w:t>
      </w:r>
      <w:r w:rsidDel="00000000" w:rsidR="00000000" w:rsidRPr="00000000">
        <w:rPr>
          <w:rFonts w:ascii="EB Garamond" w:cs="EB Garamond" w:eastAsia="EB Garamond" w:hAnsi="EB Garamond"/>
          <w:vertAlign w:val="subscript"/>
          <w:rtl w:val="0"/>
        </w:rPr>
        <w:t xml:space="preserve">-50%</w:t>
      </w:r>
      <w:r w:rsidDel="00000000" w:rsidR="00000000" w:rsidRPr="00000000">
        <w:rPr>
          <w:rFonts w:ascii="EB Garamond" w:cs="EB Garamond" w:eastAsia="EB Garamond" w:hAnsi="EB Garamond"/>
          <w:rtl w:val="0"/>
        </w:rPr>
        <w:t xml:space="preserve">I), T (1000 and 100 PAR), RH (1000 and 100 PAR), Q</w:t>
      </w:r>
      <w:r w:rsidDel="00000000" w:rsidR="00000000" w:rsidRPr="00000000">
        <w:rPr>
          <w:rFonts w:ascii="EB Garamond" w:cs="EB Garamond" w:eastAsia="EB Garamond" w:hAnsi="EB Garamond"/>
          <w:vertAlign w:val="subscript"/>
          <w:rtl w:val="0"/>
        </w:rPr>
        <w:t xml:space="preserve">out</w:t>
      </w:r>
      <w:r w:rsidDel="00000000" w:rsidR="00000000" w:rsidRPr="00000000">
        <w:rPr>
          <w:rFonts w:ascii="EB Garamond" w:cs="EB Garamond" w:eastAsia="EB Garamond" w:hAnsi="EB Garamond"/>
          <w:rtl w:val="0"/>
        </w:rPr>
        <w:t xml:space="preserve">(1000 and 100 PAR) and time (n=120). (J) Correlation matrix of stomatal opening half-time during the second light transition from 100 to 1000 PAR (T</w:t>
      </w:r>
      <w:r w:rsidDel="00000000" w:rsidR="00000000" w:rsidRPr="00000000">
        <w:rPr>
          <w:rFonts w:ascii="EB Garamond" w:cs="EB Garamond" w:eastAsia="EB Garamond" w:hAnsi="EB Garamond"/>
          <w:vertAlign w:val="subscript"/>
          <w:rtl w:val="0"/>
        </w:rPr>
        <w:t xml:space="preserve">+50%</w:t>
      </w:r>
      <w:r w:rsidDel="00000000" w:rsidR="00000000" w:rsidRPr="00000000">
        <w:rPr>
          <w:rFonts w:ascii="EB Garamond" w:cs="EB Garamond" w:eastAsia="EB Garamond" w:hAnsi="EB Garamond"/>
          <w:rtl w:val="0"/>
        </w:rPr>
        <w:t xml:space="preserve">II), T (100 and 1000 PAR), RH (100 and 1000 PAR), Q</w:t>
      </w:r>
      <w:r w:rsidDel="00000000" w:rsidR="00000000" w:rsidRPr="00000000">
        <w:rPr>
          <w:rFonts w:ascii="EB Garamond" w:cs="EB Garamond" w:eastAsia="EB Garamond" w:hAnsi="EB Garamond"/>
          <w:vertAlign w:val="subscript"/>
          <w:rtl w:val="0"/>
        </w:rPr>
        <w:t xml:space="preserve">out</w:t>
      </w:r>
      <w:r w:rsidDel="00000000" w:rsidR="00000000" w:rsidRPr="00000000">
        <w:rPr>
          <w:rFonts w:ascii="EB Garamond" w:cs="EB Garamond" w:eastAsia="EB Garamond" w:hAnsi="EB Garamond"/>
          <w:rtl w:val="0"/>
        </w:rPr>
        <w:t xml:space="preserve">(100 and 1000 PAR) and time (n=120). (K) Correlation matrix of stomatal closure half-time during the third light transition from 1000 to 0 PAR (T</w:t>
      </w:r>
      <w:r w:rsidDel="00000000" w:rsidR="00000000" w:rsidRPr="00000000">
        <w:rPr>
          <w:rFonts w:ascii="EB Garamond" w:cs="EB Garamond" w:eastAsia="EB Garamond" w:hAnsi="EB Garamond"/>
          <w:vertAlign w:val="subscript"/>
          <w:rtl w:val="0"/>
        </w:rPr>
        <w:t xml:space="preserve">+50%</w:t>
      </w:r>
      <w:r w:rsidDel="00000000" w:rsidR="00000000" w:rsidRPr="00000000">
        <w:rPr>
          <w:rFonts w:ascii="EB Garamond" w:cs="EB Garamond" w:eastAsia="EB Garamond" w:hAnsi="EB Garamond"/>
          <w:rtl w:val="0"/>
        </w:rPr>
        <w:t xml:space="preserve">II), T (1000 and 0 PAR), RH (1000 and 0 PAR), Q</w:t>
      </w:r>
      <w:r w:rsidDel="00000000" w:rsidR="00000000" w:rsidRPr="00000000">
        <w:rPr>
          <w:rFonts w:ascii="EB Garamond" w:cs="EB Garamond" w:eastAsia="EB Garamond" w:hAnsi="EB Garamond"/>
          <w:vertAlign w:val="subscript"/>
          <w:rtl w:val="0"/>
        </w:rPr>
        <w:t xml:space="preserve">out</w:t>
      </w:r>
      <w:r w:rsidDel="00000000" w:rsidR="00000000" w:rsidRPr="00000000">
        <w:rPr>
          <w:rFonts w:ascii="EB Garamond" w:cs="EB Garamond" w:eastAsia="EB Garamond" w:hAnsi="EB Garamond"/>
          <w:rtl w:val="0"/>
        </w:rPr>
        <w:t xml:space="preserve">(1000 and 0 PAR), time (n=120). R</w:t>
      </w:r>
      <w:r w:rsidDel="00000000" w:rsidR="00000000" w:rsidRPr="00000000">
        <w:rPr>
          <w:rFonts w:ascii="EB Garamond" w:cs="EB Garamond" w:eastAsia="EB Garamond" w:hAnsi="EB Garamond"/>
          <w:vertAlign w:val="superscript"/>
          <w:rtl w:val="0"/>
        </w:rPr>
        <w:t xml:space="preserve">2</w:t>
      </w:r>
      <w:r w:rsidDel="00000000" w:rsidR="00000000" w:rsidRPr="00000000">
        <w:rPr>
          <w:rFonts w:ascii="EB Garamond" w:cs="EB Garamond" w:eastAsia="EB Garamond" w:hAnsi="EB Garamond"/>
          <w:rtl w:val="0"/>
        </w:rPr>
        <w:t xml:space="preserve">, and Sy.x or p-values are indicated.</w:t>
        <w:br w:type="textWrapping"/>
      </w:r>
      <w:r w:rsidDel="00000000" w:rsidR="00000000" w:rsidRPr="00000000">
        <w:rPr>
          <w:rFonts w:ascii="EB Garamond" w:cs="EB Garamond" w:eastAsia="EB Garamond" w:hAnsi="EB Garamond"/>
          <w:b w:val="1"/>
          <w:rtl w:val="0"/>
        </w:rPr>
        <w:br w:type="textWrapping"/>
        <w:br w:type="textWrapping"/>
        <w:br w:type="textWrapping"/>
      </w:r>
    </w:p>
    <w:p w:rsidR="00000000" w:rsidDel="00000000" w:rsidP="00000000" w:rsidRDefault="00000000" w:rsidRPr="00000000" w14:paraId="00000009">
      <w:pPr>
        <w:jc w:val="both"/>
        <w:rPr>
          <w:rFonts w:ascii="EB Garamond" w:cs="EB Garamond" w:eastAsia="EB Garamond" w:hAnsi="EB Garamond"/>
        </w:rPr>
      </w:pPr>
      <w:r w:rsidDel="00000000" w:rsidR="00000000" w:rsidRPr="00000000">
        <w:rPr>
          <w:rtl w:val="0"/>
        </w:rPr>
      </w:r>
    </w:p>
    <w:p w:rsidR="00000000" w:rsidDel="00000000" w:rsidP="00000000" w:rsidRDefault="00000000" w:rsidRPr="00000000" w14:paraId="0000000A">
      <w:pPr>
        <w:jc w:val="both"/>
        <w:rPr>
          <w:rFonts w:ascii="EB Garamond" w:cs="EB Garamond" w:eastAsia="EB Garamond" w:hAnsi="EB Garamond"/>
        </w:rPr>
      </w:pPr>
      <w:r w:rsidDel="00000000" w:rsidR="00000000" w:rsidRPr="00000000">
        <w:rPr>
          <w:rtl w:val="0"/>
        </w:rPr>
      </w:r>
    </w:p>
    <w:p w:rsidR="00000000" w:rsidDel="00000000" w:rsidP="00000000" w:rsidRDefault="00000000" w:rsidRPr="00000000" w14:paraId="0000000B">
      <w:pPr>
        <w:jc w:val="both"/>
        <w:rPr>
          <w:rFonts w:ascii="EB Garamond" w:cs="EB Garamond" w:eastAsia="EB Garamond" w:hAnsi="EB Garamond"/>
        </w:rPr>
      </w:pPr>
      <w:r w:rsidDel="00000000" w:rsidR="00000000" w:rsidRPr="00000000">
        <w:rPr>
          <w:rtl w:val="0"/>
        </w:rPr>
      </w:r>
    </w:p>
    <w:p w:rsidR="00000000" w:rsidDel="00000000" w:rsidP="00000000" w:rsidRDefault="00000000" w:rsidRPr="00000000" w14:paraId="0000000C">
      <w:pPr>
        <w:jc w:val="both"/>
        <w:rPr>
          <w:rFonts w:ascii="EB Garamond" w:cs="EB Garamond" w:eastAsia="EB Garamond" w:hAnsi="EB Garamond"/>
        </w:rPr>
      </w:pPr>
      <w:r w:rsidDel="00000000" w:rsidR="00000000" w:rsidRPr="00000000">
        <w:rPr>
          <w:rtl w:val="0"/>
        </w:rPr>
      </w:r>
    </w:p>
    <w:p w:rsidR="00000000" w:rsidDel="00000000" w:rsidP="00000000" w:rsidRDefault="00000000" w:rsidRPr="00000000" w14:paraId="0000000D">
      <w:pPr>
        <w:jc w:val="both"/>
        <w:rPr>
          <w:rFonts w:ascii="EB Garamond" w:cs="EB Garamond" w:eastAsia="EB Garamond" w:hAnsi="EB Garamond"/>
        </w:rPr>
      </w:pPr>
      <w:r w:rsidDel="00000000" w:rsidR="00000000" w:rsidRPr="00000000">
        <w:rPr>
          <w:rtl w:val="0"/>
        </w:rPr>
      </w:r>
    </w:p>
    <w:p w:rsidR="00000000" w:rsidDel="00000000" w:rsidP="00000000" w:rsidRDefault="00000000" w:rsidRPr="00000000" w14:paraId="0000000E">
      <w:pPr>
        <w:jc w:val="both"/>
        <w:rPr>
          <w:rFonts w:ascii="EB Garamond" w:cs="EB Garamond" w:eastAsia="EB Garamond" w:hAnsi="EB Garamond"/>
        </w:rPr>
      </w:pPr>
      <w:r w:rsidDel="00000000" w:rsidR="00000000" w:rsidRPr="00000000">
        <w:rPr>
          <w:rtl w:val="0"/>
        </w:rPr>
      </w:r>
    </w:p>
    <w:p w:rsidR="00000000" w:rsidDel="00000000" w:rsidP="00000000" w:rsidRDefault="00000000" w:rsidRPr="00000000" w14:paraId="0000000F">
      <w:pPr>
        <w:jc w:val="both"/>
        <w:rPr>
          <w:rFonts w:ascii="EB Garamond" w:cs="EB Garamond" w:eastAsia="EB Garamond" w:hAnsi="EB Garamond"/>
        </w:rPr>
      </w:pPr>
      <w:r w:rsidDel="00000000" w:rsidR="00000000" w:rsidRPr="00000000">
        <w:rPr>
          <w:rtl w:val="0"/>
        </w:rPr>
      </w:r>
    </w:p>
    <w:p w:rsidR="00000000" w:rsidDel="00000000" w:rsidP="00000000" w:rsidRDefault="00000000" w:rsidRPr="00000000" w14:paraId="00000010">
      <w:pPr>
        <w:jc w:val="both"/>
        <w:rPr>
          <w:rFonts w:ascii="EB Garamond" w:cs="EB Garamond" w:eastAsia="EB Garamond" w:hAnsi="EB Garamond"/>
          <w:b w:val="1"/>
        </w:rPr>
      </w:pPr>
      <w:r w:rsidDel="00000000" w:rsidR="00000000" w:rsidRPr="00000000">
        <w:rPr>
          <w:rFonts w:ascii="EB Garamond" w:cs="EB Garamond" w:eastAsia="EB Garamond" w:hAnsi="EB Garamond"/>
          <w:rtl w:val="0"/>
        </w:rPr>
        <w:br w:type="textWrapping"/>
        <w:br w:type="textWrapping"/>
      </w:r>
      <w:r w:rsidDel="00000000" w:rsidR="00000000" w:rsidRPr="00000000">
        <w:rPr>
          <w:rtl w:val="0"/>
        </w:rPr>
      </w:r>
    </w:p>
    <w:p w:rsidR="00000000" w:rsidDel="00000000" w:rsidP="00000000" w:rsidRDefault="00000000" w:rsidRPr="00000000" w14:paraId="00000011">
      <w:pPr>
        <w:jc w:val="both"/>
        <w:rPr>
          <w:rFonts w:ascii="EB Garamond" w:cs="EB Garamond" w:eastAsia="EB Garamond" w:hAnsi="EB Garamond"/>
          <w:b w:val="1"/>
        </w:rPr>
      </w:pPr>
      <w:r w:rsidDel="00000000" w:rsidR="00000000" w:rsidRPr="00000000">
        <w:rPr>
          <w:rFonts w:ascii="EB Garamond" w:cs="EB Garamond" w:eastAsia="EB Garamond" w:hAnsi="EB Garamond"/>
          <w:b w:val="1"/>
        </w:rPr>
        <w:drawing>
          <wp:inline distB="114300" distT="114300" distL="114300" distR="114300">
            <wp:extent cx="5731200" cy="4089400"/>
            <wp:effectExtent b="0" l="0" r="0" t="0"/>
            <wp:docPr id="4"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5731200" cy="4089400"/>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jc w:val="both"/>
        <w:rPr>
          <w:rFonts w:ascii="EB Garamond" w:cs="EB Garamond" w:eastAsia="EB Garamond" w:hAnsi="EB Garamond"/>
          <w:b w:val="1"/>
        </w:rPr>
      </w:pPr>
      <w:r w:rsidDel="00000000" w:rsidR="00000000" w:rsidRPr="00000000">
        <w:rPr>
          <w:rFonts w:ascii="EB Garamond" w:cs="EB Garamond" w:eastAsia="EB Garamond" w:hAnsi="EB Garamond"/>
          <w:b w:val="1"/>
          <w:rtl w:val="0"/>
        </w:rPr>
        <w:t xml:space="preserve">Figure S3 - Seasonal effects on stomatal anatomy and environmental conditions. </w:t>
      </w:r>
      <w:r w:rsidDel="00000000" w:rsidR="00000000" w:rsidRPr="00000000">
        <w:rPr>
          <w:rFonts w:ascii="EB Garamond" w:cs="EB Garamond" w:eastAsia="EB Garamond" w:hAnsi="EB Garamond"/>
          <w:rtl w:val="0"/>
        </w:rPr>
        <w:t xml:space="preserve">(A) Mean values and standard deviation of stomatal length (SL), stomatal density (SD), average growth temperature (T), average growth relative humidity (RH) and day length (DL) for the summer, autumn and winter plants. (B) SL seasonal variation (summer n=5, autumn n=6, winter n=4). (C) SD seasonal variation (summer n=5, autumn n=6, winter n=4).). (D) Growth temperature variation for each season 2 weeks before leaf collection. (E) Growth relative humidity variation for each season 2 weeks before leaf collection. (F) Daily variation in ambient light intensity (data from LI-6800 measurements). (G) Non-linear relation between SL and day length. (H) Non-linear relation between SD and day length. (I) Physiological maximum stomatal conductance (</w:t>
      </w:r>
      <w:r w:rsidDel="00000000" w:rsidR="00000000" w:rsidRPr="00000000">
        <w:rPr>
          <w:rFonts w:ascii="EB Garamond" w:cs="EB Garamond" w:eastAsia="EB Garamond" w:hAnsi="EB Garamond"/>
          <w:i w:val="1"/>
          <w:rtl w:val="0"/>
        </w:rPr>
        <w:t xml:space="preserve">g</w:t>
      </w:r>
      <w:r w:rsidDel="00000000" w:rsidR="00000000" w:rsidRPr="00000000">
        <w:rPr>
          <w:rFonts w:ascii="EB Garamond" w:cs="EB Garamond" w:eastAsia="EB Garamond" w:hAnsi="EB Garamond"/>
          <w:vertAlign w:val="subscript"/>
          <w:rtl w:val="0"/>
        </w:rPr>
        <w:t xml:space="preserve">s</w:t>
      </w:r>
      <w:r w:rsidDel="00000000" w:rsidR="00000000" w:rsidRPr="00000000">
        <w:rPr>
          <w:rFonts w:ascii="EB Garamond" w:cs="EB Garamond" w:eastAsia="EB Garamond" w:hAnsi="EB Garamond"/>
          <w:rtl w:val="0"/>
        </w:rPr>
        <w:t xml:space="preserve">max) of summer (n=6) and autumn/winter (n=3/n=1, respectively) plants. The </w:t>
      </w:r>
      <w:r w:rsidDel="00000000" w:rsidR="00000000" w:rsidRPr="00000000">
        <w:rPr>
          <w:rFonts w:ascii="EB Garamond" w:cs="EB Garamond" w:eastAsia="EB Garamond" w:hAnsi="EB Garamond"/>
          <w:i w:val="1"/>
          <w:rtl w:val="0"/>
        </w:rPr>
        <w:t xml:space="preserve">g</w:t>
      </w:r>
      <w:r w:rsidDel="00000000" w:rsidR="00000000" w:rsidRPr="00000000">
        <w:rPr>
          <w:rFonts w:ascii="EB Garamond" w:cs="EB Garamond" w:eastAsia="EB Garamond" w:hAnsi="EB Garamond"/>
          <w:vertAlign w:val="subscript"/>
          <w:rtl w:val="0"/>
        </w:rPr>
        <w:t xml:space="preserve">s</w:t>
      </w:r>
      <w:r w:rsidDel="00000000" w:rsidR="00000000" w:rsidRPr="00000000">
        <w:rPr>
          <w:rFonts w:ascii="EB Garamond" w:cs="EB Garamond" w:eastAsia="EB Garamond" w:hAnsi="EB Garamond"/>
          <w:rtl w:val="0"/>
        </w:rPr>
        <w:t xml:space="preserve">max measurements were not performed on the plants that were anatomically assessed, which is why the number of individuals varies (summer n=6, fall n=3, winter n=1) and why autumn and winter measurements were combined. R</w:t>
      </w:r>
      <w:r w:rsidDel="00000000" w:rsidR="00000000" w:rsidRPr="00000000">
        <w:rPr>
          <w:rFonts w:ascii="EB Garamond" w:cs="EB Garamond" w:eastAsia="EB Garamond" w:hAnsi="EB Garamond"/>
          <w:vertAlign w:val="superscript"/>
          <w:rtl w:val="0"/>
        </w:rPr>
        <w:t xml:space="preserve">2</w:t>
      </w:r>
      <w:r w:rsidDel="00000000" w:rsidR="00000000" w:rsidRPr="00000000">
        <w:rPr>
          <w:rFonts w:ascii="EB Garamond" w:cs="EB Garamond" w:eastAsia="EB Garamond" w:hAnsi="EB Garamond"/>
          <w:rtl w:val="0"/>
        </w:rPr>
        <w:t xml:space="preserve"> and Sy.x or p-values are indicated.</w:t>
      </w:r>
      <w:r w:rsidDel="00000000" w:rsidR="00000000" w:rsidRPr="00000000">
        <w:rPr>
          <w:rtl w:val="0"/>
        </w:rPr>
      </w:r>
    </w:p>
    <w:p w:rsidR="00000000" w:rsidDel="00000000" w:rsidP="00000000" w:rsidRDefault="00000000" w:rsidRPr="00000000" w14:paraId="00000013">
      <w:pPr>
        <w:jc w:val="both"/>
        <w:rPr>
          <w:rFonts w:ascii="EB Garamond" w:cs="EB Garamond" w:eastAsia="EB Garamond" w:hAnsi="EB Garamond"/>
          <w:b w:val="1"/>
        </w:rPr>
      </w:pPr>
      <w:r w:rsidDel="00000000" w:rsidR="00000000" w:rsidRPr="00000000">
        <w:rPr>
          <w:rtl w:val="0"/>
        </w:rPr>
      </w:r>
    </w:p>
    <w:p w:rsidR="00000000" w:rsidDel="00000000" w:rsidP="00000000" w:rsidRDefault="00000000" w:rsidRPr="00000000" w14:paraId="00000014">
      <w:pPr>
        <w:jc w:val="both"/>
        <w:rPr>
          <w:rFonts w:ascii="EB Garamond" w:cs="EB Garamond" w:eastAsia="EB Garamond" w:hAnsi="EB Garamond"/>
          <w:b w:val="1"/>
        </w:rPr>
      </w:pPr>
      <w:r w:rsidDel="00000000" w:rsidR="00000000" w:rsidRPr="00000000">
        <w:rPr>
          <w:rFonts w:ascii="EB Garamond" w:cs="EB Garamond" w:eastAsia="EB Garamond" w:hAnsi="EB Garamond"/>
          <w:b w:val="1"/>
        </w:rPr>
        <w:drawing>
          <wp:inline distB="114300" distT="114300" distL="114300" distR="114300">
            <wp:extent cx="5731200" cy="4572000"/>
            <wp:effectExtent b="0" l="0" r="0" t="0"/>
            <wp:docPr id="1"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5731200" cy="4572000"/>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jc w:val="both"/>
        <w:rPr>
          <w:rFonts w:ascii="EB Garamond" w:cs="EB Garamond" w:eastAsia="EB Garamond" w:hAnsi="EB Garamond"/>
        </w:rPr>
      </w:pPr>
      <w:r w:rsidDel="00000000" w:rsidR="00000000" w:rsidRPr="00000000">
        <w:rPr>
          <w:rFonts w:ascii="EB Garamond" w:cs="EB Garamond" w:eastAsia="EB Garamond" w:hAnsi="EB Garamond"/>
          <w:b w:val="1"/>
          <w:rtl w:val="0"/>
        </w:rPr>
        <w:t xml:space="preserve">Figure S4 - Anatomical influence on gas exchange and stomatal kinetics. </w:t>
      </w:r>
      <w:r w:rsidDel="00000000" w:rsidR="00000000" w:rsidRPr="00000000">
        <w:rPr>
          <w:rFonts w:ascii="EB Garamond" w:cs="EB Garamond" w:eastAsia="EB Garamond" w:hAnsi="EB Garamond"/>
          <w:rtl w:val="0"/>
        </w:rPr>
        <w:t xml:space="preserve">(A) Correlation matrix between anatomical traits (SD and SL), steady-state </w:t>
      </w:r>
      <w:r w:rsidDel="00000000" w:rsidR="00000000" w:rsidRPr="00000000">
        <w:rPr>
          <w:rFonts w:ascii="EB Garamond" w:cs="EB Garamond" w:eastAsia="EB Garamond" w:hAnsi="EB Garamond"/>
          <w:i w:val="1"/>
          <w:rtl w:val="0"/>
        </w:rPr>
        <w:t xml:space="preserve">g</w:t>
      </w:r>
      <w:r w:rsidDel="00000000" w:rsidR="00000000" w:rsidRPr="00000000">
        <w:rPr>
          <w:rFonts w:ascii="EB Garamond" w:cs="EB Garamond" w:eastAsia="EB Garamond" w:hAnsi="EB Garamond"/>
          <w:vertAlign w:val="subscript"/>
          <w:rtl w:val="0"/>
        </w:rPr>
        <w:t xml:space="preserve">sw </w:t>
      </w:r>
      <w:r w:rsidDel="00000000" w:rsidR="00000000" w:rsidRPr="00000000">
        <w:rPr>
          <w:rFonts w:ascii="EB Garamond" w:cs="EB Garamond" w:eastAsia="EB Garamond" w:hAnsi="EB Garamond"/>
          <w:rtl w:val="0"/>
        </w:rPr>
        <w:t xml:space="preserve">(at 1000, 100 and 0 PAR), steady-state </w:t>
      </w:r>
      <w:r w:rsidDel="00000000" w:rsidR="00000000" w:rsidRPr="00000000">
        <w:rPr>
          <w:rFonts w:ascii="EB Garamond" w:cs="EB Garamond" w:eastAsia="EB Garamond" w:hAnsi="EB Garamond"/>
          <w:i w:val="1"/>
          <w:rtl w:val="0"/>
        </w:rPr>
        <w:t xml:space="preserve">A</w:t>
      </w:r>
      <w:r w:rsidDel="00000000" w:rsidR="00000000" w:rsidRPr="00000000">
        <w:rPr>
          <w:rFonts w:ascii="EB Garamond" w:cs="EB Garamond" w:eastAsia="EB Garamond" w:hAnsi="EB Garamond"/>
          <w:rtl w:val="0"/>
        </w:rPr>
        <w:t xml:space="preserve"> (at 100 and 1000 PAR), iWUE (1000 and 100 PAR), half-time (for the light transitions 1000-100 (T</w:t>
      </w:r>
      <w:r w:rsidDel="00000000" w:rsidR="00000000" w:rsidRPr="00000000">
        <w:rPr>
          <w:rFonts w:ascii="EB Garamond" w:cs="EB Garamond" w:eastAsia="EB Garamond" w:hAnsi="EB Garamond"/>
          <w:vertAlign w:val="subscript"/>
          <w:rtl w:val="0"/>
        </w:rPr>
        <w:t xml:space="preserve">-50% </w:t>
      </w:r>
      <w:r w:rsidDel="00000000" w:rsidR="00000000" w:rsidRPr="00000000">
        <w:rPr>
          <w:rFonts w:ascii="EB Garamond" w:cs="EB Garamond" w:eastAsia="EB Garamond" w:hAnsi="EB Garamond"/>
          <w:rtl w:val="0"/>
        </w:rPr>
        <w:t xml:space="preserve">I), 100-1000 (T</w:t>
      </w:r>
      <w:r w:rsidDel="00000000" w:rsidR="00000000" w:rsidRPr="00000000">
        <w:rPr>
          <w:rFonts w:ascii="EB Garamond" w:cs="EB Garamond" w:eastAsia="EB Garamond" w:hAnsi="EB Garamond"/>
          <w:vertAlign w:val="subscript"/>
          <w:rtl w:val="0"/>
        </w:rPr>
        <w:t xml:space="preserve">+50%</w:t>
      </w:r>
      <w:r w:rsidDel="00000000" w:rsidR="00000000" w:rsidRPr="00000000">
        <w:rPr>
          <w:rFonts w:ascii="EB Garamond" w:cs="EB Garamond" w:eastAsia="EB Garamond" w:hAnsi="EB Garamond"/>
          <w:rtl w:val="0"/>
        </w:rPr>
        <w:t xml:space="preserve">II) and 1000-0 PAR (T</w:t>
      </w:r>
      <w:r w:rsidDel="00000000" w:rsidR="00000000" w:rsidRPr="00000000">
        <w:rPr>
          <w:rFonts w:ascii="EB Garamond" w:cs="EB Garamond" w:eastAsia="EB Garamond" w:hAnsi="EB Garamond"/>
          <w:vertAlign w:val="subscript"/>
          <w:rtl w:val="0"/>
        </w:rPr>
        <w:t xml:space="preserve">-50%</w:t>
      </w:r>
      <w:r w:rsidDel="00000000" w:rsidR="00000000" w:rsidRPr="00000000">
        <w:rPr>
          <w:rFonts w:ascii="EB Garamond" w:cs="EB Garamond" w:eastAsia="EB Garamond" w:hAnsi="EB Garamond"/>
          <w:rtl w:val="0"/>
        </w:rPr>
        <w:t xml:space="preserve">III)) and constant rate (for the light transitions 1000-100 (K</w:t>
      </w:r>
      <w:r w:rsidDel="00000000" w:rsidR="00000000" w:rsidRPr="00000000">
        <w:rPr>
          <w:rFonts w:ascii="EB Garamond" w:cs="EB Garamond" w:eastAsia="EB Garamond" w:hAnsi="EB Garamond"/>
          <w:vertAlign w:val="subscript"/>
          <w:rtl w:val="0"/>
        </w:rPr>
        <w:t xml:space="preserve"> I</w:t>
      </w:r>
      <w:r w:rsidDel="00000000" w:rsidR="00000000" w:rsidRPr="00000000">
        <w:rPr>
          <w:rFonts w:ascii="EB Garamond" w:cs="EB Garamond" w:eastAsia="EB Garamond" w:hAnsi="EB Garamond"/>
          <w:rtl w:val="0"/>
        </w:rPr>
        <w:t xml:space="preserve">), 100-1000 (K</w:t>
      </w:r>
      <w:r w:rsidDel="00000000" w:rsidR="00000000" w:rsidRPr="00000000">
        <w:rPr>
          <w:rFonts w:ascii="EB Garamond" w:cs="EB Garamond" w:eastAsia="EB Garamond" w:hAnsi="EB Garamond"/>
          <w:vertAlign w:val="subscript"/>
          <w:rtl w:val="0"/>
        </w:rPr>
        <w:t xml:space="preserve">II</w:t>
      </w:r>
      <w:r w:rsidDel="00000000" w:rsidR="00000000" w:rsidRPr="00000000">
        <w:rPr>
          <w:rFonts w:ascii="EB Garamond" w:cs="EB Garamond" w:eastAsia="EB Garamond" w:hAnsi="EB Garamond"/>
          <w:rtl w:val="0"/>
        </w:rPr>
        <w:t xml:space="preserve">) and 1000-0 PAR (K</w:t>
      </w:r>
      <w:r w:rsidDel="00000000" w:rsidR="00000000" w:rsidRPr="00000000">
        <w:rPr>
          <w:rFonts w:ascii="EB Garamond" w:cs="EB Garamond" w:eastAsia="EB Garamond" w:hAnsi="EB Garamond"/>
          <w:vertAlign w:val="subscript"/>
          <w:rtl w:val="0"/>
        </w:rPr>
        <w:t xml:space="preserve">III</w:t>
      </w:r>
      <w:r w:rsidDel="00000000" w:rsidR="00000000" w:rsidRPr="00000000">
        <w:rPr>
          <w:rFonts w:ascii="EB Garamond" w:cs="EB Garamond" w:eastAsia="EB Garamond" w:hAnsi="EB Garamond"/>
          <w:rtl w:val="0"/>
        </w:rPr>
        <w:t xml:space="preserve">)); n=15.</w:t>
      </w:r>
    </w:p>
    <w:p w:rsidR="00000000" w:rsidDel="00000000" w:rsidP="00000000" w:rsidRDefault="00000000" w:rsidRPr="00000000" w14:paraId="00000016">
      <w:pPr>
        <w:jc w:val="both"/>
        <w:rPr>
          <w:rFonts w:ascii="EB Garamond" w:cs="EB Garamond" w:eastAsia="EB Garamond" w:hAnsi="EB Garamond"/>
          <w:b w:val="1"/>
        </w:rPr>
      </w:pPr>
      <w:r w:rsidDel="00000000" w:rsidR="00000000" w:rsidRPr="00000000">
        <w:rPr>
          <w:rtl w:val="0"/>
        </w:rPr>
      </w:r>
    </w:p>
    <w:p w:rsidR="00000000" w:rsidDel="00000000" w:rsidP="00000000" w:rsidRDefault="00000000" w:rsidRPr="00000000" w14:paraId="00000017">
      <w:pPr>
        <w:jc w:val="both"/>
        <w:rPr>
          <w:rFonts w:ascii="EB Garamond" w:cs="EB Garamond" w:eastAsia="EB Garamond" w:hAnsi="EB Garamond"/>
          <w:b w:val="1"/>
        </w:rPr>
      </w:pPr>
      <w:r w:rsidDel="00000000" w:rsidR="00000000" w:rsidRPr="00000000">
        <w:rPr>
          <w:rFonts w:ascii="EB Garamond" w:cs="EB Garamond" w:eastAsia="EB Garamond" w:hAnsi="EB Garamond"/>
          <w:b w:val="1"/>
        </w:rPr>
        <w:drawing>
          <wp:inline distB="114300" distT="114300" distL="114300" distR="114300">
            <wp:extent cx="5731200" cy="6286500"/>
            <wp:effectExtent b="0" l="0" r="0" t="0"/>
            <wp:docPr id="2"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5731200" cy="6286500"/>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jc w:val="both"/>
        <w:rPr>
          <w:rFonts w:ascii="EB Garamond" w:cs="EB Garamond" w:eastAsia="EB Garamond" w:hAnsi="EB Garamond"/>
          <w:b w:val="1"/>
        </w:rPr>
      </w:pPr>
      <w:r w:rsidDel="00000000" w:rsidR="00000000" w:rsidRPr="00000000">
        <w:rPr>
          <w:rtl w:val="0"/>
        </w:rPr>
      </w:r>
    </w:p>
    <w:p w:rsidR="00000000" w:rsidDel="00000000" w:rsidP="00000000" w:rsidRDefault="00000000" w:rsidRPr="00000000" w14:paraId="00000019">
      <w:pPr>
        <w:jc w:val="both"/>
        <w:rPr>
          <w:rFonts w:ascii="EB Garamond" w:cs="EB Garamond" w:eastAsia="EB Garamond" w:hAnsi="EB Garamond"/>
        </w:rPr>
      </w:pPr>
      <w:r w:rsidDel="00000000" w:rsidR="00000000" w:rsidRPr="00000000">
        <w:rPr>
          <w:rFonts w:ascii="EB Garamond" w:cs="EB Garamond" w:eastAsia="EB Garamond" w:hAnsi="EB Garamond"/>
          <w:b w:val="1"/>
          <w:rtl w:val="0"/>
        </w:rPr>
        <w:t xml:space="preserve">Figure S5 - Quantitative morphometry of the graminoid stomata in </w:t>
      </w:r>
      <w:r w:rsidDel="00000000" w:rsidR="00000000" w:rsidRPr="00000000">
        <w:rPr>
          <w:rFonts w:ascii="EB Garamond" w:cs="EB Garamond" w:eastAsia="EB Garamond" w:hAnsi="EB Garamond"/>
          <w:b w:val="1"/>
          <w:i w:val="1"/>
          <w:rtl w:val="0"/>
        </w:rPr>
        <w:t xml:space="preserve">B. distachyon</w:t>
      </w:r>
      <w:r w:rsidDel="00000000" w:rsidR="00000000" w:rsidRPr="00000000">
        <w:rPr>
          <w:rFonts w:ascii="EB Garamond" w:cs="EB Garamond" w:eastAsia="EB Garamond" w:hAnsi="EB Garamond"/>
          <w:b w:val="1"/>
          <w:rtl w:val="0"/>
        </w:rPr>
        <w:t xml:space="preserve"> Bd21-3. </w:t>
      </w:r>
      <w:r w:rsidDel="00000000" w:rsidR="00000000" w:rsidRPr="00000000">
        <w:rPr>
          <w:rFonts w:ascii="EB Garamond" w:cs="EB Garamond" w:eastAsia="EB Garamond" w:hAnsi="EB Garamond"/>
          <w:rtl w:val="0"/>
        </w:rPr>
        <w:t xml:space="preserve">(A) Linear regression between hand-traced pore area and rectangle pore area. (B) Linear regression of anatomical </w:t>
      </w:r>
      <w:r w:rsidDel="00000000" w:rsidR="00000000" w:rsidRPr="00000000">
        <w:rPr>
          <w:rFonts w:ascii="EB Garamond" w:cs="EB Garamond" w:eastAsia="EB Garamond" w:hAnsi="EB Garamond"/>
          <w:i w:val="1"/>
          <w:rtl w:val="0"/>
        </w:rPr>
        <w:t xml:space="preserve">g</w:t>
      </w:r>
      <w:r w:rsidDel="00000000" w:rsidR="00000000" w:rsidRPr="00000000">
        <w:rPr>
          <w:rFonts w:ascii="EB Garamond" w:cs="EB Garamond" w:eastAsia="EB Garamond" w:hAnsi="EB Garamond"/>
          <w:vertAlign w:val="subscript"/>
          <w:rtl w:val="0"/>
        </w:rPr>
        <w:t xml:space="preserve">s</w:t>
      </w:r>
      <w:r w:rsidDel="00000000" w:rsidR="00000000" w:rsidRPr="00000000">
        <w:rPr>
          <w:rFonts w:ascii="EB Garamond" w:cs="EB Garamond" w:eastAsia="EB Garamond" w:hAnsi="EB Garamond"/>
          <w:rtl w:val="0"/>
        </w:rPr>
        <w:t xml:space="preserve">max calculated with hand-traced pore area and with rectangle pore. (C) Ratios between hand-traced and rectangle pore, hand-traced and rectangle*0.9, anatomical gsmax calculated with hand-traced and rectangle pores, and anatomical gsmax calculated with hand-traced and rectangle*0.9 pores. (D) Linear regression between guard cell length (GCL) and pore length (PL). (E) Linear regression between guard cell length (GCL) and pore width (PW). (F) Ratios between GCL and PL and between GCL and PW. (G) Comparison of measured pore depth (l) with itself, GCW</w:t>
      </w:r>
      <w:r w:rsidDel="00000000" w:rsidR="00000000" w:rsidRPr="00000000">
        <w:rPr>
          <w:rFonts w:ascii="EB Garamond" w:cs="EB Garamond" w:eastAsia="EB Garamond" w:hAnsi="EB Garamond"/>
          <w:vertAlign w:val="subscript"/>
          <w:rtl w:val="0"/>
        </w:rPr>
        <w:t xml:space="preserve">C</w:t>
      </w:r>
      <w:r w:rsidDel="00000000" w:rsidR="00000000" w:rsidRPr="00000000">
        <w:rPr>
          <w:rFonts w:ascii="EB Garamond" w:cs="EB Garamond" w:eastAsia="EB Garamond" w:hAnsi="EB Garamond"/>
          <w:rtl w:val="0"/>
        </w:rPr>
        <w:t xml:space="preserve"> (fusicoccin-treatment), GCW</w:t>
      </w:r>
      <w:r w:rsidDel="00000000" w:rsidR="00000000" w:rsidRPr="00000000">
        <w:rPr>
          <w:rFonts w:ascii="EB Garamond" w:cs="EB Garamond" w:eastAsia="EB Garamond" w:hAnsi="EB Garamond"/>
          <w:vertAlign w:val="subscript"/>
          <w:rtl w:val="0"/>
        </w:rPr>
        <w:t xml:space="preserve">C</w:t>
      </w:r>
      <w:r w:rsidDel="00000000" w:rsidR="00000000" w:rsidRPr="00000000">
        <w:rPr>
          <w:rFonts w:ascii="EB Garamond" w:cs="EB Garamond" w:eastAsia="EB Garamond" w:hAnsi="EB Garamond"/>
          <w:rtl w:val="0"/>
        </w:rPr>
        <w:t xml:space="preserve"> (ABA-treatment), GCW</w:t>
      </w:r>
      <w:r w:rsidDel="00000000" w:rsidR="00000000" w:rsidRPr="00000000">
        <w:rPr>
          <w:rFonts w:ascii="EB Garamond" w:cs="EB Garamond" w:eastAsia="EB Garamond" w:hAnsi="EB Garamond"/>
          <w:vertAlign w:val="subscript"/>
          <w:rtl w:val="0"/>
        </w:rPr>
        <w:t xml:space="preserve">A</w:t>
      </w:r>
      <w:r w:rsidDel="00000000" w:rsidR="00000000" w:rsidRPr="00000000">
        <w:rPr>
          <w:rFonts w:ascii="EB Garamond" w:cs="EB Garamond" w:eastAsia="EB Garamond" w:hAnsi="EB Garamond"/>
          <w:rtl w:val="0"/>
        </w:rPr>
        <w:t xml:space="preserve"> (fusicoccin-treatment) and GCW</w:t>
      </w:r>
      <w:r w:rsidDel="00000000" w:rsidR="00000000" w:rsidRPr="00000000">
        <w:rPr>
          <w:rFonts w:ascii="EB Garamond" w:cs="EB Garamond" w:eastAsia="EB Garamond" w:hAnsi="EB Garamond"/>
          <w:vertAlign w:val="subscript"/>
          <w:rtl w:val="0"/>
        </w:rPr>
        <w:t xml:space="preserve">A</w:t>
      </w:r>
      <w:r w:rsidDel="00000000" w:rsidR="00000000" w:rsidRPr="00000000">
        <w:rPr>
          <w:rFonts w:ascii="EB Garamond" w:cs="EB Garamond" w:eastAsia="EB Garamond" w:hAnsi="EB Garamond"/>
          <w:rtl w:val="0"/>
        </w:rPr>
        <w:t xml:space="preserve"> (ABA-treatment). Green groups indicate that the measured parameters were a good indication of pore depth (l), red groups were not. (H) Physiological (IRGA-based), anatomical (light microscopy-based) and anatomical (confocal-based) </w:t>
      </w:r>
      <w:r w:rsidDel="00000000" w:rsidR="00000000" w:rsidRPr="00000000">
        <w:rPr>
          <w:rFonts w:ascii="EB Garamond" w:cs="EB Garamond" w:eastAsia="EB Garamond" w:hAnsi="EB Garamond"/>
          <w:i w:val="1"/>
          <w:rtl w:val="0"/>
        </w:rPr>
        <w:t xml:space="preserve">g</w:t>
      </w:r>
      <w:r w:rsidDel="00000000" w:rsidR="00000000" w:rsidRPr="00000000">
        <w:rPr>
          <w:rFonts w:ascii="EB Garamond" w:cs="EB Garamond" w:eastAsia="EB Garamond" w:hAnsi="EB Garamond"/>
          <w:vertAlign w:val="subscript"/>
          <w:rtl w:val="0"/>
        </w:rPr>
        <w:t xml:space="preserve">s</w:t>
      </w:r>
      <w:r w:rsidDel="00000000" w:rsidR="00000000" w:rsidRPr="00000000">
        <w:rPr>
          <w:rFonts w:ascii="EB Garamond" w:cs="EB Garamond" w:eastAsia="EB Garamond" w:hAnsi="EB Garamond"/>
          <w:rtl w:val="0"/>
        </w:rPr>
        <w:t xml:space="preserve">max values of each replicate shown in Fig. 5I. R</w:t>
      </w:r>
      <w:r w:rsidDel="00000000" w:rsidR="00000000" w:rsidRPr="00000000">
        <w:rPr>
          <w:rFonts w:ascii="EB Garamond" w:cs="EB Garamond" w:eastAsia="EB Garamond" w:hAnsi="EB Garamond"/>
          <w:vertAlign w:val="superscript"/>
          <w:rtl w:val="0"/>
        </w:rPr>
        <w:t xml:space="preserve">2</w:t>
      </w:r>
      <w:r w:rsidDel="00000000" w:rsidR="00000000" w:rsidRPr="00000000">
        <w:rPr>
          <w:rFonts w:ascii="EB Garamond" w:cs="EB Garamond" w:eastAsia="EB Garamond" w:hAnsi="EB Garamond"/>
          <w:rtl w:val="0"/>
        </w:rPr>
        <w:t xml:space="preserve"> and p-values are indicated.</w:t>
      </w:r>
    </w:p>
    <w:p w:rsidR="00000000" w:rsidDel="00000000" w:rsidP="00000000" w:rsidRDefault="00000000" w:rsidRPr="00000000" w14:paraId="0000001A">
      <w:pPr>
        <w:jc w:val="both"/>
        <w:rPr>
          <w:rFonts w:ascii="EB Garamond" w:cs="EB Garamond" w:eastAsia="EB Garamond" w:hAnsi="EB Garamond"/>
        </w:rPr>
      </w:pPr>
      <w:r w:rsidDel="00000000" w:rsidR="00000000" w:rsidRPr="00000000">
        <w:rPr>
          <w:rtl w:val="0"/>
        </w:rPr>
      </w:r>
    </w:p>
    <w:p w:rsidR="00000000" w:rsidDel="00000000" w:rsidP="00000000" w:rsidRDefault="00000000" w:rsidRPr="00000000" w14:paraId="0000001B">
      <w:pPr>
        <w:jc w:val="both"/>
        <w:rPr>
          <w:rFonts w:ascii="EB Garamond" w:cs="EB Garamond" w:eastAsia="EB Garamond" w:hAnsi="EB Garamond"/>
          <w:b w:val="1"/>
        </w:rPr>
      </w:pPr>
      <w:r w:rsidDel="00000000" w:rsidR="00000000" w:rsidRPr="00000000">
        <w:rPr>
          <w:rFonts w:ascii="EB Garamond" w:cs="EB Garamond" w:eastAsia="EB Garamond" w:hAnsi="EB Garamond"/>
          <w:b w:val="1"/>
          <w:rtl w:val="0"/>
        </w:rPr>
        <w:t xml:space="preserve">Supplementary Dataset 1 - Gas exchange and anatomical data measured and analyzed in this study.</w:t>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EB 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4.png"/><Relationship Id="rId9" Type="http://schemas.openxmlformats.org/officeDocument/2006/relationships/image" Target="media/image2.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5.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EBGaramond-regular.ttf"/><Relationship Id="rId2" Type="http://schemas.openxmlformats.org/officeDocument/2006/relationships/font" Target="fonts/EBGaramond-bold.ttf"/><Relationship Id="rId3" Type="http://schemas.openxmlformats.org/officeDocument/2006/relationships/font" Target="fonts/EBGaramond-italic.ttf"/><Relationship Id="rId4" Type="http://schemas.openxmlformats.org/officeDocument/2006/relationships/font" Target="fonts/EBGaramond-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