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25" w:rsidRPr="00EC1CD3" w:rsidRDefault="00302D25" w:rsidP="00302D25">
      <w:pPr>
        <w:spacing w:line="480" w:lineRule="auto"/>
        <w:rPr>
          <w:rFonts w:eastAsia="Times New Roman"/>
          <w:color w:val="000000"/>
        </w:rPr>
      </w:pPr>
    </w:p>
    <w:p w:rsidR="00302D25" w:rsidRPr="00EC1CD3" w:rsidRDefault="00302D25" w:rsidP="00302D25">
      <w:pPr>
        <w:pStyle w:val="Caption"/>
        <w:keepNext/>
        <w:rPr>
          <w:rFonts w:eastAsia="Times New Roman"/>
          <w:b w:val="0"/>
          <w:color w:val="auto"/>
          <w:sz w:val="24"/>
          <w:szCs w:val="24"/>
        </w:rPr>
      </w:pPr>
      <w:proofErr w:type="gramStart"/>
      <w:r w:rsidRPr="00EC1CD3">
        <w:rPr>
          <w:color w:val="auto"/>
          <w:sz w:val="24"/>
          <w:szCs w:val="24"/>
        </w:rPr>
        <w:t>Supplementa</w:t>
      </w:r>
      <w:r>
        <w:rPr>
          <w:color w:val="auto"/>
          <w:sz w:val="24"/>
          <w:szCs w:val="24"/>
        </w:rPr>
        <w:t>ry</w:t>
      </w:r>
      <w:r w:rsidRPr="00EC1CD3">
        <w:rPr>
          <w:color w:val="auto"/>
          <w:sz w:val="24"/>
          <w:szCs w:val="24"/>
        </w:rPr>
        <w:t xml:space="preserve"> Table 1</w:t>
      </w:r>
      <w:r>
        <w:rPr>
          <w:color w:val="auto"/>
          <w:sz w:val="24"/>
          <w:szCs w:val="24"/>
        </w:rPr>
        <w:t>.</w:t>
      </w:r>
      <w:proofErr w:type="gramEnd"/>
      <w:r w:rsidRPr="00EC1CD3">
        <w:rPr>
          <w:color w:val="auto"/>
          <w:sz w:val="24"/>
          <w:szCs w:val="24"/>
        </w:rPr>
        <w:t xml:space="preserve"> </w:t>
      </w:r>
      <w:r w:rsidRPr="00EC1CD3">
        <w:rPr>
          <w:rFonts w:eastAsia="Times New Roman"/>
          <w:b w:val="0"/>
          <w:color w:val="auto"/>
          <w:sz w:val="24"/>
          <w:szCs w:val="24"/>
        </w:rPr>
        <w:t xml:space="preserve">Resistance Profiles of </w:t>
      </w:r>
      <w:r w:rsidRPr="00EC1CD3">
        <w:rPr>
          <w:rFonts w:eastAsia="Times New Roman"/>
          <w:b w:val="0"/>
          <w:i/>
          <w:iCs/>
          <w:color w:val="auto"/>
          <w:sz w:val="24"/>
          <w:szCs w:val="24"/>
        </w:rPr>
        <w:t xml:space="preserve">E. coli </w:t>
      </w:r>
      <w:r w:rsidRPr="00EC1CD3">
        <w:rPr>
          <w:rFonts w:eastAsia="Times New Roman"/>
          <w:b w:val="0"/>
          <w:color w:val="auto"/>
          <w:sz w:val="24"/>
          <w:szCs w:val="24"/>
        </w:rPr>
        <w:t xml:space="preserve">Isolates of Interest </w:t>
      </w:r>
      <w:r w:rsidRPr="00EC1CD3">
        <w:rPr>
          <w:b w:val="0"/>
          <w:color w:val="auto"/>
          <w:sz w:val="24"/>
          <w:szCs w:val="24"/>
        </w:rPr>
        <w:t>in a Case</w:t>
      </w:r>
      <w:r>
        <w:rPr>
          <w:b w:val="0"/>
          <w:color w:val="auto"/>
          <w:sz w:val="24"/>
          <w:szCs w:val="24"/>
        </w:rPr>
        <w:t>–</w:t>
      </w:r>
      <w:r w:rsidRPr="00EC1CD3">
        <w:rPr>
          <w:b w:val="0"/>
          <w:color w:val="auto"/>
          <w:sz w:val="24"/>
          <w:szCs w:val="24"/>
        </w:rPr>
        <w:t>Control Study—Maine, 2017</w:t>
      </w:r>
    </w:p>
    <w:tbl>
      <w:tblPr>
        <w:tblStyle w:val="TableGrid"/>
        <w:tblW w:w="9360" w:type="dxa"/>
        <w:tblLook w:val="04A0"/>
      </w:tblPr>
      <w:tblGrid>
        <w:gridCol w:w="2562"/>
        <w:gridCol w:w="1260"/>
        <w:gridCol w:w="1170"/>
        <w:gridCol w:w="1530"/>
        <w:gridCol w:w="1440"/>
        <w:gridCol w:w="1398"/>
      </w:tblGrid>
      <w:tr w:rsidR="00302D25" w:rsidRPr="00EC1CD3" w:rsidTr="003828BC">
        <w:trPr>
          <w:trHeight w:val="273"/>
        </w:trPr>
        <w:tc>
          <w:tcPr>
            <w:tcW w:w="2250" w:type="dxa"/>
            <w:noWrap/>
            <w:hideMark/>
          </w:tcPr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73424E">
              <w:rPr>
                <w:color w:val="000000"/>
              </w:rPr>
              <w:t>Antibiotic</w:t>
            </w:r>
          </w:p>
        </w:tc>
        <w:tc>
          <w:tcPr>
            <w:tcW w:w="1260" w:type="dxa"/>
            <w:noWrap/>
            <w:hideMark/>
          </w:tcPr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73424E">
              <w:rPr>
                <w:color w:val="000000"/>
              </w:rPr>
              <w:t xml:space="preserve">% of </w:t>
            </w:r>
            <w:r w:rsidRPr="00D84D7F">
              <w:rPr>
                <w:color w:val="000000"/>
              </w:rPr>
              <w:t>Cases Resist</w:t>
            </w:r>
            <w:r w:rsidRPr="0073424E">
              <w:rPr>
                <w:color w:val="000000"/>
              </w:rPr>
              <w:t>ant</w:t>
            </w:r>
          </w:p>
        </w:tc>
        <w:tc>
          <w:tcPr>
            <w:tcW w:w="1170" w:type="dxa"/>
            <w:noWrap/>
            <w:hideMark/>
          </w:tcPr>
          <w:p w:rsidR="00302D25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No., </w:t>
            </w:r>
          </w:p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73424E">
              <w:rPr>
                <w:rFonts w:eastAsia="Times New Roman"/>
                <w:color w:val="000000"/>
              </w:rPr>
              <w:t>n</w:t>
            </w:r>
            <w:r>
              <w:rPr>
                <w:rFonts w:eastAsia="Times New Roman"/>
                <w:color w:val="000000"/>
              </w:rPr>
              <w:t>/</w:t>
            </w:r>
            <w:r w:rsidRPr="0073424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1530" w:type="dxa"/>
            <w:noWrap/>
            <w:hideMark/>
          </w:tcPr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73424E">
              <w:rPr>
                <w:color w:val="000000"/>
              </w:rPr>
              <w:t>% of controls resistant</w:t>
            </w:r>
          </w:p>
        </w:tc>
        <w:tc>
          <w:tcPr>
            <w:tcW w:w="1440" w:type="dxa"/>
            <w:noWrap/>
            <w:hideMark/>
          </w:tcPr>
          <w:p w:rsidR="00302D25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No., </w:t>
            </w:r>
          </w:p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18387E">
              <w:rPr>
                <w:rFonts w:eastAsia="Times New Roman"/>
                <w:color w:val="000000"/>
              </w:rPr>
              <w:t>n</w:t>
            </w:r>
            <w:r>
              <w:rPr>
                <w:rFonts w:eastAsia="Times New Roman"/>
                <w:color w:val="000000"/>
              </w:rPr>
              <w:t>/</w:t>
            </w:r>
            <w:r w:rsidRPr="0018387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1710" w:type="dxa"/>
          </w:tcPr>
          <w:p w:rsidR="00302D25" w:rsidRPr="0073424E" w:rsidRDefault="00302D25" w:rsidP="003828BC">
            <w:pPr>
              <w:jc w:val="center"/>
              <w:rPr>
                <w:color w:val="000000"/>
              </w:rPr>
            </w:pPr>
            <w:r w:rsidRPr="0073424E">
              <w:rPr>
                <w:color w:val="000000"/>
              </w:rPr>
              <w:t>χ</w:t>
            </w:r>
            <w:r w:rsidRPr="0073424E">
              <w:rPr>
                <w:color w:val="000000"/>
                <w:vertAlign w:val="superscript"/>
              </w:rPr>
              <w:t>2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73424E" w:rsidRDefault="00302D25" w:rsidP="003828BC">
            <w:pPr>
              <w:rPr>
                <w:b/>
                <w:bCs/>
              </w:rPr>
            </w:pPr>
            <w:r w:rsidRPr="0073424E">
              <w:rPr>
                <w:b/>
                <w:bCs/>
              </w:rPr>
              <w:t>β-</w:t>
            </w:r>
            <w:proofErr w:type="spellStart"/>
            <w:r w:rsidRPr="0073424E">
              <w:rPr>
                <w:b/>
                <w:bCs/>
              </w:rPr>
              <w:t>lactams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</w:pP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</w:pP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</w:pP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</w:pP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</w:pP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Pr>
              <w:rPr>
                <w:rFonts w:eastAsia="Times New Roman"/>
                <w:color w:val="000000"/>
              </w:rPr>
            </w:pPr>
            <w:r w:rsidRPr="00EC1CD3">
              <w:t xml:space="preserve"> </w:t>
            </w:r>
            <w:proofErr w:type="spellStart"/>
            <w:r w:rsidRPr="00EC1CD3">
              <w:t>Ampicillin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100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60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30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301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122.88***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Pr>
              <w:rPr>
                <w:rFonts w:eastAsia="Times New Roman"/>
                <w:color w:val="000000"/>
              </w:rPr>
            </w:pPr>
            <w:r w:rsidRPr="00EC1CD3">
              <w:t xml:space="preserve"> </w:t>
            </w:r>
            <w:proofErr w:type="spellStart"/>
            <w:r w:rsidRPr="00EC1CD3">
              <w:t>Ampicillin</w:t>
            </w:r>
            <w:proofErr w:type="spellEnd"/>
            <w:r w:rsidRPr="00EC1CD3">
              <w:t>/</w:t>
            </w:r>
            <w:proofErr w:type="spellStart"/>
            <w:r w:rsidRPr="00EC1CD3">
              <w:t>Sulbactam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42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25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13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132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016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35.11***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Pr>
              <w:rPr>
                <w:color w:val="000000"/>
              </w:rPr>
            </w:pPr>
            <w:proofErr w:type="spellStart"/>
            <w:r w:rsidRPr="00EC1CD3">
              <w:t>Piperacillin</w:t>
            </w:r>
            <w:proofErr w:type="spellEnd"/>
            <w:r w:rsidRPr="00EC1CD3">
              <w:t>/</w:t>
            </w:r>
            <w:proofErr w:type="spellStart"/>
            <w:r w:rsidRPr="00EC1CD3">
              <w:t>Tazobactam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016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0.00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Pr>
              <w:rPr>
                <w:color w:val="000000"/>
              </w:rPr>
            </w:pPr>
            <w:r w:rsidRPr="00EC1CD3">
              <w:t xml:space="preserve"> </w:t>
            </w:r>
            <w:proofErr w:type="spellStart"/>
            <w:r w:rsidRPr="00EC1CD3">
              <w:t>Cefazolin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100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60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15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833.75***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Pr>
              <w:rPr>
                <w:color w:val="000000"/>
              </w:rPr>
            </w:pPr>
            <w:r w:rsidRPr="00EC1CD3">
              <w:t xml:space="preserve"> </w:t>
            </w:r>
            <w:proofErr w:type="spellStart"/>
            <w:r w:rsidRPr="00EC1CD3">
              <w:t>Cefuroxime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98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58</w:t>
            </w:r>
            <w:r>
              <w:t>/</w:t>
            </w:r>
            <w:r w:rsidRPr="00EC1CD3">
              <w:t>59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5</w:t>
            </w:r>
            <w:r>
              <w:t>/</w:t>
            </w:r>
            <w:r w:rsidRPr="00EC1CD3">
              <w:t>987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923.54***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r w:rsidRPr="00EC1CD3">
              <w:t xml:space="preserve"> </w:t>
            </w:r>
            <w:proofErr w:type="spellStart"/>
            <w:r w:rsidRPr="00EC1CD3">
              <w:t>Cefoxitin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16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</w:pPr>
            <w:r w:rsidRPr="00EC1CD3">
              <w:t>9</w:t>
            </w:r>
            <w:r>
              <w:t>/</w:t>
            </w:r>
            <w:r w:rsidRPr="00EC1CD3">
              <w:t>58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2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</w:pPr>
            <w:r w:rsidRPr="00EC1CD3">
              <w:t>20</w:t>
            </w:r>
            <w:r>
              <w:t>/</w:t>
            </w:r>
            <w:r w:rsidRPr="00EC1CD3">
              <w:t>986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32.08***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Pr>
              <w:rPr>
                <w:color w:val="000000"/>
              </w:rPr>
            </w:pPr>
            <w:r w:rsidRPr="00EC1CD3">
              <w:t xml:space="preserve"> </w:t>
            </w:r>
            <w:proofErr w:type="spellStart"/>
            <w:r w:rsidRPr="00EC1CD3">
              <w:t>Ceftriaxone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100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60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1058.07***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r w:rsidRPr="00EC1CD3">
              <w:t xml:space="preserve"> </w:t>
            </w:r>
            <w:proofErr w:type="spellStart"/>
            <w:r w:rsidRPr="00EC1CD3">
              <w:t>Ceftazidime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37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</w:pPr>
            <w:r w:rsidRPr="00EC1CD3">
              <w:t>22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</w:pPr>
            <w:r w:rsidRPr="00EC1CD3">
              <w:t>0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016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362.22***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r w:rsidRPr="00EC1CD3">
              <w:t xml:space="preserve"> </w:t>
            </w:r>
            <w:proofErr w:type="spellStart"/>
            <w:r w:rsidRPr="00EC1CD3">
              <w:t>Cefepime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20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12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187.94***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r w:rsidRPr="00EC1CD3">
              <w:t xml:space="preserve"> </w:t>
            </w:r>
            <w:proofErr w:type="spellStart"/>
            <w:r w:rsidRPr="00EC1CD3">
              <w:t>Meropenem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NA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73424E" w:rsidRDefault="00302D25" w:rsidP="003828BC">
            <w:pPr>
              <w:rPr>
                <w:b/>
                <w:bCs/>
              </w:rPr>
            </w:pPr>
            <w:proofErr w:type="spellStart"/>
            <w:r w:rsidRPr="0073424E">
              <w:rPr>
                <w:b/>
                <w:bCs/>
              </w:rPr>
              <w:t>Fluoroquinolones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</w:pP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</w:pP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</w:pP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</w:pP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</w:pP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r w:rsidRPr="00EC1CD3">
              <w:t xml:space="preserve"> Ciprofloxacin</w:t>
            </w:r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75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45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9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96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208.31***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r w:rsidRPr="00EC1CD3">
              <w:t xml:space="preserve"> </w:t>
            </w:r>
            <w:proofErr w:type="spellStart"/>
            <w:r w:rsidRPr="00EC1CD3">
              <w:t>Levofloxacin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73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44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9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90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016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210.14***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r w:rsidRPr="00EC1CD3">
              <w:t>TMP/SMX</w:t>
            </w:r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55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33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14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141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67.77***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roofErr w:type="spellStart"/>
            <w:r w:rsidRPr="00EC1CD3">
              <w:t>Gentamicin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17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10</w:t>
            </w:r>
            <w:r>
              <w:t>/</w:t>
            </w:r>
            <w:r w:rsidRPr="00EC1CD3">
              <w:t>60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4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43</w:t>
            </w:r>
            <w:r>
              <w:t>/</w:t>
            </w:r>
            <w:r w:rsidRPr="00EC1CD3">
              <w:t>1</w:t>
            </w:r>
            <w:r>
              <w:t>,</w:t>
            </w:r>
            <w:r w:rsidRPr="00EC1CD3">
              <w:t>017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16.17***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roofErr w:type="spellStart"/>
            <w:r w:rsidRPr="00EC1CD3">
              <w:t>Nitrofurantoin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2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1</w:t>
            </w:r>
            <w:r>
              <w:t>/</w:t>
            </w:r>
            <w:r w:rsidRPr="00EC1CD3">
              <w:t>58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EC1CD3">
              <w:t>0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4</w:t>
            </w:r>
            <w:r>
              <w:t>/</w:t>
            </w:r>
            <w:r w:rsidRPr="00EC1CD3">
              <w:t>975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0.18</w:t>
            </w:r>
          </w:p>
        </w:tc>
      </w:tr>
      <w:tr w:rsidR="00302D25" w:rsidRPr="00EC1CD3" w:rsidTr="003828BC">
        <w:trPr>
          <w:trHeight w:val="262"/>
        </w:trPr>
        <w:tc>
          <w:tcPr>
            <w:tcW w:w="2250" w:type="dxa"/>
            <w:noWrap/>
          </w:tcPr>
          <w:p w:rsidR="00302D25" w:rsidRPr="00EC1CD3" w:rsidRDefault="00302D25" w:rsidP="003828BC">
            <w:proofErr w:type="spellStart"/>
            <w:r w:rsidRPr="00EC1CD3">
              <w:t>Minocycline</w:t>
            </w:r>
            <w:proofErr w:type="spellEnd"/>
          </w:p>
        </w:tc>
        <w:tc>
          <w:tcPr>
            <w:tcW w:w="126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5</w:t>
            </w:r>
          </w:p>
        </w:tc>
        <w:tc>
          <w:tcPr>
            <w:tcW w:w="117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3</w:t>
            </w:r>
            <w:r>
              <w:t>/</w:t>
            </w:r>
            <w:r w:rsidRPr="00EC1CD3">
              <w:t>58</w:t>
            </w:r>
          </w:p>
        </w:tc>
        <w:tc>
          <w:tcPr>
            <w:tcW w:w="153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4</w:t>
            </w:r>
          </w:p>
        </w:tc>
        <w:tc>
          <w:tcPr>
            <w:tcW w:w="1440" w:type="dxa"/>
            <w:noWrap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36</w:t>
            </w:r>
            <w:r>
              <w:t>/</w:t>
            </w:r>
            <w:r w:rsidRPr="00EC1CD3">
              <w:t>974</w:t>
            </w:r>
          </w:p>
        </w:tc>
        <w:tc>
          <w:tcPr>
            <w:tcW w:w="1710" w:type="dxa"/>
          </w:tcPr>
          <w:p w:rsidR="00302D25" w:rsidRPr="00EC1CD3" w:rsidRDefault="00302D25" w:rsidP="003828BC">
            <w:pPr>
              <w:jc w:val="center"/>
              <w:rPr>
                <w:color w:val="000000"/>
              </w:rPr>
            </w:pPr>
            <w:r w:rsidRPr="00EC1CD3">
              <w:t>0.05</w:t>
            </w:r>
          </w:p>
        </w:tc>
      </w:tr>
    </w:tbl>
    <w:p w:rsidR="00302D25" w:rsidRDefault="00302D25" w:rsidP="00302D2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Note. </w:t>
      </w:r>
      <w:proofErr w:type="gramStart"/>
      <w:r w:rsidRPr="00EC1CD3">
        <w:t>TMP/SMX</w:t>
      </w:r>
      <w:r>
        <w:t xml:space="preserve">, </w:t>
      </w:r>
      <w:proofErr w:type="spellStart"/>
      <w:r w:rsidRPr="00FD7DA9">
        <w:t>trimethoprim</w:t>
      </w:r>
      <w:proofErr w:type="spellEnd"/>
      <w:r>
        <w:t>/</w:t>
      </w:r>
      <w:proofErr w:type="spellStart"/>
      <w:r>
        <w:t>s</w:t>
      </w:r>
      <w:r w:rsidRPr="00FD7DA9">
        <w:t>ulfamethoxazole</w:t>
      </w:r>
      <w:proofErr w:type="spellEnd"/>
      <w:r>
        <w:t>; NA, not available.</w:t>
      </w:r>
      <w:proofErr w:type="gramEnd"/>
    </w:p>
    <w:p w:rsidR="00302D25" w:rsidRPr="00EC1CD3" w:rsidRDefault="00302D25" w:rsidP="00302D25">
      <w:pPr>
        <w:rPr>
          <w:rFonts w:eastAsia="Times New Roman"/>
          <w:color w:val="000000"/>
        </w:rPr>
      </w:pPr>
      <w:r w:rsidRPr="00EC1CD3">
        <w:rPr>
          <w:rFonts w:eastAsia="Times New Roman"/>
          <w:color w:val="000000"/>
        </w:rPr>
        <w:t>***</w:t>
      </w:r>
      <w:r w:rsidRPr="0073424E">
        <w:rPr>
          <w:rFonts w:eastAsia="Times New Roman"/>
          <w:i/>
          <w:iCs/>
          <w:color w:val="000000"/>
        </w:rPr>
        <w:t>P</w:t>
      </w:r>
      <w:r w:rsidRPr="00EC1CD3">
        <w:rPr>
          <w:rFonts w:eastAsia="Times New Roman"/>
          <w:color w:val="000000"/>
        </w:rPr>
        <w:t xml:space="preserve"> &lt;</w:t>
      </w:r>
      <w:r>
        <w:rPr>
          <w:rFonts w:eastAsia="Times New Roman"/>
          <w:color w:val="000000"/>
        </w:rPr>
        <w:t xml:space="preserve"> </w:t>
      </w:r>
      <w:r w:rsidRPr="00EC1CD3">
        <w:rPr>
          <w:rFonts w:eastAsia="Times New Roman"/>
          <w:color w:val="000000"/>
        </w:rPr>
        <w:t>.001</w:t>
      </w:r>
      <w:r>
        <w:rPr>
          <w:rFonts w:eastAsia="Times New Roman"/>
          <w:color w:val="000000"/>
        </w:rPr>
        <w:t>.</w:t>
      </w:r>
    </w:p>
    <w:p w:rsidR="00302D25" w:rsidRPr="00EC1CD3" w:rsidRDefault="00302D25" w:rsidP="00302D25">
      <w:pPr>
        <w:spacing w:line="480" w:lineRule="auto"/>
        <w:rPr>
          <w:rFonts w:eastAsia="Times New Roman"/>
          <w:color w:val="000000"/>
        </w:rPr>
      </w:pPr>
      <w:r w:rsidRPr="00EC1CD3">
        <w:rPr>
          <w:rFonts w:eastAsia="Times New Roman"/>
          <w:color w:val="000000"/>
        </w:rPr>
        <w:br w:type="page"/>
      </w:r>
    </w:p>
    <w:p w:rsidR="00302D25" w:rsidRPr="00EC1CD3" w:rsidRDefault="00302D25" w:rsidP="00302D25">
      <w:pPr>
        <w:pStyle w:val="Caption"/>
        <w:keepNext/>
        <w:rPr>
          <w:rFonts w:eastAsia="Times New Roman"/>
          <w:b w:val="0"/>
          <w:color w:val="auto"/>
          <w:sz w:val="24"/>
          <w:szCs w:val="24"/>
        </w:rPr>
      </w:pPr>
      <w:bookmarkStart w:id="0" w:name="_Ref71296054"/>
      <w:proofErr w:type="gramStart"/>
      <w:r w:rsidRPr="00EC1CD3">
        <w:rPr>
          <w:color w:val="auto"/>
          <w:sz w:val="24"/>
          <w:szCs w:val="24"/>
        </w:rPr>
        <w:lastRenderedPageBreak/>
        <w:t>Supplementa</w:t>
      </w:r>
      <w:r>
        <w:rPr>
          <w:color w:val="auto"/>
          <w:sz w:val="24"/>
          <w:szCs w:val="24"/>
        </w:rPr>
        <w:t>ry</w:t>
      </w:r>
      <w:r w:rsidRPr="00EC1CD3">
        <w:rPr>
          <w:color w:val="auto"/>
          <w:sz w:val="24"/>
          <w:szCs w:val="24"/>
        </w:rPr>
        <w:t xml:space="preserve"> Table </w:t>
      </w:r>
      <w:bookmarkEnd w:id="0"/>
      <w:r w:rsidRPr="00EC1CD3">
        <w:rPr>
          <w:color w:val="auto"/>
          <w:sz w:val="24"/>
          <w:szCs w:val="24"/>
        </w:rPr>
        <w:t>2</w:t>
      </w:r>
      <w:r w:rsidRPr="0073424E">
        <w:rPr>
          <w:rFonts w:eastAsia="Times New Roman"/>
          <w:bCs w:val="0"/>
          <w:color w:val="auto"/>
          <w:sz w:val="24"/>
          <w:szCs w:val="24"/>
        </w:rPr>
        <w:t>.</w:t>
      </w:r>
      <w:proofErr w:type="gramEnd"/>
      <w:r w:rsidRPr="00EC1CD3">
        <w:rPr>
          <w:rFonts w:eastAsia="Times New Roman"/>
          <w:b w:val="0"/>
          <w:color w:val="auto"/>
          <w:sz w:val="24"/>
          <w:szCs w:val="24"/>
        </w:rPr>
        <w:t xml:space="preserve"> </w:t>
      </w:r>
      <w:r w:rsidRPr="00EC1CD3">
        <w:rPr>
          <w:b w:val="0"/>
          <w:color w:val="auto"/>
          <w:sz w:val="24"/>
          <w:szCs w:val="24"/>
        </w:rPr>
        <w:t xml:space="preserve">Associations between Receipt of Antibiotics (Both Outpatient and Inpatient) in the 6 Months (180 Days) Prior to Collection of an </w:t>
      </w:r>
      <w:r w:rsidRPr="00EC1CD3">
        <w:rPr>
          <w:b w:val="0"/>
          <w:i/>
          <w:iCs/>
          <w:color w:val="auto"/>
          <w:sz w:val="24"/>
          <w:szCs w:val="24"/>
        </w:rPr>
        <w:t>E. coli</w:t>
      </w:r>
      <w:r w:rsidRPr="00EC1CD3">
        <w:rPr>
          <w:b w:val="0"/>
          <w:color w:val="auto"/>
          <w:sz w:val="24"/>
          <w:szCs w:val="24"/>
        </w:rPr>
        <w:t xml:space="preserve"> Isolate of Interest and Infection With</w:t>
      </w:r>
      <w:r w:rsidRPr="00EC1CD3">
        <w:rPr>
          <w:rFonts w:eastAsia="Times New Roman"/>
          <w:b w:val="0"/>
          <w:color w:val="auto"/>
          <w:sz w:val="24"/>
          <w:szCs w:val="24"/>
        </w:rPr>
        <w:t xml:space="preserve"> an </w:t>
      </w:r>
      <w:r w:rsidRPr="00EC1CD3">
        <w:rPr>
          <w:b w:val="0"/>
          <w:color w:val="auto"/>
          <w:sz w:val="24"/>
          <w:szCs w:val="24"/>
        </w:rPr>
        <w:t xml:space="preserve">Extended-Spectrum </w:t>
      </w:r>
      <w:r w:rsidRPr="002273C8">
        <w:rPr>
          <w:b w:val="0"/>
          <w:color w:val="auto"/>
          <w:sz w:val="24"/>
          <w:szCs w:val="24"/>
        </w:rPr>
        <w:t>β</w:t>
      </w:r>
      <w:r w:rsidRPr="00EC1CD3">
        <w:rPr>
          <w:b w:val="0"/>
          <w:color w:val="auto"/>
          <w:sz w:val="24"/>
          <w:szCs w:val="24"/>
        </w:rPr>
        <w:t>-</w:t>
      </w:r>
      <w:proofErr w:type="spellStart"/>
      <w:r w:rsidRPr="00EC1CD3">
        <w:rPr>
          <w:b w:val="0"/>
          <w:color w:val="auto"/>
          <w:sz w:val="24"/>
          <w:szCs w:val="24"/>
        </w:rPr>
        <w:t>Lactamase</w:t>
      </w:r>
      <w:proofErr w:type="spellEnd"/>
      <w:r>
        <w:rPr>
          <w:b w:val="0"/>
          <w:color w:val="auto"/>
          <w:sz w:val="24"/>
          <w:szCs w:val="24"/>
        </w:rPr>
        <w:t>–</w:t>
      </w:r>
      <w:r w:rsidRPr="00EC1CD3">
        <w:rPr>
          <w:b w:val="0"/>
          <w:color w:val="auto"/>
          <w:sz w:val="24"/>
          <w:szCs w:val="24"/>
        </w:rPr>
        <w:t xml:space="preserve">Producing </w:t>
      </w:r>
      <w:r w:rsidRPr="00EC1CD3">
        <w:rPr>
          <w:b w:val="0"/>
          <w:i/>
          <w:iCs/>
          <w:color w:val="auto"/>
          <w:sz w:val="24"/>
          <w:szCs w:val="24"/>
        </w:rPr>
        <w:t>E. coli</w:t>
      </w:r>
      <w:r w:rsidRPr="00EC1CD3">
        <w:rPr>
          <w:b w:val="0"/>
          <w:color w:val="auto"/>
          <w:sz w:val="24"/>
          <w:szCs w:val="24"/>
        </w:rPr>
        <w:t xml:space="preserve"> Estimated With Simple Logistic Regression Models in a Case-</w:t>
      </w:r>
      <w:r>
        <w:rPr>
          <w:b w:val="0"/>
          <w:color w:val="auto"/>
          <w:sz w:val="24"/>
          <w:szCs w:val="24"/>
        </w:rPr>
        <w:t>–</w:t>
      </w:r>
      <w:r w:rsidRPr="00EC1CD3">
        <w:rPr>
          <w:b w:val="0"/>
          <w:color w:val="auto"/>
          <w:sz w:val="24"/>
          <w:szCs w:val="24"/>
        </w:rPr>
        <w:t>Control Study—Maine, 2017</w:t>
      </w:r>
    </w:p>
    <w:tbl>
      <w:tblPr>
        <w:tblStyle w:val="TableGrid"/>
        <w:tblW w:w="9895" w:type="dxa"/>
        <w:tblLook w:val="04A0"/>
      </w:tblPr>
      <w:tblGrid>
        <w:gridCol w:w="3055"/>
        <w:gridCol w:w="805"/>
        <w:gridCol w:w="990"/>
        <w:gridCol w:w="1075"/>
        <w:gridCol w:w="1345"/>
        <w:gridCol w:w="2625"/>
      </w:tblGrid>
      <w:tr w:rsidR="00302D25" w:rsidRPr="00D84D7F" w:rsidTr="003828BC">
        <w:trPr>
          <w:trHeight w:val="273"/>
        </w:trPr>
        <w:tc>
          <w:tcPr>
            <w:tcW w:w="3055" w:type="dxa"/>
            <w:noWrap/>
            <w:hideMark/>
          </w:tcPr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73424E">
              <w:rPr>
                <w:color w:val="000000"/>
              </w:rPr>
              <w:t>Antibiotic</w:t>
            </w:r>
          </w:p>
        </w:tc>
        <w:tc>
          <w:tcPr>
            <w:tcW w:w="805" w:type="dxa"/>
            <w:noWrap/>
            <w:hideMark/>
          </w:tcPr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73424E">
              <w:rPr>
                <w:color w:val="000000"/>
              </w:rPr>
              <w:t xml:space="preserve">% of </w:t>
            </w:r>
            <w:r w:rsidRPr="00D84D7F">
              <w:rPr>
                <w:color w:val="000000"/>
              </w:rPr>
              <w:t>Cases</w:t>
            </w:r>
          </w:p>
        </w:tc>
        <w:tc>
          <w:tcPr>
            <w:tcW w:w="990" w:type="dxa"/>
            <w:noWrap/>
            <w:hideMark/>
          </w:tcPr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No. </w:t>
            </w:r>
            <w:r w:rsidRPr="0073424E">
              <w:rPr>
                <w:color w:val="000000"/>
              </w:rPr>
              <w:t>(</w:t>
            </w:r>
            <w:r>
              <w:rPr>
                <w:color w:val="000000"/>
              </w:rPr>
              <w:t>N=</w:t>
            </w:r>
            <w:r w:rsidRPr="0073424E">
              <w:rPr>
                <w:color w:val="000000"/>
              </w:rPr>
              <w:t>60)</w:t>
            </w:r>
          </w:p>
        </w:tc>
        <w:tc>
          <w:tcPr>
            <w:tcW w:w="1075" w:type="dxa"/>
            <w:noWrap/>
            <w:hideMark/>
          </w:tcPr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73424E">
              <w:rPr>
                <w:color w:val="000000"/>
              </w:rPr>
              <w:t xml:space="preserve">% of </w:t>
            </w:r>
            <w:r w:rsidRPr="00D84D7F">
              <w:rPr>
                <w:color w:val="000000"/>
              </w:rPr>
              <w:t>Controls</w:t>
            </w:r>
          </w:p>
        </w:tc>
        <w:tc>
          <w:tcPr>
            <w:tcW w:w="1345" w:type="dxa"/>
            <w:noWrap/>
            <w:hideMark/>
          </w:tcPr>
          <w:p w:rsidR="00302D25" w:rsidRDefault="00302D25" w:rsidP="0038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No.</w:t>
            </w:r>
          </w:p>
          <w:p w:rsidR="00302D25" w:rsidRPr="0073424E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73424E">
              <w:rPr>
                <w:color w:val="000000"/>
              </w:rPr>
              <w:t>(</w:t>
            </w:r>
            <w:r>
              <w:rPr>
                <w:color w:val="000000"/>
              </w:rPr>
              <w:t>N=</w:t>
            </w:r>
            <w:r w:rsidRPr="0073424E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,</w:t>
            </w:r>
            <w:r w:rsidRPr="0073424E">
              <w:rPr>
                <w:color w:val="000000"/>
              </w:rPr>
              <w:t>017)</w:t>
            </w:r>
          </w:p>
        </w:tc>
        <w:tc>
          <w:tcPr>
            <w:tcW w:w="2625" w:type="dxa"/>
          </w:tcPr>
          <w:p w:rsidR="00302D25" w:rsidRDefault="00302D25" w:rsidP="003828BC">
            <w:pPr>
              <w:jc w:val="center"/>
              <w:rPr>
                <w:color w:val="000000"/>
              </w:rPr>
            </w:pPr>
            <w:r w:rsidRPr="0073424E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dds </w:t>
            </w:r>
            <w:r w:rsidRPr="0073424E">
              <w:rPr>
                <w:color w:val="000000"/>
              </w:rPr>
              <w:t>R</w:t>
            </w:r>
            <w:r>
              <w:rPr>
                <w:color w:val="000000"/>
              </w:rPr>
              <w:t>atio</w:t>
            </w:r>
          </w:p>
          <w:p w:rsidR="00302D25" w:rsidRPr="0073424E" w:rsidRDefault="00302D25" w:rsidP="0038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(95% CI)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73424E" w:rsidRDefault="00302D25" w:rsidP="003828BC">
            <w:pPr>
              <w:rPr>
                <w:b/>
                <w:bCs/>
              </w:rPr>
            </w:pPr>
            <w:r w:rsidRPr="0073424E">
              <w:rPr>
                <w:b/>
                <w:bCs/>
              </w:rPr>
              <w:t>β-</w:t>
            </w:r>
            <w:proofErr w:type="spellStart"/>
            <w:r w:rsidRPr="0073424E">
              <w:rPr>
                <w:b/>
                <w:bCs/>
              </w:rPr>
              <w:t>lactams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r w:rsidRPr="00D84D7F">
              <w:t>60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(36)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21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(212)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right"/>
            </w:pPr>
            <w:r w:rsidRPr="00D84D7F">
              <w:t>5.7</w:t>
            </w:r>
            <w:r w:rsidRPr="0073424E">
              <w:rPr>
                <w:sz w:val="22"/>
                <w:szCs w:val="22"/>
              </w:rPr>
              <w:t xml:space="preserve">0 </w:t>
            </w:r>
            <w:r w:rsidRPr="00D84D7F">
              <w:t>(3.33–9.76)***</w:t>
            </w:r>
            <w:r w:rsidRPr="00D84D7F">
              <w:rPr>
                <w:vertAlign w:val="superscript"/>
              </w:rPr>
              <w:t>,</w:t>
            </w:r>
            <w:proofErr w:type="spellStart"/>
            <w:r w:rsidRPr="00D84D7F">
              <w:rPr>
                <w:vertAlign w:val="superscript"/>
              </w:rPr>
              <w:t>a,b</w:t>
            </w:r>
            <w:proofErr w:type="spellEnd"/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rFonts w:eastAsia="Times New Roman"/>
                <w:color w:val="000000"/>
              </w:rPr>
            </w:pPr>
            <w:r w:rsidRPr="00D84D7F">
              <w:t xml:space="preserve"> </w:t>
            </w:r>
            <w:proofErr w:type="spellStart"/>
            <w:r w:rsidRPr="00D84D7F">
              <w:t>Ampicillin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(1)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1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(10)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1.71 (0.21</w:t>
            </w:r>
            <w:r>
              <w:t>–</w:t>
            </w:r>
            <w:r w:rsidRPr="00D84D7F">
              <w:t>13.56)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rFonts w:eastAsia="Times New Roman"/>
                <w:color w:val="000000"/>
              </w:rPr>
            </w:pPr>
            <w:r w:rsidRPr="00D84D7F">
              <w:t xml:space="preserve"> </w:t>
            </w:r>
            <w:proofErr w:type="spellStart"/>
            <w:r w:rsidRPr="00D84D7F">
              <w:t>Ampicillin</w:t>
            </w:r>
            <w:proofErr w:type="spellEnd"/>
            <w:r w:rsidRPr="00D84D7F">
              <w:t>/</w:t>
            </w:r>
            <w:proofErr w:type="spellStart"/>
            <w:r w:rsidRPr="00D84D7F">
              <w:t>sulbactam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(1)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1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(6)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2.86 (0.34</w:t>
            </w:r>
            <w:r>
              <w:t>–</w:t>
            </w:r>
            <w:r w:rsidRPr="00D84D7F">
              <w:t>24.11)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color w:val="000000"/>
              </w:rPr>
            </w:pPr>
            <w:r w:rsidRPr="00D84D7F">
              <w:t xml:space="preserve"> Amoxicillin</w:t>
            </w:r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(25)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0.67 (0.09</w:t>
            </w:r>
            <w:r>
              <w:t>–</w:t>
            </w:r>
            <w:r w:rsidRPr="00D84D7F">
              <w:t>5.05)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color w:val="000000"/>
              </w:rPr>
            </w:pPr>
            <w:r w:rsidRPr="00D84D7F">
              <w:t xml:space="preserve"> Amoxicillin/</w:t>
            </w:r>
            <w:proofErr w:type="spellStart"/>
            <w:r w:rsidRPr="00D84D7F">
              <w:t>Clavulanate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(15)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1.13 (0.15</w:t>
            </w:r>
            <w:r>
              <w:t>–</w:t>
            </w:r>
            <w:r w:rsidRPr="00D84D7F">
              <w:t>8.72)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color w:val="000000"/>
              </w:rPr>
            </w:pPr>
            <w:r w:rsidRPr="00D84D7F">
              <w:t xml:space="preserve"> </w:t>
            </w:r>
            <w:proofErr w:type="spellStart"/>
            <w:r w:rsidRPr="00D84D7F">
              <w:t>Oxacillin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(1)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color w:val="000000"/>
              </w:rPr>
            </w:pPr>
            <w:r w:rsidRPr="00D84D7F">
              <w:t xml:space="preserve"> </w:t>
            </w:r>
            <w:proofErr w:type="spellStart"/>
            <w:r w:rsidRPr="00D84D7F">
              <w:t>Piperacillin</w:t>
            </w:r>
            <w:proofErr w:type="spellEnd"/>
            <w:r w:rsidRPr="00D84D7F">
              <w:t>/</w:t>
            </w:r>
            <w:proofErr w:type="spellStart"/>
            <w:r w:rsidRPr="00D84D7F">
              <w:t>Tazobactam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(6)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4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(39)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2.79 (1.13</w:t>
            </w:r>
            <w:r>
              <w:t>–</w:t>
            </w:r>
            <w:r w:rsidRPr="00D84D7F">
              <w:t>6.87)*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</w:pPr>
            <w:r w:rsidRPr="00D84D7F">
              <w:t xml:space="preserve"> </w:t>
            </w:r>
            <w:proofErr w:type="spellStart"/>
            <w:r w:rsidRPr="00D84D7F">
              <w:t>Aztreonam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(1)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</w:pPr>
            <w:r w:rsidRPr="00D84D7F">
              <w:t>NA</w:t>
            </w:r>
          </w:p>
        </w:tc>
      </w:tr>
      <w:tr w:rsidR="00302D25" w:rsidRPr="00D84D7F" w:rsidTr="003828BC">
        <w:trPr>
          <w:trHeight w:val="30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color w:val="000000"/>
              </w:rPr>
            </w:pPr>
            <w:r w:rsidRPr="00D84D7F">
              <w:t xml:space="preserve"> </w:t>
            </w:r>
            <w:proofErr w:type="spellStart"/>
            <w:r w:rsidRPr="00D84D7F">
              <w:t>Cephalexin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7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(4)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3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(32)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2.20 (0.75</w:t>
            </w:r>
            <w:r>
              <w:t>–</w:t>
            </w:r>
            <w:r w:rsidRPr="00D84D7F">
              <w:t>6.43)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color w:val="000000"/>
              </w:rPr>
            </w:pPr>
            <w:r w:rsidRPr="00D84D7F">
              <w:t xml:space="preserve"> </w:t>
            </w:r>
            <w:proofErr w:type="spellStart"/>
            <w:r w:rsidRPr="00D84D7F">
              <w:t>Cefazolin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(7)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4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(38)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3.40 (1.45</w:t>
            </w:r>
            <w:r>
              <w:t>–</w:t>
            </w:r>
            <w:r w:rsidRPr="00D84D7F">
              <w:t>7.98)**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color w:val="000000"/>
              </w:rPr>
            </w:pPr>
            <w:r w:rsidRPr="00D84D7F">
              <w:t xml:space="preserve"> </w:t>
            </w:r>
            <w:proofErr w:type="spellStart"/>
            <w:r w:rsidRPr="00D84D7F">
              <w:t>Cefuroxime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3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(13)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2.66 (0.59</w:t>
            </w:r>
            <w:r>
              <w:t>–</w:t>
            </w:r>
            <w:r w:rsidRPr="00D84D7F">
              <w:t>12.08)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  <w:rPr>
                <w:color w:val="000000"/>
              </w:rPr>
            </w:pPr>
            <w:r w:rsidRPr="00D84D7F">
              <w:t xml:space="preserve"> </w:t>
            </w:r>
            <w:proofErr w:type="spellStart"/>
            <w:r w:rsidRPr="00D84D7F">
              <w:t>Ceftriaxone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35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11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(116)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4.18 (2.38</w:t>
            </w:r>
            <w:r>
              <w:t>–</w:t>
            </w:r>
            <w:r w:rsidRPr="00D84D7F">
              <w:t>7.36)***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</w:pPr>
            <w:r w:rsidRPr="00D84D7F">
              <w:t xml:space="preserve"> </w:t>
            </w:r>
            <w:proofErr w:type="spellStart"/>
            <w:r w:rsidRPr="00D84D7F">
              <w:t>Cefpodoxime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3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(4)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8.73 (1.57</w:t>
            </w:r>
            <w:r>
              <w:t>–</w:t>
            </w:r>
            <w:r w:rsidRPr="00D84D7F">
              <w:t>48.66)*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</w:pPr>
            <w:r w:rsidRPr="00D84D7F">
              <w:t xml:space="preserve"> </w:t>
            </w:r>
            <w:proofErr w:type="spellStart"/>
            <w:r w:rsidRPr="00D84D7F">
              <w:t>Cefepime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7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(4)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(24)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2.96 (0.99</w:t>
            </w:r>
            <w:r>
              <w:t>–</w:t>
            </w:r>
            <w:r w:rsidRPr="00D84D7F">
              <w:t>8.81)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</w:pPr>
            <w:r w:rsidRPr="00D84D7F">
              <w:t xml:space="preserve"> </w:t>
            </w:r>
            <w:proofErr w:type="spellStart"/>
            <w:r w:rsidRPr="00D84D7F">
              <w:t>Cefixime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245"/>
            </w:pPr>
            <w:r w:rsidRPr="00D84D7F">
              <w:t xml:space="preserve"> </w:t>
            </w:r>
            <w:proofErr w:type="spellStart"/>
            <w:r w:rsidRPr="00D84D7F">
              <w:t>Meropenem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(4)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4.29 (0.47</w:t>
            </w:r>
            <w:r>
              <w:t>–</w:t>
            </w:r>
            <w:r w:rsidRPr="00D84D7F">
              <w:t>39.01)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73424E" w:rsidRDefault="00302D25" w:rsidP="003828BC">
            <w:pPr>
              <w:rPr>
                <w:b/>
                <w:bCs/>
              </w:rPr>
            </w:pPr>
            <w:proofErr w:type="spellStart"/>
            <w:r w:rsidRPr="0073424E">
              <w:rPr>
                <w:b/>
                <w:bCs/>
              </w:rPr>
              <w:t>Fluoroquinolones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7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(4)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5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(47)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</w:pPr>
            <w:r w:rsidRPr="00D84D7F">
              <w:t>1.47 (0.51</w:t>
            </w:r>
            <w:r>
              <w:t>–</w:t>
            </w:r>
            <w:r w:rsidRPr="00D84D7F">
              <w:t>4.24)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r w:rsidRPr="00D84D7F">
              <w:t xml:space="preserve"> Ciprofloxacin</w:t>
            </w:r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(25)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0.67 (0.09</w:t>
            </w:r>
            <w:r>
              <w:t>–</w:t>
            </w:r>
            <w:r w:rsidRPr="00D84D7F">
              <w:t>5.05)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r w:rsidRPr="00D84D7F">
              <w:t xml:space="preserve"> </w:t>
            </w:r>
            <w:proofErr w:type="spellStart"/>
            <w:r w:rsidRPr="00D84D7F">
              <w:t>Levofloxacin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7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(4)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(24)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2.96 (0.99</w:t>
            </w:r>
            <w:r>
              <w:t>–</w:t>
            </w:r>
            <w:r w:rsidRPr="00D84D7F">
              <w:t>8.81)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r w:rsidRPr="00D84D7F">
              <w:t>TMP/SMX</w:t>
            </w:r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3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3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(34)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1.00 (0.23</w:t>
            </w:r>
            <w:r>
              <w:t>–</w:t>
            </w:r>
            <w:r w:rsidRPr="00D84D7F">
              <w:t>4.25)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Trimethoprim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</w:pPr>
            <w:r w:rsidRPr="00D84D7F">
              <w:t>(1)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Gentamicin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(4)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Nitrofurantoin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7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(4)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2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(24)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2.96 (0.99</w:t>
            </w:r>
            <w:r>
              <w:t>–</w:t>
            </w:r>
            <w:r w:rsidRPr="00D84D7F">
              <w:t>8.81)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Fosfomycin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Vancomycin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(6)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6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(60)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1.77 (0.73</w:t>
            </w:r>
            <w:r>
              <w:t>–</w:t>
            </w:r>
            <w:r w:rsidRPr="00D84D7F">
              <w:t>4.29)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Linezolid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rFonts w:eastAsia="Times New Roman"/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(3)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Daptomycin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Clindamycin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(20)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0.84 (0.11</w:t>
            </w:r>
            <w:r>
              <w:t>–</w:t>
            </w:r>
            <w:r w:rsidRPr="00D84D7F">
              <w:t>6.40)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Rifaximin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Azithromycin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7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(4)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(15)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4.77 (1.53</w:t>
            </w:r>
            <w:r>
              <w:t>–</w:t>
            </w:r>
            <w:r w:rsidRPr="00D84D7F">
              <w:t>14.85)**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Metronidazole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5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(3)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(24)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</w:pPr>
            <w:r w:rsidRPr="00D84D7F">
              <w:t>2.18 (0.64</w:t>
            </w:r>
            <w:r>
              <w:t>–</w:t>
            </w:r>
            <w:r w:rsidRPr="00D84D7F">
              <w:t>7.45)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proofErr w:type="spellStart"/>
            <w:r w:rsidRPr="00D84D7F">
              <w:t>Bacitracin</w:t>
            </w:r>
            <w:proofErr w:type="spellEnd"/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(0)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1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(7)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</w:pPr>
            <w:r w:rsidRPr="00D84D7F">
              <w:t>NA</w:t>
            </w:r>
          </w:p>
        </w:tc>
      </w:tr>
      <w:tr w:rsidR="00302D25" w:rsidRPr="00D84D7F" w:rsidTr="003828BC">
        <w:trPr>
          <w:trHeight w:val="262"/>
        </w:trPr>
        <w:tc>
          <w:tcPr>
            <w:tcW w:w="3055" w:type="dxa"/>
            <w:noWrap/>
          </w:tcPr>
          <w:p w:rsidR="00302D25" w:rsidRPr="00D84D7F" w:rsidRDefault="00302D25" w:rsidP="003828BC">
            <w:pPr>
              <w:ind w:left="155"/>
            </w:pPr>
            <w:r w:rsidRPr="00D84D7F">
              <w:t>Neomycin</w:t>
            </w:r>
          </w:p>
        </w:tc>
        <w:tc>
          <w:tcPr>
            <w:tcW w:w="80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2</w:t>
            </w:r>
          </w:p>
        </w:tc>
        <w:tc>
          <w:tcPr>
            <w:tcW w:w="990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(1)</w:t>
            </w:r>
          </w:p>
        </w:tc>
        <w:tc>
          <w:tcPr>
            <w:tcW w:w="107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0</w:t>
            </w:r>
          </w:p>
        </w:tc>
        <w:tc>
          <w:tcPr>
            <w:tcW w:w="1345" w:type="dxa"/>
            <w:noWrap/>
          </w:tcPr>
          <w:p w:rsidR="00302D25" w:rsidRPr="00D84D7F" w:rsidRDefault="00302D25" w:rsidP="003828BC">
            <w:pPr>
              <w:jc w:val="center"/>
              <w:rPr>
                <w:color w:val="000000"/>
              </w:rPr>
            </w:pPr>
            <w:r w:rsidRPr="00D84D7F">
              <w:t>(2)</w:t>
            </w:r>
          </w:p>
        </w:tc>
        <w:tc>
          <w:tcPr>
            <w:tcW w:w="2625" w:type="dxa"/>
          </w:tcPr>
          <w:p w:rsidR="00302D25" w:rsidRPr="00D84D7F" w:rsidRDefault="00302D25" w:rsidP="003828BC">
            <w:pPr>
              <w:jc w:val="center"/>
            </w:pPr>
            <w:r w:rsidRPr="00D84D7F">
              <w:t>8.60 (0.77</w:t>
            </w:r>
            <w:r>
              <w:t>–</w:t>
            </w:r>
            <w:r w:rsidRPr="00D84D7F">
              <w:t>96.23)</w:t>
            </w:r>
          </w:p>
        </w:tc>
      </w:tr>
    </w:tbl>
    <w:p w:rsidR="00302D25" w:rsidRPr="00EC1CD3" w:rsidRDefault="00302D25" w:rsidP="00302D2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Note. </w:t>
      </w:r>
      <w:proofErr w:type="gramStart"/>
      <w:r>
        <w:rPr>
          <w:rFonts w:eastAsia="Times New Roman"/>
          <w:color w:val="000000"/>
        </w:rPr>
        <w:t xml:space="preserve">CI, confidence interval; </w:t>
      </w:r>
      <w:r w:rsidRPr="00EC1CD3">
        <w:t>TMP/SMX</w:t>
      </w:r>
      <w:r>
        <w:t xml:space="preserve">, </w:t>
      </w:r>
      <w:proofErr w:type="spellStart"/>
      <w:r w:rsidRPr="00FD7DA9">
        <w:t>trimethoprim</w:t>
      </w:r>
      <w:proofErr w:type="spellEnd"/>
      <w:r>
        <w:t>/</w:t>
      </w:r>
      <w:proofErr w:type="spellStart"/>
      <w:r>
        <w:t>s</w:t>
      </w:r>
      <w:r w:rsidRPr="00FD7DA9">
        <w:t>ulfamethoxazole</w:t>
      </w:r>
      <w:proofErr w:type="spellEnd"/>
      <w:r>
        <w:t>; NA, not available.</w:t>
      </w:r>
      <w:proofErr w:type="gramEnd"/>
    </w:p>
    <w:p w:rsidR="00302D25" w:rsidRPr="00EC1CD3" w:rsidRDefault="00302D25" w:rsidP="00302D25">
      <w:pPr>
        <w:rPr>
          <w:rFonts w:eastAsia="Times New Roman"/>
          <w:color w:val="000000"/>
        </w:rPr>
      </w:pPr>
      <w:r w:rsidRPr="00EC1CD3">
        <w:rPr>
          <w:rFonts w:eastAsia="Times New Roman"/>
          <w:color w:val="000000"/>
        </w:rPr>
        <w:t xml:space="preserve">*** </w:t>
      </w:r>
      <w:r w:rsidRPr="0073424E">
        <w:rPr>
          <w:rFonts w:eastAsia="Times New Roman"/>
          <w:i/>
          <w:iCs/>
          <w:color w:val="000000"/>
        </w:rPr>
        <w:t>P</w:t>
      </w:r>
      <w:r w:rsidRPr="00EC1CD3">
        <w:rPr>
          <w:rFonts w:eastAsia="Times New Roman"/>
          <w:color w:val="000000"/>
        </w:rPr>
        <w:t xml:space="preserve"> &lt;</w:t>
      </w:r>
      <w:r>
        <w:rPr>
          <w:rFonts w:eastAsia="Times New Roman"/>
          <w:color w:val="000000"/>
        </w:rPr>
        <w:t xml:space="preserve"> </w:t>
      </w:r>
      <w:r w:rsidRPr="00EC1CD3">
        <w:rPr>
          <w:rFonts w:eastAsia="Times New Roman"/>
          <w:color w:val="000000"/>
        </w:rPr>
        <w:t>.001, **</w:t>
      </w:r>
      <w:r>
        <w:rPr>
          <w:rFonts w:eastAsia="Times New Roman"/>
          <w:i/>
          <w:iCs/>
          <w:color w:val="000000"/>
        </w:rPr>
        <w:t>P</w:t>
      </w:r>
      <w:r w:rsidRPr="00EC1CD3">
        <w:rPr>
          <w:rFonts w:eastAsia="Times New Roman"/>
          <w:color w:val="000000"/>
        </w:rPr>
        <w:t xml:space="preserve"> &lt;</w:t>
      </w:r>
      <w:r>
        <w:rPr>
          <w:rFonts w:eastAsia="Times New Roman"/>
          <w:color w:val="000000"/>
        </w:rPr>
        <w:t xml:space="preserve"> </w:t>
      </w:r>
      <w:r w:rsidRPr="00EC1CD3">
        <w:rPr>
          <w:rFonts w:eastAsia="Times New Roman"/>
          <w:color w:val="000000"/>
        </w:rPr>
        <w:t>.01, *</w:t>
      </w:r>
      <w:r>
        <w:rPr>
          <w:rFonts w:eastAsia="Times New Roman"/>
          <w:i/>
          <w:iCs/>
          <w:color w:val="000000"/>
        </w:rPr>
        <w:t>P</w:t>
      </w:r>
      <w:r w:rsidRPr="00EC1CD3">
        <w:rPr>
          <w:rFonts w:eastAsia="Times New Roman"/>
          <w:color w:val="000000"/>
        </w:rPr>
        <w:t xml:space="preserve"> &lt;</w:t>
      </w:r>
      <w:r>
        <w:rPr>
          <w:rFonts w:eastAsia="Times New Roman"/>
          <w:color w:val="000000"/>
        </w:rPr>
        <w:t xml:space="preserve"> </w:t>
      </w:r>
      <w:r w:rsidRPr="00EC1CD3">
        <w:rPr>
          <w:rFonts w:eastAsia="Times New Roman"/>
          <w:color w:val="000000"/>
        </w:rPr>
        <w:t>.05</w:t>
      </w:r>
      <w:r>
        <w:rPr>
          <w:rFonts w:eastAsia="Times New Roman"/>
          <w:color w:val="000000"/>
        </w:rPr>
        <w:t>.</w:t>
      </w:r>
    </w:p>
    <w:p w:rsidR="00302D25" w:rsidRPr="00EC1CD3" w:rsidRDefault="00302D25" w:rsidP="00302D25">
      <w:proofErr w:type="spellStart"/>
      <w:proofErr w:type="gramStart"/>
      <w:r>
        <w:rPr>
          <w:vertAlign w:val="superscript"/>
        </w:rPr>
        <w:t>a</w:t>
      </w:r>
      <w:r w:rsidRPr="00D84D7F">
        <w:t>Covariate</w:t>
      </w:r>
      <w:proofErr w:type="spellEnd"/>
      <w:proofErr w:type="gramEnd"/>
      <w:r w:rsidRPr="00EC1CD3">
        <w:t xml:space="preserve"> selected for inclusion in the final multiple logistic regression model by bidirectional stepwise variable selection</w:t>
      </w:r>
      <w:r>
        <w:t>.</w:t>
      </w:r>
    </w:p>
    <w:p w:rsidR="00302D25" w:rsidRPr="00EC1CD3" w:rsidRDefault="00302D25" w:rsidP="00302D25">
      <w:pPr>
        <w:rPr>
          <w:rFonts w:eastAsia="Times New Roman"/>
          <w:color w:val="000000"/>
        </w:rPr>
      </w:pPr>
      <w:proofErr w:type="spellStart"/>
      <w:proofErr w:type="gramStart"/>
      <w:r>
        <w:rPr>
          <w:vertAlign w:val="superscript"/>
        </w:rPr>
        <w:lastRenderedPageBreak/>
        <w:t>b</w:t>
      </w:r>
      <w:r w:rsidRPr="00EC1CD3">
        <w:t>Covariate</w:t>
      </w:r>
      <w:proofErr w:type="spellEnd"/>
      <w:proofErr w:type="gramEnd"/>
      <w:r w:rsidRPr="00EC1CD3">
        <w:t xml:space="preserve"> with significant association with infection with an ESBL producing </w:t>
      </w:r>
      <w:r w:rsidRPr="00EC1CD3">
        <w:rPr>
          <w:i/>
          <w:iCs/>
        </w:rPr>
        <w:t xml:space="preserve">E. coli </w:t>
      </w:r>
      <w:r w:rsidRPr="00EC1CD3">
        <w:t>isolate in the final multiple logistic regression model</w:t>
      </w:r>
      <w:r>
        <w:t>.</w:t>
      </w:r>
    </w:p>
    <w:p w:rsidR="006D5478" w:rsidRDefault="006D5478"/>
    <w:sectPr w:rsidR="006D5478" w:rsidSect="00EC1CD3">
      <w:footerReference w:type="even" r:id="rId4"/>
      <w:footerReference w:type="default" r:id="rId5"/>
      <w:headerReference w:type="first" r:id="rId6"/>
      <w:footerReference w:type="first" r:id="rId7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7" w:rsidRDefault="00302D25" w:rsidP="008A56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F87" w:rsidRDefault="00302D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0785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F87" w:rsidRDefault="00302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1F87" w:rsidRDefault="00302D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500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CD3" w:rsidRDefault="00302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F87" w:rsidRDefault="00302D2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7" w:rsidRPr="00204015" w:rsidRDefault="00302D25" w:rsidP="004A10BE">
    <w:pPr>
      <w:pStyle w:val="Header"/>
    </w:pPr>
    <w:r>
      <w:tab/>
    </w:r>
  </w:p>
  <w:p w:rsidR="00B21F87" w:rsidRDefault="00302D25" w:rsidP="004A10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proofState w:spelling="clean" w:grammar="clean"/>
  <w:defaultTabStop w:val="720"/>
  <w:characterSpacingControl w:val="doNotCompress"/>
  <w:compat/>
  <w:rsids>
    <w:rsidRoot w:val="00302D25"/>
    <w:rsid w:val="00041ED1"/>
    <w:rsid w:val="000D38D7"/>
    <w:rsid w:val="00120E52"/>
    <w:rsid w:val="0015367D"/>
    <w:rsid w:val="00175E8A"/>
    <w:rsid w:val="001A407D"/>
    <w:rsid w:val="001C362F"/>
    <w:rsid w:val="002A346E"/>
    <w:rsid w:val="002B4E0E"/>
    <w:rsid w:val="00302D25"/>
    <w:rsid w:val="00366FA0"/>
    <w:rsid w:val="003B0DF6"/>
    <w:rsid w:val="003C7444"/>
    <w:rsid w:val="00412D06"/>
    <w:rsid w:val="0047169B"/>
    <w:rsid w:val="0048278F"/>
    <w:rsid w:val="004D0172"/>
    <w:rsid w:val="004F454B"/>
    <w:rsid w:val="00546F58"/>
    <w:rsid w:val="0058327E"/>
    <w:rsid w:val="005C6B54"/>
    <w:rsid w:val="006042D2"/>
    <w:rsid w:val="00614AA5"/>
    <w:rsid w:val="006668B3"/>
    <w:rsid w:val="0067137A"/>
    <w:rsid w:val="00674A30"/>
    <w:rsid w:val="00685E93"/>
    <w:rsid w:val="006B3295"/>
    <w:rsid w:val="006C7931"/>
    <w:rsid w:val="006D5478"/>
    <w:rsid w:val="00707641"/>
    <w:rsid w:val="00773560"/>
    <w:rsid w:val="00787474"/>
    <w:rsid w:val="007B7CC8"/>
    <w:rsid w:val="0080289A"/>
    <w:rsid w:val="00845E4F"/>
    <w:rsid w:val="00896574"/>
    <w:rsid w:val="008A0CA7"/>
    <w:rsid w:val="008D7F4F"/>
    <w:rsid w:val="00925C4D"/>
    <w:rsid w:val="0094279B"/>
    <w:rsid w:val="0096033E"/>
    <w:rsid w:val="0097235D"/>
    <w:rsid w:val="00A6009E"/>
    <w:rsid w:val="00AC2BE2"/>
    <w:rsid w:val="00B00A19"/>
    <w:rsid w:val="00B07006"/>
    <w:rsid w:val="00B16BEF"/>
    <w:rsid w:val="00B32F1C"/>
    <w:rsid w:val="00B80CEE"/>
    <w:rsid w:val="00B94C1B"/>
    <w:rsid w:val="00BC65B0"/>
    <w:rsid w:val="00C22F66"/>
    <w:rsid w:val="00CE0A72"/>
    <w:rsid w:val="00D048EF"/>
    <w:rsid w:val="00D141DF"/>
    <w:rsid w:val="00D55BAD"/>
    <w:rsid w:val="00D57C9E"/>
    <w:rsid w:val="00D76791"/>
    <w:rsid w:val="00D84852"/>
    <w:rsid w:val="00D92B1D"/>
    <w:rsid w:val="00D9722A"/>
    <w:rsid w:val="00DC21D4"/>
    <w:rsid w:val="00DD012B"/>
    <w:rsid w:val="00DD657F"/>
    <w:rsid w:val="00DD7CA3"/>
    <w:rsid w:val="00E225A3"/>
    <w:rsid w:val="00E45088"/>
    <w:rsid w:val="00EC5893"/>
    <w:rsid w:val="00F31364"/>
    <w:rsid w:val="00F8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D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02D2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02D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02D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D25"/>
  </w:style>
  <w:style w:type="table" w:styleId="TableGrid">
    <w:name w:val="Table Grid"/>
    <w:basedOn w:val="TableNormal"/>
    <w:uiPriority w:val="59"/>
    <w:rsid w:val="00302D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02D25"/>
    <w:pPr>
      <w:spacing w:line="240" w:lineRule="auto"/>
    </w:pPr>
    <w:rPr>
      <w:rFonts w:ascii="Times New Roman" w:eastAsia="Calibri" w:hAnsi="Times New Roman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2657</Characters>
  <Application>Microsoft Office Word</Application>
  <DocSecurity>0</DocSecurity>
  <Lines>38</Lines>
  <Paragraphs>10</Paragraphs>
  <ScaleCrop>false</ScaleCrop>
  <Company>HP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1</cp:revision>
  <dcterms:created xsi:type="dcterms:W3CDTF">2021-06-10T18:08:00Z</dcterms:created>
  <dcterms:modified xsi:type="dcterms:W3CDTF">2021-06-10T18:08:00Z</dcterms:modified>
</cp:coreProperties>
</file>