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bidi w:val="0"/>
        <w:spacing w:before="240" w:after="60" w:line="48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Supplementa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l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 xml:space="preserve"> table 1: Non-SARS-CoV-2 Respiratory viruses isolated in upper respiratory multiplex PCR swabs in the first 48 hours of admission</w:t>
      </w:r>
    </w:p>
    <w:p>
      <w:pPr>
        <w:pStyle w:val="Body"/>
        <w:bidi w:val="0"/>
        <w:spacing w:after="16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tbl>
      <w:tblPr>
        <w:tblW w:w="76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65"/>
        <w:gridCol w:w="2880"/>
      </w:tblGrid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Pathogen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Number of positive tests</w:t>
            </w:r>
          </w:p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(Total screened = 3189)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lang w:val="en-US"/>
              </w:rPr>
              <w:br w:type="textWrapping"/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Rhinovirus/ Enterovirus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Coronavirus HKU1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Adenovirus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Human metapneumovirus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Parainfluenza type 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Coronavirus NL63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Influenza B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Coronavirus OC43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602" w:hRule="atLeast"/>
        </w:trPr>
        <w:tc>
          <w:tcPr>
            <w:tcW w:type="dxa" w:w="4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TOTAL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</w:tr>
    </w:tbl>
    <w:p>
      <w:pPr>
        <w:pStyle w:val="Body"/>
        <w:widowControl w:val="0"/>
        <w:bidi w:val="0"/>
        <w:spacing w:after="16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Supplemental Table 2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: Unadjusted association of detection of co-pathogens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in blood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with immunomodulator therapy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57"/>
        <w:gridCol w:w="1711"/>
        <w:gridCol w:w="1711"/>
        <w:gridCol w:w="940"/>
        <w:gridCol w:w="555"/>
        <w:gridCol w:w="764"/>
        <w:gridCol w:w="906"/>
        <w:gridCol w:w="1116"/>
      </w:tblGrid>
      <w:tr>
        <w:tblPrEx>
          <w:shd w:val="clear" w:color="auto" w:fill="4472c4"/>
        </w:tblPrEx>
        <w:trPr>
          <w:trHeight w:val="297" w:hRule="atLeast"/>
          <w:tblHeader/>
        </w:trPr>
        <w:tc>
          <w:tcPr>
            <w:tcW w:type="dxa" w:w="9360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777777"/>
                <w:sz w:val="24"/>
                <w:szCs w:val="24"/>
                <w:u w:color="777777"/>
                <w:shd w:val="nil" w:color="auto" w:fill="auto"/>
                <w:rtl w:val="0"/>
                <w:lang w:val="en-US"/>
                <w14:textFill>
                  <w14:solidFill>
                    <w14:srgbClr w14:val="777777"/>
                  </w14:solidFill>
                </w14:textFill>
              </w:rPr>
              <w:t>Positive Blood Cultures Among COVID+ Inpatients Receiving Immunomodulators</w:t>
            </w:r>
          </w:p>
        </w:tc>
      </w:tr>
      <w:tr>
        <w:tblPrEx>
          <w:shd w:val="clear" w:color="auto" w:fill="4472c4"/>
        </w:tblPrEx>
        <w:trPr>
          <w:trHeight w:val="407" w:hRule="atLeast"/>
          <w:tblHeader/>
        </w:trPr>
        <w:tc>
          <w:tcPr>
            <w:tcW w:type="dxa" w:w="1657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Isolated Before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Immunomodulator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Isolated After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Immunomodulator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1-Tail Z-Test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 CI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 p-value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 significant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Candida species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69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p&lt;0.001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1.38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(1.18, 1.62)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p&lt;0.001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***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Staphylococcus aureus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p=0.869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0.87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(0.65, 1.18)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p=0.311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Staphylococcus epidermidis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p=0.521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0.99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(0.72, 1.37)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p=0.959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 xml:space="preserve">Enterococcus faecalis 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p=0.156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1.16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(0.88, 1.51)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p=0.227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Escherichia coli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p=0.685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0.91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(0.58, 1.44)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p=0.658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 xml:space="preserve">Enterococcus faecium 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p=0.526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0.99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(0.65, 1.51)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p=0.949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Klebsiella pneumoniae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p=0.242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1.15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(0.80, 1.66)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p=0.397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Pseudomonas aeruginosa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p=0.303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1.11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(0.74, 1.68)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p=0.552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Staphylococcus hominis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p=0.944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0.61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(0.23, 1.62)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p=0.253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6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Enterococcus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9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p=0.312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1.15</w:t>
            </w:r>
          </w:p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(0.69, 1.91)</w:t>
            </w:r>
          </w:p>
        </w:tc>
        <w:tc>
          <w:tcPr>
            <w:tcW w:type="dxa" w:w="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p=0.550</w:t>
            </w:r>
          </w:p>
        </w:tc>
        <w:tc>
          <w:tcPr>
            <w:tcW w:type="dxa" w:w="11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Supplemental Table 2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: Unadjusted association of detection of co-pathogens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in sputum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with immunomodulator therapy</w:t>
      </w:r>
    </w:p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15"/>
        <w:gridCol w:w="1711"/>
        <w:gridCol w:w="1712"/>
        <w:gridCol w:w="893"/>
        <w:gridCol w:w="555"/>
        <w:gridCol w:w="717"/>
        <w:gridCol w:w="874"/>
        <w:gridCol w:w="1082"/>
      </w:tblGrid>
      <w:tr>
        <w:tblPrEx>
          <w:shd w:val="clear" w:color="auto" w:fill="4472c4"/>
        </w:tblPrEx>
        <w:trPr>
          <w:trHeight w:val="297" w:hRule="atLeast"/>
          <w:tblHeader/>
        </w:trPr>
        <w:tc>
          <w:tcPr>
            <w:tcW w:type="dxa" w:w="9359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777777"/>
                <w:sz w:val="24"/>
                <w:szCs w:val="24"/>
                <w:u w:color="777777"/>
                <w:shd w:val="nil" w:color="auto" w:fill="auto"/>
                <w:rtl w:val="0"/>
                <w:lang w:val="en-US"/>
                <w14:textFill>
                  <w14:solidFill>
                    <w14:srgbClr w14:val="777777"/>
                  </w14:solidFill>
                </w14:textFill>
              </w:rPr>
              <w:t>Positive Sputum Cultures Among COVID+ Inpatients Receiving Immunomodulators</w:t>
            </w:r>
          </w:p>
        </w:tc>
      </w:tr>
      <w:tr>
        <w:tblPrEx>
          <w:shd w:val="clear" w:color="auto" w:fill="4472c4"/>
        </w:tblPrEx>
        <w:trPr>
          <w:trHeight w:val="407" w:hRule="atLeast"/>
          <w:tblHeader/>
        </w:trPr>
        <w:tc>
          <w:tcPr>
            <w:tcW w:type="dxa" w:w="1815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Isolated Before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Immunomodulator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Isolated After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Immunomodulator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1-Tail Z-Test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 CI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 p-value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RR significant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Staphylococcus aureus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90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p=0.683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0.97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(0.84, 1.12)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p=0.640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Pseudomonas aeruginosa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p=0.155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1.09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(0.92, 1.29)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p=0.267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Klebsiella pneumoniae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p=0.847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0.90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(0.70, 1.16)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p=0.353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Escherichia coli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p=0.165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1.12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(0.90, 1.41)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p=0.250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Klebsiella aerogenes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p=0.743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0.92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(0.66, 1.27)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p=0.551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Stenotrophomonas maltophilia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p=0.029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1.26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(1.06, 1.50)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p=0.002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**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Aspergillus species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p=0.864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0.82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(0.51, 1.33)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p=0.360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Streptococcus pneumoniae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p=0.994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0.58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(0.29, 1.17)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p=0.082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Enterobacter cloacae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p=0.052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1.28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(1.06, 1.56)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p=0.003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**</w:t>
            </w:r>
          </w:p>
        </w:tc>
      </w:tr>
      <w:tr>
        <w:tblPrEx>
          <w:shd w:val="clear" w:color="auto" w:fill="cdd4e9"/>
        </w:tblPrEx>
        <w:trPr>
          <w:trHeight w:val="407" w:hRule="atLeast"/>
        </w:trPr>
        <w:tc>
          <w:tcPr>
            <w:tcW w:type="dxa" w:w="1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Serratia marcescens</w:t>
            </w:r>
          </w:p>
        </w:tc>
        <w:tc>
          <w:tcPr>
            <w:tcW w:type="dxa" w:w="1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8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p=0.867</w:t>
            </w:r>
          </w:p>
        </w:tc>
        <w:tc>
          <w:tcPr>
            <w:tcW w:type="dxa" w:w="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0.80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(0.46, 1.39)</w:t>
            </w:r>
          </w:p>
        </w:tc>
        <w:tc>
          <w:tcPr>
            <w:tcW w:type="dxa" w:w="8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p=0.366</w:t>
            </w:r>
          </w:p>
        </w:tc>
        <w:tc>
          <w:tcPr>
            <w:tcW w:type="dxa" w:w="1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</w:rPr>
      </w:pPr>
    </w:p>
    <w:p>
      <w:pPr>
        <w:pStyle w:val="Body"/>
        <w:bidi w:val="0"/>
        <w:spacing w:after="16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color="00000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