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D446" w14:textId="77777777" w:rsidR="00205931" w:rsidRPr="00C26B77" w:rsidRDefault="00205931" w:rsidP="00205931">
      <w:pPr>
        <w:rPr>
          <w:rFonts w:ascii="Times New Roman" w:hAnsi="Times New Roman" w:cs="Times New Roman"/>
          <w:sz w:val="20"/>
          <w:szCs w:val="20"/>
        </w:rPr>
      </w:pPr>
      <w:r w:rsidRPr="00C26B77">
        <w:rPr>
          <w:rFonts w:ascii="Times New Roman" w:hAnsi="Times New Roman" w:cs="Times New Roman"/>
          <w:b/>
          <w:bCs/>
          <w:sz w:val="20"/>
          <w:szCs w:val="20"/>
        </w:rPr>
        <w:t>Table 1</w:t>
      </w:r>
      <w:bookmarkStart w:id="0" w:name="IDX"/>
      <w:bookmarkEnd w:id="0"/>
    </w:p>
    <w:tbl>
      <w:tblPr>
        <w:tblW w:w="0" w:type="auto"/>
        <w:jc w:val="center"/>
        <w:tblLayout w:type="fixed"/>
        <w:tblCellMar>
          <w:left w:w="0" w:type="dxa"/>
          <w:right w:w="0" w:type="dxa"/>
        </w:tblCellMar>
        <w:tblLook w:val="0000" w:firstRow="0" w:lastRow="0" w:firstColumn="0" w:lastColumn="0" w:noHBand="0" w:noVBand="0"/>
      </w:tblPr>
      <w:tblGrid>
        <w:gridCol w:w="2387"/>
        <w:gridCol w:w="1580"/>
        <w:gridCol w:w="1472"/>
        <w:gridCol w:w="1364"/>
        <w:gridCol w:w="1364"/>
      </w:tblGrid>
      <w:tr w:rsidR="00205931" w:rsidRPr="00C26B77" w14:paraId="705B71BA" w14:textId="77777777" w:rsidTr="00551AA6">
        <w:trPr>
          <w:cantSplit/>
          <w:tblHeader/>
          <w:jc w:val="center"/>
        </w:trPr>
        <w:tc>
          <w:tcPr>
            <w:tcW w:w="2387" w:type="dxa"/>
            <w:tcBorders>
              <w:top w:val="single" w:sz="4" w:space="0" w:color="000000"/>
              <w:left w:val="nil"/>
              <w:bottom w:val="single" w:sz="4" w:space="0" w:color="000000"/>
              <w:right w:val="nil"/>
            </w:tcBorders>
            <w:shd w:val="clear" w:color="auto" w:fill="FFFFFF"/>
            <w:tcMar>
              <w:left w:w="67" w:type="dxa"/>
              <w:right w:w="67" w:type="dxa"/>
            </w:tcMar>
            <w:vAlign w:val="bottom"/>
          </w:tcPr>
          <w:p w14:paraId="51B1502E" w14:textId="77777777" w:rsidR="00205931" w:rsidRPr="00C26B77" w:rsidRDefault="00205931" w:rsidP="00551AA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Characteristic</w:t>
            </w:r>
          </w:p>
        </w:tc>
        <w:tc>
          <w:tcPr>
            <w:tcW w:w="1580" w:type="dxa"/>
            <w:tcBorders>
              <w:top w:val="single" w:sz="4" w:space="0" w:color="000000"/>
              <w:left w:val="nil"/>
              <w:bottom w:val="single" w:sz="4" w:space="0" w:color="000000"/>
              <w:right w:val="nil"/>
            </w:tcBorders>
            <w:shd w:val="clear" w:color="auto" w:fill="FFFFFF"/>
            <w:tcMar>
              <w:left w:w="67" w:type="dxa"/>
              <w:right w:w="67" w:type="dxa"/>
            </w:tcMar>
            <w:vAlign w:val="bottom"/>
          </w:tcPr>
          <w:p w14:paraId="1A5DCAE2" w14:textId="77777777" w:rsidR="00205931" w:rsidRPr="00C26B77" w:rsidRDefault="00205931" w:rsidP="00551AA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Overall</w:t>
            </w:r>
          </w:p>
        </w:tc>
        <w:tc>
          <w:tcPr>
            <w:tcW w:w="1472" w:type="dxa"/>
            <w:tcBorders>
              <w:top w:val="single" w:sz="4" w:space="0" w:color="000000"/>
              <w:left w:val="nil"/>
              <w:bottom w:val="single" w:sz="4" w:space="0" w:color="000000"/>
              <w:right w:val="nil"/>
            </w:tcBorders>
            <w:shd w:val="clear" w:color="auto" w:fill="FFFFFF"/>
            <w:tcMar>
              <w:left w:w="67" w:type="dxa"/>
              <w:right w:w="67" w:type="dxa"/>
            </w:tcMar>
            <w:vAlign w:val="bottom"/>
          </w:tcPr>
          <w:p w14:paraId="1B3CEF3C" w14:textId="77777777" w:rsidR="00205931" w:rsidRPr="00C26B77" w:rsidRDefault="00205931" w:rsidP="00551AA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July 2018 - March 2020</w:t>
            </w:r>
          </w:p>
        </w:tc>
        <w:tc>
          <w:tcPr>
            <w:tcW w:w="1364" w:type="dxa"/>
            <w:tcBorders>
              <w:top w:val="single" w:sz="4" w:space="0" w:color="000000"/>
              <w:left w:val="nil"/>
              <w:bottom w:val="single" w:sz="4" w:space="0" w:color="000000"/>
              <w:right w:val="nil"/>
            </w:tcBorders>
            <w:shd w:val="clear" w:color="auto" w:fill="FFFFFF"/>
            <w:tcMar>
              <w:left w:w="67" w:type="dxa"/>
              <w:right w:w="67" w:type="dxa"/>
            </w:tcMar>
            <w:vAlign w:val="bottom"/>
          </w:tcPr>
          <w:p w14:paraId="0BB28DF1" w14:textId="77777777" w:rsidR="00205931" w:rsidRPr="00C26B77" w:rsidRDefault="00205931" w:rsidP="00551AA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April 2020 - June 2020</w:t>
            </w:r>
          </w:p>
        </w:tc>
        <w:tc>
          <w:tcPr>
            <w:tcW w:w="1364" w:type="dxa"/>
            <w:tcBorders>
              <w:top w:val="single" w:sz="4" w:space="0" w:color="000000"/>
              <w:left w:val="nil"/>
              <w:bottom w:val="single" w:sz="4" w:space="0" w:color="000000"/>
              <w:right w:val="nil"/>
            </w:tcBorders>
            <w:shd w:val="clear" w:color="auto" w:fill="FFFFFF"/>
            <w:tcMar>
              <w:left w:w="67" w:type="dxa"/>
              <w:right w:w="67" w:type="dxa"/>
            </w:tcMar>
            <w:vAlign w:val="bottom"/>
          </w:tcPr>
          <w:p w14:paraId="5BFC126B" w14:textId="77777777" w:rsidR="00205931" w:rsidRPr="00C26B77" w:rsidRDefault="00205931" w:rsidP="00551AA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July 2020 - August 2021</w:t>
            </w:r>
          </w:p>
        </w:tc>
      </w:tr>
      <w:tr w:rsidR="00205931" w:rsidRPr="00C26B77" w14:paraId="2FFDF7F1"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7F26EB1F"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Pharyngitis encounters, N</w:t>
            </w:r>
          </w:p>
        </w:tc>
        <w:tc>
          <w:tcPr>
            <w:tcW w:w="1580" w:type="dxa"/>
            <w:tcBorders>
              <w:top w:val="nil"/>
              <w:left w:val="nil"/>
              <w:bottom w:val="nil"/>
              <w:right w:val="nil"/>
            </w:tcBorders>
            <w:shd w:val="clear" w:color="auto" w:fill="FFFFFF"/>
            <w:tcMar>
              <w:left w:w="67" w:type="dxa"/>
              <w:right w:w="67" w:type="dxa"/>
            </w:tcMar>
          </w:tcPr>
          <w:p w14:paraId="1316FC86"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r w:rsidRPr="00C26B77">
              <w:rPr>
                <w:rFonts w:ascii="Times New Roman" w:hAnsi="Times New Roman" w:cs="Times New Roman"/>
                <w:color w:val="000000"/>
                <w:sz w:val="20"/>
                <w:szCs w:val="20"/>
              </w:rPr>
              <w:t>N = 115,558</w:t>
            </w:r>
          </w:p>
        </w:tc>
        <w:tc>
          <w:tcPr>
            <w:tcW w:w="1472" w:type="dxa"/>
            <w:tcBorders>
              <w:top w:val="nil"/>
              <w:left w:val="nil"/>
              <w:bottom w:val="nil"/>
              <w:right w:val="nil"/>
            </w:tcBorders>
            <w:shd w:val="clear" w:color="auto" w:fill="FFFFFF"/>
            <w:tcMar>
              <w:left w:w="67" w:type="dxa"/>
              <w:right w:w="67" w:type="dxa"/>
            </w:tcMar>
          </w:tcPr>
          <w:p w14:paraId="73E268AF"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n = 103,454</w:t>
            </w:r>
          </w:p>
        </w:tc>
        <w:tc>
          <w:tcPr>
            <w:tcW w:w="1364" w:type="dxa"/>
            <w:tcBorders>
              <w:top w:val="nil"/>
              <w:left w:val="nil"/>
              <w:bottom w:val="nil"/>
              <w:right w:val="nil"/>
            </w:tcBorders>
            <w:shd w:val="clear" w:color="auto" w:fill="FFFFFF"/>
            <w:tcMar>
              <w:left w:w="67" w:type="dxa"/>
              <w:right w:w="67" w:type="dxa"/>
            </w:tcMar>
          </w:tcPr>
          <w:p w14:paraId="4FD6F0C4"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n = 3,773</w:t>
            </w:r>
          </w:p>
        </w:tc>
        <w:tc>
          <w:tcPr>
            <w:tcW w:w="1364" w:type="dxa"/>
            <w:tcBorders>
              <w:top w:val="nil"/>
              <w:left w:val="nil"/>
              <w:bottom w:val="nil"/>
              <w:right w:val="nil"/>
            </w:tcBorders>
            <w:shd w:val="clear" w:color="auto" w:fill="FFFFFF"/>
            <w:tcMar>
              <w:left w:w="67" w:type="dxa"/>
              <w:right w:w="67" w:type="dxa"/>
            </w:tcMar>
          </w:tcPr>
          <w:p w14:paraId="03DF7E53"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n = 8,331</w:t>
            </w:r>
          </w:p>
        </w:tc>
      </w:tr>
      <w:tr w:rsidR="00205931" w:rsidRPr="00C26B77" w14:paraId="2A920679"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3D1D9E76"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580" w:type="dxa"/>
            <w:tcBorders>
              <w:top w:val="nil"/>
              <w:left w:val="nil"/>
              <w:bottom w:val="nil"/>
              <w:right w:val="nil"/>
            </w:tcBorders>
            <w:shd w:val="clear" w:color="auto" w:fill="FFFFFF"/>
            <w:tcMar>
              <w:left w:w="67" w:type="dxa"/>
              <w:right w:w="67" w:type="dxa"/>
            </w:tcMar>
          </w:tcPr>
          <w:p w14:paraId="3454DA67"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364B6A79"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0640819F"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73B9662F"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112BC96A"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3F0F0AED"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Received Antibiotic, N (%)</w:t>
            </w:r>
          </w:p>
        </w:tc>
        <w:tc>
          <w:tcPr>
            <w:tcW w:w="1580" w:type="dxa"/>
            <w:tcBorders>
              <w:top w:val="nil"/>
              <w:left w:val="nil"/>
              <w:bottom w:val="nil"/>
              <w:right w:val="nil"/>
            </w:tcBorders>
            <w:shd w:val="clear" w:color="auto" w:fill="FFFFFF"/>
            <w:tcMar>
              <w:left w:w="67" w:type="dxa"/>
              <w:right w:w="67" w:type="dxa"/>
            </w:tcMar>
          </w:tcPr>
          <w:p w14:paraId="3F22FE10"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3C798F18"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1E73590C"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4A2BE638"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1BB1CD04"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57DA9D88"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No</w:t>
            </w:r>
          </w:p>
        </w:tc>
        <w:tc>
          <w:tcPr>
            <w:tcW w:w="1580" w:type="dxa"/>
            <w:tcBorders>
              <w:top w:val="nil"/>
              <w:left w:val="nil"/>
              <w:bottom w:val="nil"/>
              <w:right w:val="nil"/>
            </w:tcBorders>
            <w:shd w:val="clear" w:color="auto" w:fill="FFFFFF"/>
            <w:tcMar>
              <w:left w:w="67" w:type="dxa"/>
              <w:right w:w="67" w:type="dxa"/>
            </w:tcMar>
          </w:tcPr>
          <w:p w14:paraId="78DA42D2"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71,519 (61.9%)</w:t>
            </w:r>
          </w:p>
        </w:tc>
        <w:tc>
          <w:tcPr>
            <w:tcW w:w="1472" w:type="dxa"/>
            <w:tcBorders>
              <w:top w:val="nil"/>
              <w:left w:val="nil"/>
              <w:bottom w:val="nil"/>
              <w:right w:val="nil"/>
            </w:tcBorders>
            <w:shd w:val="clear" w:color="auto" w:fill="FFFFFF"/>
            <w:tcMar>
              <w:left w:w="67" w:type="dxa"/>
              <w:right w:w="67" w:type="dxa"/>
            </w:tcMar>
          </w:tcPr>
          <w:p w14:paraId="68425903"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63,286 (61.2%)</w:t>
            </w:r>
          </w:p>
        </w:tc>
        <w:tc>
          <w:tcPr>
            <w:tcW w:w="1364" w:type="dxa"/>
            <w:tcBorders>
              <w:top w:val="nil"/>
              <w:left w:val="nil"/>
              <w:bottom w:val="nil"/>
              <w:right w:val="nil"/>
            </w:tcBorders>
            <w:shd w:val="clear" w:color="auto" w:fill="FFFFFF"/>
            <w:tcMar>
              <w:left w:w="67" w:type="dxa"/>
              <w:right w:w="67" w:type="dxa"/>
            </w:tcMar>
          </w:tcPr>
          <w:p w14:paraId="545DC97D"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1,891 (50.1%)</w:t>
            </w:r>
          </w:p>
        </w:tc>
        <w:tc>
          <w:tcPr>
            <w:tcW w:w="1364" w:type="dxa"/>
            <w:tcBorders>
              <w:top w:val="nil"/>
              <w:left w:val="nil"/>
              <w:bottom w:val="nil"/>
              <w:right w:val="nil"/>
            </w:tcBorders>
            <w:shd w:val="clear" w:color="auto" w:fill="FFFFFF"/>
            <w:tcMar>
              <w:left w:w="67" w:type="dxa"/>
              <w:right w:w="67" w:type="dxa"/>
            </w:tcMar>
          </w:tcPr>
          <w:p w14:paraId="2D07B4DA"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6,342 (76.1%)</w:t>
            </w:r>
          </w:p>
        </w:tc>
      </w:tr>
      <w:tr w:rsidR="00205931" w:rsidRPr="00C26B77" w14:paraId="5AE6605B"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0F12C050"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Yes</w:t>
            </w:r>
          </w:p>
        </w:tc>
        <w:tc>
          <w:tcPr>
            <w:tcW w:w="1580" w:type="dxa"/>
            <w:tcBorders>
              <w:top w:val="nil"/>
              <w:left w:val="nil"/>
              <w:bottom w:val="nil"/>
              <w:right w:val="nil"/>
            </w:tcBorders>
            <w:shd w:val="clear" w:color="auto" w:fill="FFFFFF"/>
            <w:tcMar>
              <w:left w:w="67" w:type="dxa"/>
              <w:right w:w="67" w:type="dxa"/>
            </w:tcMar>
          </w:tcPr>
          <w:p w14:paraId="5D6876D5"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44,039 (38.1%)</w:t>
            </w:r>
          </w:p>
        </w:tc>
        <w:tc>
          <w:tcPr>
            <w:tcW w:w="1472" w:type="dxa"/>
            <w:tcBorders>
              <w:top w:val="nil"/>
              <w:left w:val="nil"/>
              <w:bottom w:val="nil"/>
              <w:right w:val="nil"/>
            </w:tcBorders>
            <w:shd w:val="clear" w:color="auto" w:fill="FFFFFF"/>
            <w:tcMar>
              <w:left w:w="67" w:type="dxa"/>
              <w:right w:w="67" w:type="dxa"/>
            </w:tcMar>
          </w:tcPr>
          <w:p w14:paraId="0BA3A4F2"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40,168 (38.8%)</w:t>
            </w:r>
          </w:p>
        </w:tc>
        <w:tc>
          <w:tcPr>
            <w:tcW w:w="1364" w:type="dxa"/>
            <w:tcBorders>
              <w:top w:val="nil"/>
              <w:left w:val="nil"/>
              <w:bottom w:val="nil"/>
              <w:right w:val="nil"/>
            </w:tcBorders>
            <w:shd w:val="clear" w:color="auto" w:fill="FFFFFF"/>
            <w:tcMar>
              <w:left w:w="67" w:type="dxa"/>
              <w:right w:w="67" w:type="dxa"/>
            </w:tcMar>
          </w:tcPr>
          <w:p w14:paraId="1FFB8A0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1,882 (49.9%)</w:t>
            </w:r>
          </w:p>
        </w:tc>
        <w:tc>
          <w:tcPr>
            <w:tcW w:w="1364" w:type="dxa"/>
            <w:tcBorders>
              <w:top w:val="nil"/>
              <w:left w:val="nil"/>
              <w:bottom w:val="nil"/>
              <w:right w:val="nil"/>
            </w:tcBorders>
            <w:shd w:val="clear" w:color="auto" w:fill="FFFFFF"/>
            <w:tcMar>
              <w:left w:w="67" w:type="dxa"/>
              <w:right w:w="67" w:type="dxa"/>
            </w:tcMar>
          </w:tcPr>
          <w:p w14:paraId="0FEB8F55"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1,989 (23.9%)</w:t>
            </w:r>
          </w:p>
        </w:tc>
      </w:tr>
      <w:tr w:rsidR="00205931" w:rsidRPr="00C26B77" w14:paraId="2415A5F5"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530B70E7"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Female, N (%)</w:t>
            </w:r>
          </w:p>
        </w:tc>
        <w:tc>
          <w:tcPr>
            <w:tcW w:w="1580" w:type="dxa"/>
            <w:tcBorders>
              <w:top w:val="nil"/>
              <w:left w:val="nil"/>
              <w:bottom w:val="nil"/>
              <w:right w:val="nil"/>
            </w:tcBorders>
            <w:shd w:val="clear" w:color="auto" w:fill="FFFFFF"/>
            <w:tcMar>
              <w:left w:w="67" w:type="dxa"/>
              <w:right w:w="67" w:type="dxa"/>
            </w:tcMar>
          </w:tcPr>
          <w:p w14:paraId="78F732B2"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3E60BC44"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2023623C"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087C4FFF"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3C84D282"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6D8C63F2"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No</w:t>
            </w:r>
          </w:p>
        </w:tc>
        <w:tc>
          <w:tcPr>
            <w:tcW w:w="1580" w:type="dxa"/>
            <w:tcBorders>
              <w:top w:val="nil"/>
              <w:left w:val="nil"/>
              <w:bottom w:val="nil"/>
              <w:right w:val="nil"/>
            </w:tcBorders>
            <w:shd w:val="clear" w:color="auto" w:fill="FFFFFF"/>
            <w:tcMar>
              <w:left w:w="67" w:type="dxa"/>
              <w:right w:w="67" w:type="dxa"/>
            </w:tcMar>
          </w:tcPr>
          <w:p w14:paraId="3DE320BE"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47,196 (40.8%)</w:t>
            </w:r>
          </w:p>
        </w:tc>
        <w:tc>
          <w:tcPr>
            <w:tcW w:w="1472" w:type="dxa"/>
            <w:tcBorders>
              <w:top w:val="nil"/>
              <w:left w:val="nil"/>
              <w:bottom w:val="nil"/>
              <w:right w:val="nil"/>
            </w:tcBorders>
            <w:shd w:val="clear" w:color="auto" w:fill="FFFFFF"/>
            <w:tcMar>
              <w:left w:w="67" w:type="dxa"/>
              <w:right w:w="67" w:type="dxa"/>
            </w:tcMar>
          </w:tcPr>
          <w:p w14:paraId="4D6BED2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42,410 (41.0%)</w:t>
            </w:r>
          </w:p>
        </w:tc>
        <w:tc>
          <w:tcPr>
            <w:tcW w:w="1364" w:type="dxa"/>
            <w:tcBorders>
              <w:top w:val="nil"/>
              <w:left w:val="nil"/>
              <w:bottom w:val="nil"/>
              <w:right w:val="nil"/>
            </w:tcBorders>
            <w:shd w:val="clear" w:color="auto" w:fill="FFFFFF"/>
            <w:tcMar>
              <w:left w:w="67" w:type="dxa"/>
              <w:right w:w="67" w:type="dxa"/>
            </w:tcMar>
          </w:tcPr>
          <w:p w14:paraId="407663C9"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1,538 (40.8%)</w:t>
            </w:r>
          </w:p>
        </w:tc>
        <w:tc>
          <w:tcPr>
            <w:tcW w:w="1364" w:type="dxa"/>
            <w:tcBorders>
              <w:top w:val="nil"/>
              <w:left w:val="nil"/>
              <w:bottom w:val="nil"/>
              <w:right w:val="nil"/>
            </w:tcBorders>
            <w:shd w:val="clear" w:color="auto" w:fill="FFFFFF"/>
            <w:tcMar>
              <w:left w:w="67" w:type="dxa"/>
              <w:right w:w="67" w:type="dxa"/>
            </w:tcMar>
          </w:tcPr>
          <w:p w14:paraId="18DEF5B5"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3,248 (39.0%)</w:t>
            </w:r>
          </w:p>
        </w:tc>
      </w:tr>
      <w:tr w:rsidR="00205931" w:rsidRPr="00C26B77" w14:paraId="3ABEAA9B"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4E8C9014"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Yes</w:t>
            </w:r>
          </w:p>
        </w:tc>
        <w:tc>
          <w:tcPr>
            <w:tcW w:w="1580" w:type="dxa"/>
            <w:tcBorders>
              <w:top w:val="nil"/>
              <w:left w:val="nil"/>
              <w:bottom w:val="nil"/>
              <w:right w:val="nil"/>
            </w:tcBorders>
            <w:shd w:val="clear" w:color="auto" w:fill="FFFFFF"/>
            <w:tcMar>
              <w:left w:w="67" w:type="dxa"/>
              <w:right w:w="67" w:type="dxa"/>
            </w:tcMar>
          </w:tcPr>
          <w:p w14:paraId="01803AB8"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68,362 (59.2%)</w:t>
            </w:r>
          </w:p>
        </w:tc>
        <w:tc>
          <w:tcPr>
            <w:tcW w:w="1472" w:type="dxa"/>
            <w:tcBorders>
              <w:top w:val="nil"/>
              <w:left w:val="nil"/>
              <w:bottom w:val="nil"/>
              <w:right w:val="nil"/>
            </w:tcBorders>
            <w:shd w:val="clear" w:color="auto" w:fill="FFFFFF"/>
            <w:tcMar>
              <w:left w:w="67" w:type="dxa"/>
              <w:right w:w="67" w:type="dxa"/>
            </w:tcMar>
          </w:tcPr>
          <w:p w14:paraId="2F594417"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61,044 (59.0%)</w:t>
            </w:r>
          </w:p>
        </w:tc>
        <w:tc>
          <w:tcPr>
            <w:tcW w:w="1364" w:type="dxa"/>
            <w:tcBorders>
              <w:top w:val="nil"/>
              <w:left w:val="nil"/>
              <w:bottom w:val="nil"/>
              <w:right w:val="nil"/>
            </w:tcBorders>
            <w:shd w:val="clear" w:color="auto" w:fill="FFFFFF"/>
            <w:tcMar>
              <w:left w:w="67" w:type="dxa"/>
              <w:right w:w="67" w:type="dxa"/>
            </w:tcMar>
          </w:tcPr>
          <w:p w14:paraId="0E95F662"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2,235 (59.2%)</w:t>
            </w:r>
          </w:p>
        </w:tc>
        <w:tc>
          <w:tcPr>
            <w:tcW w:w="1364" w:type="dxa"/>
            <w:tcBorders>
              <w:top w:val="nil"/>
              <w:left w:val="nil"/>
              <w:bottom w:val="nil"/>
              <w:right w:val="nil"/>
            </w:tcBorders>
            <w:shd w:val="clear" w:color="auto" w:fill="FFFFFF"/>
            <w:tcMar>
              <w:left w:w="67" w:type="dxa"/>
              <w:right w:w="67" w:type="dxa"/>
            </w:tcMar>
          </w:tcPr>
          <w:p w14:paraId="2A19CC48"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5,083 (61.0%)</w:t>
            </w:r>
          </w:p>
        </w:tc>
      </w:tr>
      <w:tr w:rsidR="00205931" w:rsidRPr="00C26B77" w14:paraId="179A17BD"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3FA3C03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Patient Age, years</w:t>
            </w:r>
          </w:p>
        </w:tc>
        <w:tc>
          <w:tcPr>
            <w:tcW w:w="1580" w:type="dxa"/>
            <w:tcBorders>
              <w:top w:val="nil"/>
              <w:left w:val="nil"/>
              <w:bottom w:val="nil"/>
              <w:right w:val="nil"/>
            </w:tcBorders>
            <w:shd w:val="clear" w:color="auto" w:fill="FFFFFF"/>
            <w:tcMar>
              <w:left w:w="67" w:type="dxa"/>
              <w:right w:w="67" w:type="dxa"/>
            </w:tcMar>
          </w:tcPr>
          <w:p w14:paraId="08127758"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25.0 (16.2)</w:t>
            </w:r>
          </w:p>
        </w:tc>
        <w:tc>
          <w:tcPr>
            <w:tcW w:w="1472" w:type="dxa"/>
            <w:tcBorders>
              <w:top w:val="nil"/>
              <w:left w:val="nil"/>
              <w:bottom w:val="nil"/>
              <w:right w:val="nil"/>
            </w:tcBorders>
            <w:shd w:val="clear" w:color="auto" w:fill="FFFFFF"/>
            <w:tcMar>
              <w:left w:w="67" w:type="dxa"/>
              <w:right w:w="67" w:type="dxa"/>
            </w:tcMar>
          </w:tcPr>
          <w:p w14:paraId="477931A0"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24.8 (16.3)</w:t>
            </w:r>
          </w:p>
        </w:tc>
        <w:tc>
          <w:tcPr>
            <w:tcW w:w="1364" w:type="dxa"/>
            <w:tcBorders>
              <w:top w:val="nil"/>
              <w:left w:val="nil"/>
              <w:bottom w:val="nil"/>
              <w:right w:val="nil"/>
            </w:tcBorders>
            <w:shd w:val="clear" w:color="auto" w:fill="FFFFFF"/>
            <w:tcMar>
              <w:left w:w="67" w:type="dxa"/>
              <w:right w:w="67" w:type="dxa"/>
            </w:tcMar>
          </w:tcPr>
          <w:p w14:paraId="0F71ABF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27.5 (15.3)</w:t>
            </w:r>
          </w:p>
        </w:tc>
        <w:tc>
          <w:tcPr>
            <w:tcW w:w="1364" w:type="dxa"/>
            <w:tcBorders>
              <w:top w:val="nil"/>
              <w:left w:val="nil"/>
              <w:bottom w:val="nil"/>
              <w:right w:val="nil"/>
            </w:tcBorders>
            <w:shd w:val="clear" w:color="auto" w:fill="FFFFFF"/>
            <w:tcMar>
              <w:left w:w="67" w:type="dxa"/>
              <w:right w:w="67" w:type="dxa"/>
            </w:tcMar>
          </w:tcPr>
          <w:p w14:paraId="16DF8265"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26.3 (15.1)</w:t>
            </w:r>
          </w:p>
        </w:tc>
      </w:tr>
      <w:tr w:rsidR="00205931" w:rsidRPr="00C26B77" w14:paraId="60885C0B"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0D8D663C"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Age Group, N (%)</w:t>
            </w:r>
          </w:p>
        </w:tc>
        <w:tc>
          <w:tcPr>
            <w:tcW w:w="1580" w:type="dxa"/>
            <w:tcBorders>
              <w:top w:val="nil"/>
              <w:left w:val="nil"/>
              <w:bottom w:val="nil"/>
              <w:right w:val="nil"/>
            </w:tcBorders>
            <w:shd w:val="clear" w:color="auto" w:fill="FFFFFF"/>
            <w:tcMar>
              <w:left w:w="67" w:type="dxa"/>
              <w:right w:w="67" w:type="dxa"/>
            </w:tcMar>
          </w:tcPr>
          <w:p w14:paraId="0497C499"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4D5DC8EB"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21F1C713"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536EE65D"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443DDFFC"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6A3FFF2A"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0-3 years</w:t>
            </w:r>
          </w:p>
        </w:tc>
        <w:tc>
          <w:tcPr>
            <w:tcW w:w="1580" w:type="dxa"/>
            <w:tcBorders>
              <w:top w:val="nil"/>
              <w:left w:val="nil"/>
              <w:bottom w:val="nil"/>
              <w:right w:val="nil"/>
            </w:tcBorders>
            <w:shd w:val="clear" w:color="auto" w:fill="FFFFFF"/>
            <w:tcMar>
              <w:left w:w="67" w:type="dxa"/>
              <w:right w:w="67" w:type="dxa"/>
            </w:tcMar>
          </w:tcPr>
          <w:p w14:paraId="342CE10D"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2,675 (2.3%)</w:t>
            </w:r>
          </w:p>
        </w:tc>
        <w:tc>
          <w:tcPr>
            <w:tcW w:w="1472" w:type="dxa"/>
            <w:tcBorders>
              <w:top w:val="nil"/>
              <w:left w:val="nil"/>
              <w:bottom w:val="nil"/>
              <w:right w:val="nil"/>
            </w:tcBorders>
            <w:shd w:val="clear" w:color="auto" w:fill="FFFFFF"/>
            <w:tcMar>
              <w:left w:w="67" w:type="dxa"/>
              <w:right w:w="67" w:type="dxa"/>
            </w:tcMar>
          </w:tcPr>
          <w:p w14:paraId="38C26DB0"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2,462 (2.4%)</w:t>
            </w:r>
          </w:p>
        </w:tc>
        <w:tc>
          <w:tcPr>
            <w:tcW w:w="1364" w:type="dxa"/>
            <w:tcBorders>
              <w:top w:val="nil"/>
              <w:left w:val="nil"/>
              <w:bottom w:val="nil"/>
              <w:right w:val="nil"/>
            </w:tcBorders>
            <w:shd w:val="clear" w:color="auto" w:fill="FFFFFF"/>
            <w:tcMar>
              <w:left w:w="67" w:type="dxa"/>
              <w:right w:w="67" w:type="dxa"/>
            </w:tcMar>
          </w:tcPr>
          <w:p w14:paraId="15F6DB19"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79 (2.1%)</w:t>
            </w:r>
          </w:p>
        </w:tc>
        <w:tc>
          <w:tcPr>
            <w:tcW w:w="1364" w:type="dxa"/>
            <w:tcBorders>
              <w:top w:val="nil"/>
              <w:left w:val="nil"/>
              <w:bottom w:val="nil"/>
              <w:right w:val="nil"/>
            </w:tcBorders>
            <w:shd w:val="clear" w:color="auto" w:fill="FFFFFF"/>
            <w:tcMar>
              <w:left w:w="67" w:type="dxa"/>
              <w:right w:w="67" w:type="dxa"/>
            </w:tcMar>
          </w:tcPr>
          <w:p w14:paraId="3A3FFF9C"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134 (1.6%)</w:t>
            </w:r>
          </w:p>
        </w:tc>
      </w:tr>
      <w:tr w:rsidR="00205931" w:rsidRPr="00C26B77" w14:paraId="7093DF22"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14C697FF"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3-18 years</w:t>
            </w:r>
          </w:p>
        </w:tc>
        <w:tc>
          <w:tcPr>
            <w:tcW w:w="1580" w:type="dxa"/>
            <w:tcBorders>
              <w:top w:val="nil"/>
              <w:left w:val="nil"/>
              <w:bottom w:val="nil"/>
              <w:right w:val="nil"/>
            </w:tcBorders>
            <w:shd w:val="clear" w:color="auto" w:fill="FFFFFF"/>
            <w:tcMar>
              <w:left w:w="67" w:type="dxa"/>
              <w:right w:w="67" w:type="dxa"/>
            </w:tcMar>
          </w:tcPr>
          <w:p w14:paraId="21C1D620"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38,776 (33.6%)</w:t>
            </w:r>
          </w:p>
        </w:tc>
        <w:tc>
          <w:tcPr>
            <w:tcW w:w="1472" w:type="dxa"/>
            <w:tcBorders>
              <w:top w:val="nil"/>
              <w:left w:val="nil"/>
              <w:bottom w:val="nil"/>
              <w:right w:val="nil"/>
            </w:tcBorders>
            <w:shd w:val="clear" w:color="auto" w:fill="FFFFFF"/>
            <w:tcMar>
              <w:left w:w="67" w:type="dxa"/>
              <w:right w:w="67" w:type="dxa"/>
            </w:tcMar>
          </w:tcPr>
          <w:p w14:paraId="24403DDA"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36,040 (34.8%)</w:t>
            </w:r>
          </w:p>
        </w:tc>
        <w:tc>
          <w:tcPr>
            <w:tcW w:w="1364" w:type="dxa"/>
            <w:tcBorders>
              <w:top w:val="nil"/>
              <w:left w:val="nil"/>
              <w:bottom w:val="nil"/>
              <w:right w:val="nil"/>
            </w:tcBorders>
            <w:shd w:val="clear" w:color="auto" w:fill="FFFFFF"/>
            <w:tcMar>
              <w:left w:w="67" w:type="dxa"/>
              <w:right w:w="67" w:type="dxa"/>
            </w:tcMar>
          </w:tcPr>
          <w:p w14:paraId="4F919ED3"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720 (19.1%)</w:t>
            </w:r>
          </w:p>
        </w:tc>
        <w:tc>
          <w:tcPr>
            <w:tcW w:w="1364" w:type="dxa"/>
            <w:tcBorders>
              <w:top w:val="nil"/>
              <w:left w:val="nil"/>
              <w:bottom w:val="nil"/>
              <w:right w:val="nil"/>
            </w:tcBorders>
            <w:shd w:val="clear" w:color="auto" w:fill="FFFFFF"/>
            <w:tcMar>
              <w:left w:w="67" w:type="dxa"/>
              <w:right w:w="67" w:type="dxa"/>
            </w:tcMar>
          </w:tcPr>
          <w:p w14:paraId="2086DB32"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2,016 (24.2%)</w:t>
            </w:r>
          </w:p>
        </w:tc>
      </w:tr>
      <w:tr w:rsidR="00205931" w:rsidRPr="00C26B77" w14:paraId="33E4BEB3"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73E4109D"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18+ years</w:t>
            </w:r>
          </w:p>
        </w:tc>
        <w:tc>
          <w:tcPr>
            <w:tcW w:w="1580" w:type="dxa"/>
            <w:tcBorders>
              <w:top w:val="nil"/>
              <w:left w:val="nil"/>
              <w:bottom w:val="nil"/>
              <w:right w:val="nil"/>
            </w:tcBorders>
            <w:shd w:val="clear" w:color="auto" w:fill="FFFFFF"/>
            <w:tcMar>
              <w:left w:w="67" w:type="dxa"/>
              <w:right w:w="67" w:type="dxa"/>
            </w:tcMar>
          </w:tcPr>
          <w:p w14:paraId="0F5E3B38"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74,107 (64.1%)</w:t>
            </w:r>
          </w:p>
        </w:tc>
        <w:tc>
          <w:tcPr>
            <w:tcW w:w="1472" w:type="dxa"/>
            <w:tcBorders>
              <w:top w:val="nil"/>
              <w:left w:val="nil"/>
              <w:bottom w:val="nil"/>
              <w:right w:val="nil"/>
            </w:tcBorders>
            <w:shd w:val="clear" w:color="auto" w:fill="FFFFFF"/>
            <w:tcMar>
              <w:left w:w="67" w:type="dxa"/>
              <w:right w:w="67" w:type="dxa"/>
            </w:tcMar>
          </w:tcPr>
          <w:p w14:paraId="2D128147"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64,952 (62.8%)</w:t>
            </w:r>
          </w:p>
        </w:tc>
        <w:tc>
          <w:tcPr>
            <w:tcW w:w="1364" w:type="dxa"/>
            <w:tcBorders>
              <w:top w:val="nil"/>
              <w:left w:val="nil"/>
              <w:bottom w:val="nil"/>
              <w:right w:val="nil"/>
            </w:tcBorders>
            <w:shd w:val="clear" w:color="auto" w:fill="FFFFFF"/>
            <w:tcMar>
              <w:left w:w="67" w:type="dxa"/>
              <w:right w:w="67" w:type="dxa"/>
            </w:tcMar>
          </w:tcPr>
          <w:p w14:paraId="39F64188"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2,974 (78.8%)</w:t>
            </w:r>
          </w:p>
        </w:tc>
        <w:tc>
          <w:tcPr>
            <w:tcW w:w="1364" w:type="dxa"/>
            <w:tcBorders>
              <w:top w:val="nil"/>
              <w:left w:val="nil"/>
              <w:bottom w:val="nil"/>
              <w:right w:val="nil"/>
            </w:tcBorders>
            <w:shd w:val="clear" w:color="auto" w:fill="FFFFFF"/>
            <w:tcMar>
              <w:left w:w="67" w:type="dxa"/>
              <w:right w:w="67" w:type="dxa"/>
            </w:tcMar>
          </w:tcPr>
          <w:p w14:paraId="373CD5D9"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6,181 (74.2%)</w:t>
            </w:r>
          </w:p>
        </w:tc>
      </w:tr>
      <w:tr w:rsidR="00205931" w:rsidRPr="00C26B77" w14:paraId="7D397DC6"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69749CD6"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White Race, N (%)</w:t>
            </w:r>
          </w:p>
        </w:tc>
        <w:tc>
          <w:tcPr>
            <w:tcW w:w="1580" w:type="dxa"/>
            <w:tcBorders>
              <w:top w:val="nil"/>
              <w:left w:val="nil"/>
              <w:bottom w:val="nil"/>
              <w:right w:val="nil"/>
            </w:tcBorders>
            <w:shd w:val="clear" w:color="auto" w:fill="FFFFFF"/>
            <w:tcMar>
              <w:left w:w="67" w:type="dxa"/>
              <w:right w:w="67" w:type="dxa"/>
            </w:tcMar>
          </w:tcPr>
          <w:p w14:paraId="39B1A658"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6F474752"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1C880E53"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2A9A519B"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64189560"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219B064C"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No</w:t>
            </w:r>
          </w:p>
        </w:tc>
        <w:tc>
          <w:tcPr>
            <w:tcW w:w="1580" w:type="dxa"/>
            <w:tcBorders>
              <w:top w:val="nil"/>
              <w:left w:val="nil"/>
              <w:bottom w:val="nil"/>
              <w:right w:val="nil"/>
            </w:tcBorders>
            <w:shd w:val="clear" w:color="auto" w:fill="FFFFFF"/>
            <w:tcMar>
              <w:left w:w="67" w:type="dxa"/>
              <w:right w:w="67" w:type="dxa"/>
            </w:tcMar>
          </w:tcPr>
          <w:p w14:paraId="534D64B4"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8,478 (7.3%)</w:t>
            </w:r>
          </w:p>
        </w:tc>
        <w:tc>
          <w:tcPr>
            <w:tcW w:w="1472" w:type="dxa"/>
            <w:tcBorders>
              <w:top w:val="nil"/>
              <w:left w:val="nil"/>
              <w:bottom w:val="nil"/>
              <w:right w:val="nil"/>
            </w:tcBorders>
            <w:shd w:val="clear" w:color="auto" w:fill="FFFFFF"/>
            <w:tcMar>
              <w:left w:w="67" w:type="dxa"/>
              <w:right w:w="67" w:type="dxa"/>
            </w:tcMar>
          </w:tcPr>
          <w:p w14:paraId="5B1D3816"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7,524 (7.3%)</w:t>
            </w:r>
          </w:p>
        </w:tc>
        <w:tc>
          <w:tcPr>
            <w:tcW w:w="1364" w:type="dxa"/>
            <w:tcBorders>
              <w:top w:val="nil"/>
              <w:left w:val="nil"/>
              <w:bottom w:val="nil"/>
              <w:right w:val="nil"/>
            </w:tcBorders>
            <w:shd w:val="clear" w:color="auto" w:fill="FFFFFF"/>
            <w:tcMar>
              <w:left w:w="67" w:type="dxa"/>
              <w:right w:w="67" w:type="dxa"/>
            </w:tcMar>
          </w:tcPr>
          <w:p w14:paraId="0AFD9703"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328 (8.7%)</w:t>
            </w:r>
          </w:p>
        </w:tc>
        <w:tc>
          <w:tcPr>
            <w:tcW w:w="1364" w:type="dxa"/>
            <w:tcBorders>
              <w:top w:val="nil"/>
              <w:left w:val="nil"/>
              <w:bottom w:val="nil"/>
              <w:right w:val="nil"/>
            </w:tcBorders>
            <w:shd w:val="clear" w:color="auto" w:fill="FFFFFF"/>
            <w:tcMar>
              <w:left w:w="67" w:type="dxa"/>
              <w:right w:w="67" w:type="dxa"/>
            </w:tcMar>
          </w:tcPr>
          <w:p w14:paraId="3D96FA99"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626 (7.5%)</w:t>
            </w:r>
          </w:p>
        </w:tc>
      </w:tr>
      <w:tr w:rsidR="00205931" w:rsidRPr="00C26B77" w14:paraId="3D9D3B74"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1E275CE4"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rPr>
            </w:pPr>
            <w:r w:rsidRPr="00C26B77">
              <w:rPr>
                <w:rFonts w:ascii="Times New Roman" w:hAnsi="Times New Roman" w:cs="Times New Roman"/>
                <w:color w:val="000000"/>
                <w:sz w:val="20"/>
                <w:szCs w:val="20"/>
              </w:rPr>
              <w:t>Yes</w:t>
            </w:r>
          </w:p>
        </w:tc>
        <w:tc>
          <w:tcPr>
            <w:tcW w:w="1580" w:type="dxa"/>
            <w:tcBorders>
              <w:top w:val="nil"/>
              <w:left w:val="nil"/>
              <w:bottom w:val="nil"/>
              <w:right w:val="nil"/>
            </w:tcBorders>
            <w:shd w:val="clear" w:color="auto" w:fill="FFFFFF"/>
            <w:tcMar>
              <w:left w:w="67" w:type="dxa"/>
              <w:right w:w="67" w:type="dxa"/>
            </w:tcMar>
          </w:tcPr>
          <w:p w14:paraId="67236893"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107,070 (92.7%)</w:t>
            </w:r>
          </w:p>
        </w:tc>
        <w:tc>
          <w:tcPr>
            <w:tcW w:w="1472" w:type="dxa"/>
            <w:tcBorders>
              <w:top w:val="nil"/>
              <w:left w:val="nil"/>
              <w:bottom w:val="nil"/>
              <w:right w:val="nil"/>
            </w:tcBorders>
            <w:shd w:val="clear" w:color="auto" w:fill="FFFFFF"/>
            <w:tcMar>
              <w:left w:w="67" w:type="dxa"/>
              <w:right w:w="67" w:type="dxa"/>
            </w:tcMar>
          </w:tcPr>
          <w:p w14:paraId="546FAFC2"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95,920 (92.7%)</w:t>
            </w:r>
          </w:p>
        </w:tc>
        <w:tc>
          <w:tcPr>
            <w:tcW w:w="1364" w:type="dxa"/>
            <w:tcBorders>
              <w:top w:val="nil"/>
              <w:left w:val="nil"/>
              <w:bottom w:val="nil"/>
              <w:right w:val="nil"/>
            </w:tcBorders>
            <w:shd w:val="clear" w:color="auto" w:fill="FFFFFF"/>
            <w:tcMar>
              <w:left w:w="67" w:type="dxa"/>
              <w:right w:w="67" w:type="dxa"/>
            </w:tcMar>
          </w:tcPr>
          <w:p w14:paraId="5BB695F1"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3,445 (91.3%)</w:t>
            </w:r>
          </w:p>
        </w:tc>
        <w:tc>
          <w:tcPr>
            <w:tcW w:w="1364" w:type="dxa"/>
            <w:tcBorders>
              <w:top w:val="nil"/>
              <w:left w:val="nil"/>
              <w:bottom w:val="nil"/>
              <w:right w:val="nil"/>
            </w:tcBorders>
            <w:shd w:val="clear" w:color="auto" w:fill="FFFFFF"/>
            <w:tcMar>
              <w:left w:w="67" w:type="dxa"/>
              <w:right w:w="67" w:type="dxa"/>
            </w:tcMar>
          </w:tcPr>
          <w:p w14:paraId="06A3310C"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7,705 (92.5%)</w:t>
            </w:r>
          </w:p>
        </w:tc>
      </w:tr>
      <w:tr w:rsidR="00205931" w:rsidRPr="00C26B77" w14:paraId="66FD454F"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53FE9D6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Clinic Type, N (%)</w:t>
            </w:r>
          </w:p>
        </w:tc>
        <w:tc>
          <w:tcPr>
            <w:tcW w:w="1580" w:type="dxa"/>
            <w:tcBorders>
              <w:top w:val="nil"/>
              <w:left w:val="nil"/>
              <w:bottom w:val="nil"/>
              <w:right w:val="nil"/>
            </w:tcBorders>
            <w:shd w:val="clear" w:color="auto" w:fill="FFFFFF"/>
            <w:tcMar>
              <w:left w:w="67" w:type="dxa"/>
              <w:right w:w="67" w:type="dxa"/>
            </w:tcMar>
          </w:tcPr>
          <w:p w14:paraId="69E9E843"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472" w:type="dxa"/>
            <w:tcBorders>
              <w:top w:val="nil"/>
              <w:left w:val="nil"/>
              <w:bottom w:val="nil"/>
              <w:right w:val="nil"/>
            </w:tcBorders>
            <w:shd w:val="clear" w:color="auto" w:fill="FFFFFF"/>
            <w:tcMar>
              <w:left w:w="67" w:type="dxa"/>
              <w:right w:w="67" w:type="dxa"/>
            </w:tcMar>
          </w:tcPr>
          <w:p w14:paraId="4D803CBD"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4BA6F5CD"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c>
          <w:tcPr>
            <w:tcW w:w="1364" w:type="dxa"/>
            <w:tcBorders>
              <w:top w:val="nil"/>
              <w:left w:val="nil"/>
              <w:bottom w:val="nil"/>
              <w:right w:val="nil"/>
            </w:tcBorders>
            <w:shd w:val="clear" w:color="auto" w:fill="FFFFFF"/>
            <w:tcMar>
              <w:left w:w="67" w:type="dxa"/>
              <w:right w:w="67" w:type="dxa"/>
            </w:tcMar>
          </w:tcPr>
          <w:p w14:paraId="5F309CD3" w14:textId="77777777" w:rsidR="00205931" w:rsidRPr="00C26B77" w:rsidRDefault="00205931" w:rsidP="00551AA6">
            <w:pPr>
              <w:adjustRightInd w:val="0"/>
              <w:spacing w:before="67" w:after="67"/>
              <w:jc w:val="center"/>
              <w:rPr>
                <w:rFonts w:ascii="Times New Roman" w:hAnsi="Times New Roman" w:cs="Times New Roman"/>
                <w:color w:val="000000"/>
                <w:sz w:val="20"/>
                <w:szCs w:val="20"/>
              </w:rPr>
            </w:pPr>
          </w:p>
        </w:tc>
      </w:tr>
      <w:tr w:rsidR="00205931" w:rsidRPr="00C26B77" w14:paraId="37B58FFC" w14:textId="77777777" w:rsidTr="00551AA6">
        <w:trPr>
          <w:cantSplit/>
          <w:jc w:val="center"/>
        </w:trPr>
        <w:tc>
          <w:tcPr>
            <w:tcW w:w="2387" w:type="dxa"/>
            <w:tcBorders>
              <w:top w:val="nil"/>
              <w:left w:val="nil"/>
              <w:bottom w:val="nil"/>
              <w:right w:val="nil"/>
            </w:tcBorders>
            <w:shd w:val="clear" w:color="auto" w:fill="FFFFFF"/>
            <w:tcMar>
              <w:left w:w="67" w:type="dxa"/>
              <w:right w:w="67" w:type="dxa"/>
            </w:tcMar>
          </w:tcPr>
          <w:p w14:paraId="1D58CECE" w14:textId="77777777" w:rsidR="00205931" w:rsidRPr="00C26B77" w:rsidRDefault="00205931" w:rsidP="00551AA6">
            <w:pPr>
              <w:keepNext/>
              <w:adjustRightInd w:val="0"/>
              <w:spacing w:before="67" w:after="67"/>
              <w:ind w:firstLine="288"/>
              <w:rPr>
                <w:rFonts w:ascii="Times New Roman" w:hAnsi="Times New Roman" w:cs="Times New Roman"/>
                <w:color w:val="000000"/>
                <w:sz w:val="20"/>
                <w:szCs w:val="20"/>
                <w:vertAlign w:val="superscript"/>
              </w:rPr>
            </w:pPr>
            <w:r w:rsidRPr="00C26B77">
              <w:rPr>
                <w:rFonts w:ascii="Times New Roman" w:hAnsi="Times New Roman" w:cs="Times New Roman"/>
                <w:color w:val="000000"/>
                <w:sz w:val="20"/>
                <w:szCs w:val="20"/>
              </w:rPr>
              <w:t>InstaCare</w:t>
            </w:r>
            <w:r w:rsidRPr="00C26B77">
              <w:rPr>
                <w:rFonts w:ascii="Times New Roman" w:hAnsi="Times New Roman" w:cs="Times New Roman"/>
                <w:color w:val="000000"/>
                <w:sz w:val="20"/>
                <w:szCs w:val="20"/>
                <w:vertAlign w:val="superscript"/>
              </w:rPr>
              <w:t>1</w:t>
            </w:r>
          </w:p>
        </w:tc>
        <w:tc>
          <w:tcPr>
            <w:tcW w:w="1580" w:type="dxa"/>
            <w:tcBorders>
              <w:top w:val="nil"/>
              <w:left w:val="nil"/>
              <w:bottom w:val="nil"/>
              <w:right w:val="nil"/>
            </w:tcBorders>
            <w:shd w:val="clear" w:color="auto" w:fill="FFFFFF"/>
            <w:tcMar>
              <w:left w:w="67" w:type="dxa"/>
              <w:right w:w="67" w:type="dxa"/>
            </w:tcMar>
          </w:tcPr>
          <w:p w14:paraId="730265E9" w14:textId="77777777" w:rsidR="00205931" w:rsidRPr="00C26B77" w:rsidRDefault="00205931" w:rsidP="00551AA6">
            <w:pPr>
              <w:keepNext/>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105,900 (91.6%)</w:t>
            </w:r>
          </w:p>
        </w:tc>
        <w:tc>
          <w:tcPr>
            <w:tcW w:w="1472" w:type="dxa"/>
            <w:tcBorders>
              <w:top w:val="nil"/>
              <w:left w:val="nil"/>
              <w:bottom w:val="nil"/>
              <w:right w:val="nil"/>
            </w:tcBorders>
            <w:shd w:val="clear" w:color="auto" w:fill="FFFFFF"/>
            <w:tcMar>
              <w:left w:w="67" w:type="dxa"/>
              <w:right w:w="67" w:type="dxa"/>
            </w:tcMar>
          </w:tcPr>
          <w:p w14:paraId="3E0C9AE0" w14:textId="77777777" w:rsidR="00205931" w:rsidRPr="00C26B77" w:rsidRDefault="00205931" w:rsidP="00551AA6">
            <w:pPr>
              <w:keepNext/>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94,330 (91.2%)</w:t>
            </w:r>
          </w:p>
        </w:tc>
        <w:tc>
          <w:tcPr>
            <w:tcW w:w="1364" w:type="dxa"/>
            <w:tcBorders>
              <w:top w:val="nil"/>
              <w:left w:val="nil"/>
              <w:bottom w:val="nil"/>
              <w:right w:val="nil"/>
            </w:tcBorders>
            <w:shd w:val="clear" w:color="auto" w:fill="FFFFFF"/>
            <w:tcMar>
              <w:left w:w="67" w:type="dxa"/>
              <w:right w:w="67" w:type="dxa"/>
            </w:tcMar>
          </w:tcPr>
          <w:p w14:paraId="049E4757" w14:textId="77777777" w:rsidR="00205931" w:rsidRPr="00C26B77" w:rsidRDefault="00205931" w:rsidP="00551AA6">
            <w:pPr>
              <w:keepNext/>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3,627 (96.1%)</w:t>
            </w:r>
          </w:p>
        </w:tc>
        <w:tc>
          <w:tcPr>
            <w:tcW w:w="1364" w:type="dxa"/>
            <w:tcBorders>
              <w:top w:val="nil"/>
              <w:left w:val="nil"/>
              <w:bottom w:val="nil"/>
              <w:right w:val="nil"/>
            </w:tcBorders>
            <w:shd w:val="clear" w:color="auto" w:fill="FFFFFF"/>
            <w:tcMar>
              <w:left w:w="67" w:type="dxa"/>
              <w:right w:w="67" w:type="dxa"/>
            </w:tcMar>
          </w:tcPr>
          <w:p w14:paraId="47237E6A" w14:textId="77777777" w:rsidR="00205931" w:rsidRPr="00C26B77" w:rsidRDefault="00205931" w:rsidP="00551AA6">
            <w:pPr>
              <w:keepNext/>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7,943 (95.3%)</w:t>
            </w:r>
          </w:p>
        </w:tc>
      </w:tr>
      <w:tr w:rsidR="00205931" w:rsidRPr="00C26B77" w14:paraId="17FF82D5" w14:textId="77777777" w:rsidTr="00551AA6">
        <w:trPr>
          <w:cantSplit/>
          <w:jc w:val="center"/>
        </w:trPr>
        <w:tc>
          <w:tcPr>
            <w:tcW w:w="2387" w:type="dxa"/>
            <w:tcBorders>
              <w:top w:val="nil"/>
              <w:left w:val="nil"/>
              <w:bottom w:val="single" w:sz="4" w:space="0" w:color="000000"/>
              <w:right w:val="nil"/>
            </w:tcBorders>
            <w:shd w:val="clear" w:color="auto" w:fill="FFFFFF"/>
            <w:tcMar>
              <w:left w:w="67" w:type="dxa"/>
              <w:right w:w="67" w:type="dxa"/>
            </w:tcMar>
          </w:tcPr>
          <w:p w14:paraId="4B618A77" w14:textId="77777777" w:rsidR="00205931" w:rsidRPr="00C26B77" w:rsidRDefault="00205931" w:rsidP="00551AA6">
            <w:pPr>
              <w:adjustRightInd w:val="0"/>
              <w:spacing w:before="67" w:after="67"/>
              <w:ind w:firstLine="288"/>
              <w:rPr>
                <w:rFonts w:ascii="Times New Roman" w:hAnsi="Times New Roman" w:cs="Times New Roman"/>
                <w:color w:val="000000"/>
                <w:sz w:val="20"/>
                <w:szCs w:val="20"/>
                <w:vertAlign w:val="superscript"/>
              </w:rPr>
            </w:pPr>
            <w:r w:rsidRPr="00C26B77">
              <w:rPr>
                <w:rFonts w:ascii="Times New Roman" w:hAnsi="Times New Roman" w:cs="Times New Roman"/>
                <w:color w:val="000000"/>
                <w:sz w:val="20"/>
                <w:szCs w:val="20"/>
              </w:rPr>
              <w:t>KidsCare</w:t>
            </w:r>
            <w:r w:rsidRPr="00C26B77">
              <w:rPr>
                <w:rFonts w:ascii="Times New Roman" w:hAnsi="Times New Roman" w:cs="Times New Roman"/>
                <w:color w:val="000000"/>
                <w:sz w:val="20"/>
                <w:szCs w:val="20"/>
                <w:vertAlign w:val="superscript"/>
              </w:rPr>
              <w:t>1</w:t>
            </w:r>
          </w:p>
        </w:tc>
        <w:tc>
          <w:tcPr>
            <w:tcW w:w="1580" w:type="dxa"/>
            <w:tcBorders>
              <w:top w:val="nil"/>
              <w:left w:val="nil"/>
              <w:bottom w:val="single" w:sz="4" w:space="0" w:color="000000"/>
              <w:right w:val="nil"/>
            </w:tcBorders>
            <w:shd w:val="clear" w:color="auto" w:fill="FFFFFF"/>
            <w:tcMar>
              <w:left w:w="67" w:type="dxa"/>
              <w:right w:w="67" w:type="dxa"/>
            </w:tcMar>
          </w:tcPr>
          <w:p w14:paraId="7809E1DA"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9,658 (8.4%)</w:t>
            </w:r>
          </w:p>
        </w:tc>
        <w:tc>
          <w:tcPr>
            <w:tcW w:w="1472" w:type="dxa"/>
            <w:tcBorders>
              <w:top w:val="nil"/>
              <w:left w:val="nil"/>
              <w:bottom w:val="single" w:sz="4" w:space="0" w:color="000000"/>
              <w:right w:val="nil"/>
            </w:tcBorders>
            <w:shd w:val="clear" w:color="auto" w:fill="FFFFFF"/>
            <w:tcMar>
              <w:left w:w="67" w:type="dxa"/>
              <w:right w:w="67" w:type="dxa"/>
            </w:tcMar>
          </w:tcPr>
          <w:p w14:paraId="2E2A543E"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9,124 (8.8%)</w:t>
            </w:r>
          </w:p>
        </w:tc>
        <w:tc>
          <w:tcPr>
            <w:tcW w:w="1364" w:type="dxa"/>
            <w:tcBorders>
              <w:top w:val="nil"/>
              <w:left w:val="nil"/>
              <w:bottom w:val="single" w:sz="4" w:space="0" w:color="000000"/>
              <w:right w:val="nil"/>
            </w:tcBorders>
            <w:shd w:val="clear" w:color="auto" w:fill="FFFFFF"/>
            <w:tcMar>
              <w:left w:w="67" w:type="dxa"/>
              <w:right w:w="67" w:type="dxa"/>
            </w:tcMar>
          </w:tcPr>
          <w:p w14:paraId="28EEA5AB"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146 (3.9%)</w:t>
            </w:r>
          </w:p>
        </w:tc>
        <w:tc>
          <w:tcPr>
            <w:tcW w:w="1364" w:type="dxa"/>
            <w:tcBorders>
              <w:top w:val="nil"/>
              <w:left w:val="nil"/>
              <w:bottom w:val="single" w:sz="4" w:space="0" w:color="000000"/>
              <w:right w:val="nil"/>
            </w:tcBorders>
            <w:shd w:val="clear" w:color="auto" w:fill="FFFFFF"/>
            <w:tcMar>
              <w:left w:w="67" w:type="dxa"/>
              <w:right w:w="67" w:type="dxa"/>
            </w:tcMar>
          </w:tcPr>
          <w:p w14:paraId="66564E1C" w14:textId="77777777" w:rsidR="00205931" w:rsidRPr="00C26B77" w:rsidRDefault="00205931" w:rsidP="00551AA6">
            <w:pPr>
              <w:adjustRightInd w:val="0"/>
              <w:spacing w:before="67" w:after="67"/>
              <w:rPr>
                <w:rFonts w:ascii="Times New Roman" w:hAnsi="Times New Roman" w:cs="Times New Roman"/>
                <w:color w:val="000000"/>
                <w:sz w:val="20"/>
                <w:szCs w:val="20"/>
              </w:rPr>
            </w:pPr>
            <w:r w:rsidRPr="00C26B77">
              <w:rPr>
                <w:rFonts w:ascii="Times New Roman" w:hAnsi="Times New Roman" w:cs="Times New Roman"/>
                <w:color w:val="000000"/>
                <w:sz w:val="20"/>
                <w:szCs w:val="20"/>
              </w:rPr>
              <w:t>388 (4.7%)</w:t>
            </w:r>
          </w:p>
        </w:tc>
      </w:tr>
    </w:tbl>
    <w:p w14:paraId="6201FA59" w14:textId="77777777" w:rsidR="00EB571E" w:rsidRDefault="00205931" w:rsidP="00205931">
      <w:pPr>
        <w:rPr>
          <w:rFonts w:ascii="Times New Roman" w:hAnsi="Times New Roman" w:cs="Times New Roman"/>
          <w:b/>
          <w:bCs/>
          <w:sz w:val="20"/>
          <w:szCs w:val="20"/>
        </w:rPr>
      </w:pPr>
      <w:r w:rsidRPr="00C26B77">
        <w:rPr>
          <w:rFonts w:ascii="Times New Roman" w:hAnsi="Times New Roman" w:cs="Times New Roman"/>
          <w:sz w:val="20"/>
          <w:szCs w:val="20"/>
          <w:vertAlign w:val="superscript"/>
        </w:rPr>
        <w:t>1</w:t>
      </w:r>
      <w:r w:rsidRPr="00C26B77">
        <w:rPr>
          <w:rFonts w:ascii="Times New Roman" w:hAnsi="Times New Roman" w:cs="Times New Roman"/>
          <w:sz w:val="20"/>
          <w:szCs w:val="20"/>
        </w:rPr>
        <w:t xml:space="preserve">InstaCare is an urgent care clinic which provides care for patients of all ages while KidsCare sites are urgent care clinics which provide care exclusively to children. These are predominantly staffed by physicians. KidsCare is exclusively staffed by pediatricians. </w:t>
      </w:r>
      <w:r w:rsidRPr="00C26B77">
        <w:rPr>
          <w:rFonts w:ascii="Times New Roman" w:hAnsi="Times New Roman" w:cs="Times New Roman"/>
          <w:sz w:val="20"/>
          <w:szCs w:val="20"/>
        </w:rPr>
        <w:br/>
      </w:r>
      <w:r w:rsidRPr="00C26B77">
        <w:rPr>
          <w:rFonts w:ascii="Times New Roman" w:hAnsi="Times New Roman" w:cs="Times New Roman"/>
          <w:sz w:val="20"/>
          <w:szCs w:val="20"/>
        </w:rPr>
        <w:br/>
      </w:r>
    </w:p>
    <w:p w14:paraId="4817E9A9" w14:textId="77777777" w:rsidR="00EB571E" w:rsidRDefault="00EB571E" w:rsidP="00205931">
      <w:pPr>
        <w:rPr>
          <w:rFonts w:ascii="Times New Roman" w:hAnsi="Times New Roman" w:cs="Times New Roman"/>
          <w:b/>
          <w:bCs/>
          <w:sz w:val="20"/>
          <w:szCs w:val="20"/>
        </w:rPr>
      </w:pPr>
    </w:p>
    <w:p w14:paraId="3DB4AAAE" w14:textId="77777777" w:rsidR="00EB571E" w:rsidRDefault="00EB571E" w:rsidP="00205931">
      <w:pPr>
        <w:rPr>
          <w:rFonts w:ascii="Times New Roman" w:hAnsi="Times New Roman" w:cs="Times New Roman"/>
          <w:b/>
          <w:bCs/>
          <w:sz w:val="20"/>
          <w:szCs w:val="20"/>
        </w:rPr>
      </w:pPr>
    </w:p>
    <w:p w14:paraId="69941934" w14:textId="77777777" w:rsidR="00EB571E" w:rsidRDefault="00EB571E" w:rsidP="00205931">
      <w:pPr>
        <w:rPr>
          <w:rFonts w:ascii="Times New Roman" w:hAnsi="Times New Roman" w:cs="Times New Roman"/>
          <w:b/>
          <w:bCs/>
          <w:sz w:val="20"/>
          <w:szCs w:val="20"/>
        </w:rPr>
      </w:pPr>
    </w:p>
    <w:p w14:paraId="67916C03" w14:textId="77777777" w:rsidR="00EB571E" w:rsidRDefault="00EB571E" w:rsidP="00205931">
      <w:pPr>
        <w:rPr>
          <w:rFonts w:ascii="Times New Roman" w:hAnsi="Times New Roman" w:cs="Times New Roman"/>
          <w:b/>
          <w:bCs/>
          <w:sz w:val="20"/>
          <w:szCs w:val="20"/>
        </w:rPr>
      </w:pPr>
    </w:p>
    <w:p w14:paraId="2F83A718" w14:textId="77777777" w:rsidR="00EB571E" w:rsidRDefault="00EB571E" w:rsidP="00205931">
      <w:pPr>
        <w:rPr>
          <w:rFonts w:ascii="Times New Roman" w:hAnsi="Times New Roman" w:cs="Times New Roman"/>
          <w:b/>
          <w:bCs/>
          <w:sz w:val="20"/>
          <w:szCs w:val="20"/>
        </w:rPr>
      </w:pPr>
    </w:p>
    <w:p w14:paraId="7694B7F4" w14:textId="77777777" w:rsidR="00EB571E" w:rsidRDefault="00EB571E" w:rsidP="00205931">
      <w:pPr>
        <w:rPr>
          <w:rFonts w:ascii="Times New Roman" w:hAnsi="Times New Roman" w:cs="Times New Roman"/>
          <w:b/>
          <w:bCs/>
          <w:sz w:val="20"/>
          <w:szCs w:val="20"/>
        </w:rPr>
      </w:pPr>
    </w:p>
    <w:p w14:paraId="426DDD41" w14:textId="77777777" w:rsidR="00EB571E" w:rsidRDefault="00EB571E" w:rsidP="00205931">
      <w:pPr>
        <w:rPr>
          <w:rFonts w:ascii="Times New Roman" w:hAnsi="Times New Roman" w:cs="Times New Roman"/>
          <w:b/>
          <w:bCs/>
          <w:sz w:val="20"/>
          <w:szCs w:val="20"/>
        </w:rPr>
      </w:pPr>
    </w:p>
    <w:p w14:paraId="76871886" w14:textId="77777777" w:rsidR="00EB571E" w:rsidRDefault="00EB571E" w:rsidP="00205931">
      <w:pPr>
        <w:rPr>
          <w:rFonts w:ascii="Times New Roman" w:hAnsi="Times New Roman" w:cs="Times New Roman"/>
          <w:b/>
          <w:bCs/>
          <w:sz w:val="20"/>
          <w:szCs w:val="20"/>
        </w:rPr>
      </w:pPr>
    </w:p>
    <w:p w14:paraId="5AA60873" w14:textId="0BCDF044" w:rsidR="001A028F" w:rsidRDefault="001A028F" w:rsidP="00205931">
      <w:pPr>
        <w:rPr>
          <w:rFonts w:ascii="Times New Roman" w:hAnsi="Times New Roman" w:cs="Times New Roman"/>
          <w:b/>
          <w:bCs/>
          <w:sz w:val="20"/>
          <w:szCs w:val="20"/>
        </w:rPr>
      </w:pPr>
      <w:r>
        <w:rPr>
          <w:rFonts w:ascii="Times New Roman" w:hAnsi="Times New Roman" w:cs="Times New Roman"/>
          <w:b/>
          <w:bCs/>
          <w:sz w:val="20"/>
          <w:szCs w:val="20"/>
        </w:rPr>
        <w:lastRenderedPageBreak/>
        <w:t>Table 2</w:t>
      </w:r>
    </w:p>
    <w:tbl>
      <w:tblPr>
        <w:tblW w:w="0" w:type="auto"/>
        <w:jc w:val="center"/>
        <w:tblLayout w:type="fixed"/>
        <w:tblCellMar>
          <w:left w:w="0" w:type="dxa"/>
          <w:right w:w="0" w:type="dxa"/>
        </w:tblCellMar>
        <w:tblLook w:val="0000" w:firstRow="0" w:lastRow="0" w:firstColumn="0" w:lastColumn="0" w:noHBand="0" w:noVBand="0"/>
      </w:tblPr>
      <w:tblGrid>
        <w:gridCol w:w="2387"/>
        <w:gridCol w:w="1472"/>
        <w:gridCol w:w="1364"/>
        <w:gridCol w:w="1364"/>
      </w:tblGrid>
      <w:tr w:rsidR="001A028F" w:rsidRPr="00C26B77" w14:paraId="142713BB" w14:textId="77777777" w:rsidTr="00FD69F6">
        <w:trPr>
          <w:cantSplit/>
          <w:tblHeader/>
          <w:jc w:val="center"/>
        </w:trPr>
        <w:tc>
          <w:tcPr>
            <w:tcW w:w="2387" w:type="dxa"/>
            <w:tcBorders>
              <w:top w:val="single" w:sz="4" w:space="0" w:color="000000"/>
              <w:left w:val="nil"/>
              <w:bottom w:val="single" w:sz="4" w:space="0" w:color="000000"/>
              <w:right w:val="nil"/>
            </w:tcBorders>
            <w:shd w:val="clear" w:color="auto" w:fill="FFFFFF"/>
            <w:tcMar>
              <w:left w:w="67" w:type="dxa"/>
              <w:right w:w="67" w:type="dxa"/>
            </w:tcMar>
            <w:vAlign w:val="bottom"/>
          </w:tcPr>
          <w:p w14:paraId="2E9F02DD" w14:textId="77777777" w:rsidR="001A028F" w:rsidRPr="00C26B77" w:rsidRDefault="001A028F" w:rsidP="00FD69F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Characteristic</w:t>
            </w:r>
          </w:p>
        </w:tc>
        <w:tc>
          <w:tcPr>
            <w:tcW w:w="1472" w:type="dxa"/>
            <w:tcBorders>
              <w:top w:val="single" w:sz="4" w:space="0" w:color="000000"/>
              <w:left w:val="nil"/>
              <w:bottom w:val="single" w:sz="4" w:space="0" w:color="000000"/>
              <w:right w:val="nil"/>
            </w:tcBorders>
            <w:shd w:val="clear" w:color="auto" w:fill="FFFFFF"/>
            <w:tcMar>
              <w:left w:w="67" w:type="dxa"/>
              <w:right w:w="67" w:type="dxa"/>
            </w:tcMar>
            <w:vAlign w:val="bottom"/>
          </w:tcPr>
          <w:p w14:paraId="480A4846" w14:textId="77777777" w:rsidR="001A028F" w:rsidRPr="00C26B77" w:rsidRDefault="001A028F" w:rsidP="00FD69F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July 2018 - March 2020</w:t>
            </w:r>
          </w:p>
        </w:tc>
        <w:tc>
          <w:tcPr>
            <w:tcW w:w="1364" w:type="dxa"/>
            <w:tcBorders>
              <w:top w:val="single" w:sz="4" w:space="0" w:color="000000"/>
              <w:left w:val="nil"/>
              <w:bottom w:val="single" w:sz="4" w:space="0" w:color="000000"/>
              <w:right w:val="nil"/>
            </w:tcBorders>
            <w:shd w:val="clear" w:color="auto" w:fill="FFFFFF"/>
            <w:tcMar>
              <w:left w:w="67" w:type="dxa"/>
              <w:right w:w="67" w:type="dxa"/>
            </w:tcMar>
            <w:vAlign w:val="bottom"/>
          </w:tcPr>
          <w:p w14:paraId="4D838DE1" w14:textId="77777777" w:rsidR="001A028F" w:rsidRPr="00C26B77" w:rsidRDefault="001A028F" w:rsidP="00FD69F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April 2020 - June 2020</w:t>
            </w:r>
          </w:p>
        </w:tc>
        <w:tc>
          <w:tcPr>
            <w:tcW w:w="1364" w:type="dxa"/>
            <w:tcBorders>
              <w:top w:val="single" w:sz="4" w:space="0" w:color="000000"/>
              <w:left w:val="nil"/>
              <w:bottom w:val="single" w:sz="4" w:space="0" w:color="000000"/>
              <w:right w:val="nil"/>
            </w:tcBorders>
            <w:shd w:val="clear" w:color="auto" w:fill="FFFFFF"/>
            <w:tcMar>
              <w:left w:w="67" w:type="dxa"/>
              <w:right w:w="67" w:type="dxa"/>
            </w:tcMar>
            <w:vAlign w:val="bottom"/>
          </w:tcPr>
          <w:p w14:paraId="4AE6D285" w14:textId="77777777" w:rsidR="001A028F" w:rsidRPr="00C26B77" w:rsidRDefault="001A028F" w:rsidP="00FD69F6">
            <w:pPr>
              <w:keepNext/>
              <w:adjustRightInd w:val="0"/>
              <w:spacing w:before="67" w:after="67"/>
              <w:jc w:val="center"/>
              <w:rPr>
                <w:rFonts w:ascii="Times New Roman" w:hAnsi="Times New Roman" w:cs="Times New Roman"/>
                <w:i/>
                <w:iCs/>
                <w:color w:val="000000"/>
                <w:sz w:val="20"/>
                <w:szCs w:val="20"/>
              </w:rPr>
            </w:pPr>
            <w:r w:rsidRPr="00C26B77">
              <w:rPr>
                <w:rFonts w:ascii="Times New Roman" w:hAnsi="Times New Roman" w:cs="Times New Roman"/>
                <w:i/>
                <w:iCs/>
                <w:color w:val="000000"/>
                <w:sz w:val="20"/>
                <w:szCs w:val="20"/>
              </w:rPr>
              <w:t>July 2020 - August 2021</w:t>
            </w:r>
          </w:p>
        </w:tc>
      </w:tr>
      <w:tr w:rsidR="001A028F" w:rsidRPr="00C26B77" w14:paraId="264DB17D" w14:textId="77777777" w:rsidTr="00FD69F6">
        <w:trPr>
          <w:cantSplit/>
          <w:jc w:val="center"/>
        </w:trPr>
        <w:tc>
          <w:tcPr>
            <w:tcW w:w="2387" w:type="dxa"/>
            <w:tcBorders>
              <w:top w:val="nil"/>
              <w:left w:val="nil"/>
              <w:bottom w:val="nil"/>
              <w:right w:val="nil"/>
            </w:tcBorders>
            <w:shd w:val="clear" w:color="auto" w:fill="FFFFFF"/>
            <w:tcMar>
              <w:left w:w="67" w:type="dxa"/>
              <w:right w:w="67" w:type="dxa"/>
            </w:tcMar>
          </w:tcPr>
          <w:p w14:paraId="53A81C12" w14:textId="7BC9F037" w:rsidR="001A028F" w:rsidRPr="00C26B77" w:rsidRDefault="001A028F" w:rsidP="00EB571E">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Average monthly percentage of pharyngitis encounters prescribed an antibiotic</w:t>
            </w:r>
          </w:p>
        </w:tc>
        <w:tc>
          <w:tcPr>
            <w:tcW w:w="1472" w:type="dxa"/>
            <w:tcBorders>
              <w:top w:val="nil"/>
              <w:left w:val="nil"/>
              <w:bottom w:val="nil"/>
              <w:right w:val="nil"/>
            </w:tcBorders>
            <w:shd w:val="clear" w:color="auto" w:fill="FFFFFF"/>
            <w:tcMar>
              <w:left w:w="67" w:type="dxa"/>
              <w:right w:w="67" w:type="dxa"/>
            </w:tcMar>
          </w:tcPr>
          <w:p w14:paraId="70247C89" w14:textId="1FA811BB" w:rsidR="001A028F" w:rsidRPr="00C26B77" w:rsidRDefault="001A028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38.9%</w:t>
            </w:r>
          </w:p>
        </w:tc>
        <w:tc>
          <w:tcPr>
            <w:tcW w:w="1364" w:type="dxa"/>
            <w:tcBorders>
              <w:top w:val="nil"/>
              <w:left w:val="nil"/>
              <w:bottom w:val="nil"/>
              <w:right w:val="nil"/>
            </w:tcBorders>
            <w:shd w:val="clear" w:color="auto" w:fill="FFFFFF"/>
            <w:tcMar>
              <w:left w:w="67" w:type="dxa"/>
              <w:right w:w="67" w:type="dxa"/>
            </w:tcMar>
          </w:tcPr>
          <w:p w14:paraId="42CA7D32" w14:textId="1321B9A4" w:rsidR="001A028F" w:rsidRPr="00C26B77" w:rsidRDefault="00EB571E"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50.6%</w:t>
            </w:r>
          </w:p>
        </w:tc>
        <w:tc>
          <w:tcPr>
            <w:tcW w:w="1364" w:type="dxa"/>
            <w:tcBorders>
              <w:top w:val="nil"/>
              <w:left w:val="nil"/>
              <w:bottom w:val="nil"/>
              <w:right w:val="nil"/>
            </w:tcBorders>
            <w:shd w:val="clear" w:color="auto" w:fill="FFFFFF"/>
            <w:tcMar>
              <w:left w:w="67" w:type="dxa"/>
              <w:right w:w="67" w:type="dxa"/>
            </w:tcMar>
          </w:tcPr>
          <w:p w14:paraId="6D31B084" w14:textId="1ECC23CC" w:rsidR="001A028F" w:rsidRPr="00C26B77" w:rsidRDefault="00EB571E"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rsidR="001A028F" w:rsidRPr="00C26B77" w14:paraId="62683C37" w14:textId="77777777" w:rsidTr="00FD69F6">
        <w:trPr>
          <w:cantSplit/>
          <w:jc w:val="center"/>
        </w:trPr>
        <w:tc>
          <w:tcPr>
            <w:tcW w:w="2387" w:type="dxa"/>
            <w:tcBorders>
              <w:top w:val="nil"/>
              <w:left w:val="nil"/>
              <w:bottom w:val="nil"/>
              <w:right w:val="nil"/>
            </w:tcBorders>
            <w:shd w:val="clear" w:color="auto" w:fill="FFFFFF"/>
            <w:tcMar>
              <w:left w:w="67" w:type="dxa"/>
              <w:right w:w="67" w:type="dxa"/>
            </w:tcMar>
          </w:tcPr>
          <w:p w14:paraId="0D9ED3DE" w14:textId="4FE4988F" w:rsidR="001A028F" w:rsidRPr="00C26B77" w:rsidRDefault="0045352F" w:rsidP="0045352F">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Average monthly percentage of pharyngitis encounters not tested for GAS</w:t>
            </w:r>
            <w:r w:rsidR="00D33C44">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and prescribed an antibiotic</w:t>
            </w:r>
          </w:p>
        </w:tc>
        <w:tc>
          <w:tcPr>
            <w:tcW w:w="1472" w:type="dxa"/>
            <w:tcBorders>
              <w:top w:val="nil"/>
              <w:left w:val="nil"/>
              <w:bottom w:val="nil"/>
              <w:right w:val="nil"/>
            </w:tcBorders>
            <w:shd w:val="clear" w:color="auto" w:fill="FFFFFF"/>
            <w:tcMar>
              <w:left w:w="67" w:type="dxa"/>
              <w:right w:w="67" w:type="dxa"/>
            </w:tcMar>
          </w:tcPr>
          <w:p w14:paraId="2D8E061E" w14:textId="0E8A5B5D"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42.2%</w:t>
            </w:r>
          </w:p>
        </w:tc>
        <w:tc>
          <w:tcPr>
            <w:tcW w:w="1364" w:type="dxa"/>
            <w:tcBorders>
              <w:top w:val="nil"/>
              <w:left w:val="nil"/>
              <w:bottom w:val="nil"/>
              <w:right w:val="nil"/>
            </w:tcBorders>
            <w:shd w:val="clear" w:color="auto" w:fill="FFFFFF"/>
            <w:tcMar>
              <w:left w:w="67" w:type="dxa"/>
              <w:right w:w="67" w:type="dxa"/>
            </w:tcMar>
          </w:tcPr>
          <w:p w14:paraId="3C8D7FEB" w14:textId="066A4709"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63.2</w:t>
            </w:r>
            <w:r w:rsidR="00EB571E">
              <w:rPr>
                <w:rFonts w:ascii="Times New Roman" w:hAnsi="Times New Roman" w:cs="Times New Roman"/>
                <w:color w:val="000000"/>
                <w:sz w:val="20"/>
                <w:szCs w:val="20"/>
              </w:rPr>
              <w:t>%</w:t>
            </w:r>
          </w:p>
        </w:tc>
        <w:tc>
          <w:tcPr>
            <w:tcW w:w="1364" w:type="dxa"/>
            <w:tcBorders>
              <w:top w:val="nil"/>
              <w:left w:val="nil"/>
              <w:bottom w:val="nil"/>
              <w:right w:val="nil"/>
            </w:tcBorders>
            <w:shd w:val="clear" w:color="auto" w:fill="FFFFFF"/>
            <w:tcMar>
              <w:left w:w="67" w:type="dxa"/>
              <w:right w:w="67" w:type="dxa"/>
            </w:tcMar>
          </w:tcPr>
          <w:p w14:paraId="1B713E1A" w14:textId="16D202EC"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20.9</w:t>
            </w:r>
            <w:r w:rsidR="00EB571E">
              <w:rPr>
                <w:rFonts w:ascii="Times New Roman" w:hAnsi="Times New Roman" w:cs="Times New Roman"/>
                <w:color w:val="000000"/>
                <w:sz w:val="20"/>
                <w:szCs w:val="20"/>
              </w:rPr>
              <w:t>%</w:t>
            </w:r>
          </w:p>
        </w:tc>
      </w:tr>
      <w:tr w:rsidR="001A028F" w:rsidRPr="00C26B77" w14:paraId="7E6B49C2" w14:textId="77777777" w:rsidTr="00FD69F6">
        <w:trPr>
          <w:cantSplit/>
          <w:jc w:val="center"/>
        </w:trPr>
        <w:tc>
          <w:tcPr>
            <w:tcW w:w="2387" w:type="dxa"/>
            <w:tcBorders>
              <w:top w:val="nil"/>
              <w:left w:val="nil"/>
              <w:bottom w:val="nil"/>
              <w:right w:val="nil"/>
            </w:tcBorders>
            <w:shd w:val="clear" w:color="auto" w:fill="FFFFFF"/>
            <w:tcMar>
              <w:left w:w="67" w:type="dxa"/>
              <w:right w:w="67" w:type="dxa"/>
            </w:tcMar>
          </w:tcPr>
          <w:p w14:paraId="53DB02D7" w14:textId="774D586F" w:rsidR="001A028F" w:rsidRPr="00C26B77" w:rsidRDefault="001A028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 xml:space="preserve">Average monthly percentage of pharyngitis </w:t>
            </w:r>
            <w:r w:rsidR="0045352F">
              <w:rPr>
                <w:rFonts w:ascii="Times New Roman" w:hAnsi="Times New Roman" w:cs="Times New Roman"/>
                <w:color w:val="000000"/>
                <w:sz w:val="20"/>
                <w:szCs w:val="20"/>
              </w:rPr>
              <w:t xml:space="preserve">encounters </w:t>
            </w:r>
            <w:r w:rsidR="00D33C44">
              <w:rPr>
                <w:rFonts w:ascii="Times New Roman" w:hAnsi="Times New Roman" w:cs="Times New Roman"/>
                <w:color w:val="000000"/>
                <w:sz w:val="20"/>
                <w:szCs w:val="20"/>
              </w:rPr>
              <w:t>negative</w:t>
            </w:r>
            <w:r w:rsidR="0045352F">
              <w:rPr>
                <w:rFonts w:ascii="Times New Roman" w:hAnsi="Times New Roman" w:cs="Times New Roman"/>
                <w:color w:val="000000"/>
                <w:sz w:val="20"/>
                <w:szCs w:val="20"/>
              </w:rPr>
              <w:t xml:space="preserve"> for GAS and prescribed an antibiotic</w:t>
            </w:r>
          </w:p>
        </w:tc>
        <w:tc>
          <w:tcPr>
            <w:tcW w:w="1472" w:type="dxa"/>
            <w:tcBorders>
              <w:top w:val="nil"/>
              <w:left w:val="nil"/>
              <w:bottom w:val="nil"/>
              <w:right w:val="nil"/>
            </w:tcBorders>
            <w:shd w:val="clear" w:color="auto" w:fill="FFFFFF"/>
            <w:tcMar>
              <w:left w:w="67" w:type="dxa"/>
              <w:right w:w="67" w:type="dxa"/>
            </w:tcMar>
          </w:tcPr>
          <w:p w14:paraId="3070B57E" w14:textId="4D697ADE"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18.7</w:t>
            </w:r>
            <w:r w:rsidR="00EB571E">
              <w:rPr>
                <w:rFonts w:ascii="Times New Roman" w:hAnsi="Times New Roman" w:cs="Times New Roman"/>
                <w:color w:val="000000"/>
                <w:sz w:val="20"/>
                <w:szCs w:val="20"/>
              </w:rPr>
              <w:t>%</w:t>
            </w:r>
          </w:p>
        </w:tc>
        <w:tc>
          <w:tcPr>
            <w:tcW w:w="1364" w:type="dxa"/>
            <w:tcBorders>
              <w:top w:val="nil"/>
              <w:left w:val="nil"/>
              <w:bottom w:val="nil"/>
              <w:right w:val="nil"/>
            </w:tcBorders>
            <w:shd w:val="clear" w:color="auto" w:fill="FFFFFF"/>
            <w:tcMar>
              <w:left w:w="67" w:type="dxa"/>
              <w:right w:w="67" w:type="dxa"/>
            </w:tcMar>
          </w:tcPr>
          <w:p w14:paraId="6EEF72A5" w14:textId="1D4A1E3E"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17.7</w:t>
            </w:r>
            <w:r w:rsidR="00EB571E">
              <w:rPr>
                <w:rFonts w:ascii="Times New Roman" w:hAnsi="Times New Roman" w:cs="Times New Roman"/>
                <w:color w:val="000000"/>
                <w:sz w:val="20"/>
                <w:szCs w:val="20"/>
              </w:rPr>
              <w:t>%</w:t>
            </w:r>
          </w:p>
        </w:tc>
        <w:tc>
          <w:tcPr>
            <w:tcW w:w="1364" w:type="dxa"/>
            <w:tcBorders>
              <w:top w:val="nil"/>
              <w:left w:val="nil"/>
              <w:bottom w:val="nil"/>
              <w:right w:val="nil"/>
            </w:tcBorders>
            <w:shd w:val="clear" w:color="auto" w:fill="FFFFFF"/>
            <w:tcMar>
              <w:left w:w="67" w:type="dxa"/>
              <w:right w:w="67" w:type="dxa"/>
            </w:tcMar>
          </w:tcPr>
          <w:p w14:paraId="730E15E8" w14:textId="28CF6F73" w:rsidR="001A028F" w:rsidRPr="00C26B77" w:rsidRDefault="0045352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13.1</w:t>
            </w:r>
            <w:r w:rsidR="00EB571E">
              <w:rPr>
                <w:rFonts w:ascii="Times New Roman" w:hAnsi="Times New Roman" w:cs="Times New Roman"/>
                <w:color w:val="000000"/>
                <w:sz w:val="20"/>
                <w:szCs w:val="20"/>
              </w:rPr>
              <w:t>%</w:t>
            </w:r>
          </w:p>
        </w:tc>
      </w:tr>
      <w:tr w:rsidR="001A028F" w:rsidRPr="00C26B77" w14:paraId="3E8662C2" w14:textId="77777777" w:rsidTr="00FD69F6">
        <w:trPr>
          <w:cantSplit/>
          <w:jc w:val="center"/>
        </w:trPr>
        <w:tc>
          <w:tcPr>
            <w:tcW w:w="2387" w:type="dxa"/>
            <w:tcBorders>
              <w:top w:val="nil"/>
              <w:left w:val="nil"/>
              <w:bottom w:val="nil"/>
              <w:right w:val="nil"/>
            </w:tcBorders>
            <w:shd w:val="clear" w:color="auto" w:fill="FFFFFF"/>
            <w:tcMar>
              <w:left w:w="67" w:type="dxa"/>
              <w:right w:w="67" w:type="dxa"/>
            </w:tcMar>
          </w:tcPr>
          <w:p w14:paraId="74F987A4" w14:textId="124BABCC" w:rsidR="001A028F" w:rsidRPr="00C26B77" w:rsidRDefault="001A028F" w:rsidP="00FD69F6">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 xml:space="preserve">Average monthly percentage of pharyngitis encounters </w:t>
            </w:r>
            <w:r w:rsidR="00D33C44">
              <w:rPr>
                <w:rFonts w:ascii="Times New Roman" w:hAnsi="Times New Roman" w:cs="Times New Roman"/>
                <w:color w:val="000000"/>
                <w:sz w:val="20"/>
                <w:szCs w:val="20"/>
              </w:rPr>
              <w:t>positive</w:t>
            </w:r>
            <w:r>
              <w:rPr>
                <w:rFonts w:ascii="Times New Roman" w:hAnsi="Times New Roman" w:cs="Times New Roman"/>
                <w:color w:val="000000"/>
                <w:sz w:val="20"/>
                <w:szCs w:val="20"/>
              </w:rPr>
              <w:t xml:space="preserve"> </w:t>
            </w:r>
            <w:r w:rsidR="0045352F">
              <w:rPr>
                <w:rFonts w:ascii="Times New Roman" w:hAnsi="Times New Roman" w:cs="Times New Roman"/>
                <w:color w:val="000000"/>
                <w:sz w:val="20"/>
                <w:szCs w:val="20"/>
              </w:rPr>
              <w:t xml:space="preserve">for </w:t>
            </w:r>
            <w:r>
              <w:rPr>
                <w:rFonts w:ascii="Times New Roman" w:hAnsi="Times New Roman" w:cs="Times New Roman"/>
                <w:color w:val="000000"/>
                <w:sz w:val="20"/>
                <w:szCs w:val="20"/>
              </w:rPr>
              <w:t xml:space="preserve">GAS </w:t>
            </w:r>
            <w:r w:rsidR="0045352F">
              <w:rPr>
                <w:rFonts w:ascii="Times New Roman" w:hAnsi="Times New Roman" w:cs="Times New Roman"/>
                <w:color w:val="000000"/>
                <w:sz w:val="20"/>
                <w:szCs w:val="20"/>
              </w:rPr>
              <w:t>and prescribed an antibiotic</w:t>
            </w:r>
          </w:p>
        </w:tc>
        <w:tc>
          <w:tcPr>
            <w:tcW w:w="1472" w:type="dxa"/>
            <w:tcBorders>
              <w:top w:val="nil"/>
              <w:left w:val="nil"/>
              <w:bottom w:val="nil"/>
              <w:right w:val="nil"/>
            </w:tcBorders>
            <w:shd w:val="clear" w:color="auto" w:fill="FFFFFF"/>
            <w:tcMar>
              <w:left w:w="67" w:type="dxa"/>
              <w:right w:w="67" w:type="dxa"/>
            </w:tcMar>
          </w:tcPr>
          <w:p w14:paraId="54C075D5" w14:textId="3121CB90" w:rsidR="001A028F" w:rsidRPr="00C26B77" w:rsidRDefault="0045352F" w:rsidP="00EB571E">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99.4</w:t>
            </w:r>
            <w:r w:rsidR="00EB571E">
              <w:rPr>
                <w:rFonts w:ascii="Times New Roman" w:hAnsi="Times New Roman" w:cs="Times New Roman"/>
                <w:color w:val="000000"/>
                <w:sz w:val="20"/>
                <w:szCs w:val="20"/>
              </w:rPr>
              <w:t>%</w:t>
            </w:r>
          </w:p>
        </w:tc>
        <w:tc>
          <w:tcPr>
            <w:tcW w:w="1364" w:type="dxa"/>
            <w:tcBorders>
              <w:top w:val="nil"/>
              <w:left w:val="nil"/>
              <w:bottom w:val="nil"/>
              <w:right w:val="nil"/>
            </w:tcBorders>
            <w:shd w:val="clear" w:color="auto" w:fill="FFFFFF"/>
            <w:tcMar>
              <w:left w:w="67" w:type="dxa"/>
              <w:right w:w="67" w:type="dxa"/>
            </w:tcMar>
          </w:tcPr>
          <w:p w14:paraId="7675605D" w14:textId="682C7A55" w:rsidR="001A028F" w:rsidRPr="00C26B77" w:rsidRDefault="0045352F" w:rsidP="00EB571E">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98.1</w:t>
            </w:r>
            <w:r w:rsidR="00EB571E">
              <w:rPr>
                <w:rFonts w:ascii="Times New Roman" w:hAnsi="Times New Roman" w:cs="Times New Roman"/>
                <w:color w:val="000000"/>
                <w:sz w:val="20"/>
                <w:szCs w:val="20"/>
              </w:rPr>
              <w:t>%</w:t>
            </w:r>
          </w:p>
        </w:tc>
        <w:tc>
          <w:tcPr>
            <w:tcW w:w="1364" w:type="dxa"/>
            <w:tcBorders>
              <w:top w:val="nil"/>
              <w:left w:val="nil"/>
              <w:bottom w:val="nil"/>
              <w:right w:val="nil"/>
            </w:tcBorders>
            <w:shd w:val="clear" w:color="auto" w:fill="FFFFFF"/>
            <w:tcMar>
              <w:left w:w="67" w:type="dxa"/>
              <w:right w:w="67" w:type="dxa"/>
            </w:tcMar>
          </w:tcPr>
          <w:p w14:paraId="0FFED6E2" w14:textId="72D91379" w:rsidR="001A028F" w:rsidRPr="00C26B77" w:rsidRDefault="00210815" w:rsidP="00EB571E">
            <w:pPr>
              <w:adjustRightInd w:val="0"/>
              <w:spacing w:before="67" w:after="67"/>
              <w:rPr>
                <w:rFonts w:ascii="Times New Roman" w:hAnsi="Times New Roman" w:cs="Times New Roman"/>
                <w:color w:val="000000"/>
                <w:sz w:val="20"/>
                <w:szCs w:val="20"/>
              </w:rPr>
            </w:pPr>
            <w:r>
              <w:rPr>
                <w:rFonts w:ascii="Times New Roman" w:hAnsi="Times New Roman" w:cs="Times New Roman"/>
                <w:color w:val="000000"/>
                <w:sz w:val="20"/>
                <w:szCs w:val="20"/>
              </w:rPr>
              <w:t>99.0</w:t>
            </w:r>
            <w:r w:rsidR="00EB571E">
              <w:rPr>
                <w:rFonts w:ascii="Times New Roman" w:hAnsi="Times New Roman" w:cs="Times New Roman"/>
                <w:color w:val="000000"/>
                <w:sz w:val="20"/>
                <w:szCs w:val="20"/>
              </w:rPr>
              <w:t>%</w:t>
            </w:r>
          </w:p>
        </w:tc>
      </w:tr>
    </w:tbl>
    <w:p w14:paraId="404AE61E" w14:textId="45685DD5" w:rsidR="00205931" w:rsidRPr="00C26B77" w:rsidRDefault="00D33C44" w:rsidP="00205931">
      <w:pPr>
        <w:rPr>
          <w:rFonts w:ascii="Times New Roman" w:hAnsi="Times New Roman" w:cs="Times New Roman"/>
          <w:sz w:val="20"/>
          <w:szCs w:val="20"/>
        </w:rPr>
      </w:pPr>
      <w:r>
        <w:rPr>
          <w:rFonts w:ascii="Times New Roman" w:hAnsi="Times New Roman" w:cs="Times New Roman"/>
          <w:b/>
          <w:bCs/>
          <w:sz w:val="20"/>
          <w:szCs w:val="20"/>
          <w:vertAlign w:val="superscript"/>
        </w:rPr>
        <w:t>2</w:t>
      </w:r>
      <w:r>
        <w:rPr>
          <w:rFonts w:ascii="Times New Roman" w:hAnsi="Times New Roman" w:cs="Times New Roman"/>
          <w:sz w:val="20"/>
          <w:szCs w:val="20"/>
        </w:rPr>
        <w:t>GAS: Rapid Group A Streptococcal testing</w:t>
      </w:r>
      <w:r>
        <w:rPr>
          <w:rFonts w:ascii="Times New Roman" w:hAnsi="Times New Roman" w:cs="Times New Roman"/>
          <w:sz w:val="20"/>
          <w:szCs w:val="20"/>
        </w:rPr>
        <w:br/>
      </w:r>
      <w:r w:rsidR="001A028F">
        <w:rPr>
          <w:rFonts w:ascii="Times New Roman" w:hAnsi="Times New Roman" w:cs="Times New Roman"/>
          <w:b/>
          <w:bCs/>
          <w:sz w:val="20"/>
          <w:szCs w:val="20"/>
        </w:rPr>
        <w:br/>
      </w:r>
      <w:r w:rsidR="00205931" w:rsidRPr="00C26B77">
        <w:rPr>
          <w:rFonts w:ascii="Times New Roman" w:hAnsi="Times New Roman" w:cs="Times New Roman"/>
          <w:b/>
          <w:bCs/>
          <w:sz w:val="20"/>
          <w:szCs w:val="20"/>
        </w:rPr>
        <w:t>†ICD10 Codes for Pharyngitis Encounters</w:t>
      </w:r>
      <w:r w:rsidR="00205931" w:rsidRPr="00C26B77">
        <w:rPr>
          <w:rFonts w:ascii="Times New Roman" w:hAnsi="Times New Roman" w:cs="Times New Roman"/>
          <w:sz w:val="20"/>
          <w:szCs w:val="20"/>
        </w:rPr>
        <w:br/>
        <w:t>J02.8 – Acute pharyngitis due to other specified organisms</w:t>
      </w:r>
      <w:r w:rsidR="00205931" w:rsidRPr="00C26B77">
        <w:rPr>
          <w:rFonts w:ascii="Times New Roman" w:hAnsi="Times New Roman" w:cs="Times New Roman"/>
          <w:sz w:val="20"/>
          <w:szCs w:val="20"/>
        </w:rPr>
        <w:br/>
        <w:t>J02.9 – Acute pharyngitis, unspecified</w:t>
      </w:r>
      <w:r w:rsidR="00205931" w:rsidRPr="00C26B77">
        <w:rPr>
          <w:rFonts w:ascii="Times New Roman" w:hAnsi="Times New Roman" w:cs="Times New Roman"/>
          <w:sz w:val="20"/>
          <w:szCs w:val="20"/>
        </w:rPr>
        <w:br/>
        <w:t>J03.80 – Acute tonsillitis due to other specified organisms</w:t>
      </w:r>
      <w:r w:rsidR="00205931" w:rsidRPr="00C26B77">
        <w:rPr>
          <w:rFonts w:ascii="Times New Roman" w:hAnsi="Times New Roman" w:cs="Times New Roman"/>
          <w:sz w:val="20"/>
          <w:szCs w:val="20"/>
        </w:rPr>
        <w:br/>
        <w:t>J03.90 – Acute tonsillitis, unspecified</w:t>
      </w:r>
      <w:r w:rsidR="00205931" w:rsidRPr="00C26B77">
        <w:rPr>
          <w:rFonts w:ascii="Times New Roman" w:hAnsi="Times New Roman" w:cs="Times New Roman"/>
          <w:sz w:val="20"/>
          <w:szCs w:val="20"/>
        </w:rPr>
        <w:br/>
        <w:t>J03.91 – Acute recurrent tonsillitis, unspecified</w:t>
      </w:r>
      <w:r w:rsidR="00205931" w:rsidRPr="00C26B77">
        <w:rPr>
          <w:rFonts w:ascii="Times New Roman" w:hAnsi="Times New Roman" w:cs="Times New Roman"/>
          <w:sz w:val="20"/>
          <w:szCs w:val="20"/>
        </w:rPr>
        <w:br/>
        <w:t>J06.0 – Acute laryngopharyngitis</w:t>
      </w:r>
      <w:r w:rsidR="00205931" w:rsidRPr="00C26B77">
        <w:rPr>
          <w:rFonts w:ascii="Times New Roman" w:hAnsi="Times New Roman" w:cs="Times New Roman"/>
          <w:sz w:val="20"/>
          <w:szCs w:val="20"/>
        </w:rPr>
        <w:br/>
        <w:t>J02.0 – Streptococcal pharyngitis</w:t>
      </w:r>
      <w:r w:rsidR="00205931" w:rsidRPr="00C26B77">
        <w:rPr>
          <w:rFonts w:ascii="Times New Roman" w:hAnsi="Times New Roman" w:cs="Times New Roman"/>
          <w:sz w:val="20"/>
          <w:szCs w:val="20"/>
        </w:rPr>
        <w:br/>
        <w:t>J03.00 – Acute streptococcal tonsillitis, unspecified</w:t>
      </w:r>
      <w:r w:rsidR="00205931" w:rsidRPr="00C26B77">
        <w:rPr>
          <w:rFonts w:ascii="Times New Roman" w:hAnsi="Times New Roman" w:cs="Times New Roman"/>
          <w:sz w:val="20"/>
          <w:szCs w:val="20"/>
        </w:rPr>
        <w:br/>
        <w:t>J03.01 – Acute recurrent streptococcal tonsillitis</w:t>
      </w:r>
      <w:r w:rsidR="00205931" w:rsidRPr="00C26B77">
        <w:rPr>
          <w:rFonts w:ascii="Times New Roman" w:hAnsi="Times New Roman" w:cs="Times New Roman"/>
          <w:sz w:val="20"/>
          <w:szCs w:val="20"/>
        </w:rPr>
        <w:br/>
      </w:r>
    </w:p>
    <w:p w14:paraId="11670BAE" w14:textId="74751DBB" w:rsidR="003C0EE4" w:rsidRPr="00295854" w:rsidRDefault="003C0EE4" w:rsidP="003C0EE4">
      <w:pPr>
        <w:spacing w:line="480" w:lineRule="auto"/>
        <w:rPr>
          <w:rFonts w:cstheme="minorHAnsi"/>
        </w:rPr>
      </w:pPr>
    </w:p>
    <w:sectPr w:rsidR="003C0EE4" w:rsidRPr="00295854" w:rsidSect="001A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AB"/>
    <w:rsid w:val="001A028F"/>
    <w:rsid w:val="001B57AB"/>
    <w:rsid w:val="001B7CAA"/>
    <w:rsid w:val="00205931"/>
    <w:rsid w:val="00210815"/>
    <w:rsid w:val="00266252"/>
    <w:rsid w:val="00295854"/>
    <w:rsid w:val="00363DB1"/>
    <w:rsid w:val="003C0EE4"/>
    <w:rsid w:val="003F0058"/>
    <w:rsid w:val="00447EEB"/>
    <w:rsid w:val="0045352F"/>
    <w:rsid w:val="005D3064"/>
    <w:rsid w:val="00760BDF"/>
    <w:rsid w:val="008D69E6"/>
    <w:rsid w:val="00910F22"/>
    <w:rsid w:val="00A43839"/>
    <w:rsid w:val="00B6675B"/>
    <w:rsid w:val="00BD4415"/>
    <w:rsid w:val="00C26B77"/>
    <w:rsid w:val="00C613DF"/>
    <w:rsid w:val="00C80A6B"/>
    <w:rsid w:val="00C82AEA"/>
    <w:rsid w:val="00CB0D0F"/>
    <w:rsid w:val="00D33C44"/>
    <w:rsid w:val="00EB571E"/>
    <w:rsid w:val="00F4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C20D"/>
  <w15:chartTrackingRefBased/>
  <w15:docId w15:val="{57893CCC-AB6F-4181-867E-DDD1DC6F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F22"/>
    <w:rPr>
      <w:color w:val="0563C1" w:themeColor="hyperlink"/>
      <w:u w:val="single"/>
    </w:rPr>
  </w:style>
  <w:style w:type="character" w:styleId="UnresolvedMention">
    <w:name w:val="Unresolved Mention"/>
    <w:basedOn w:val="DefaultParagraphFont"/>
    <w:uiPriority w:val="99"/>
    <w:semiHidden/>
    <w:unhideWhenUsed/>
    <w:rsid w:val="00447EEB"/>
    <w:rPr>
      <w:color w:val="605E5C"/>
      <w:shd w:val="clear" w:color="auto" w:fill="E1DFDD"/>
    </w:rPr>
  </w:style>
  <w:style w:type="paragraph" w:customStyle="1" w:styleId="EndNoteBibliography">
    <w:name w:val="EndNote Bibliography"/>
    <w:basedOn w:val="Normal"/>
    <w:link w:val="EndNoteBibliographyChar"/>
    <w:rsid w:val="00BD441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D441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Seibert</dc:creator>
  <cp:keywords/>
  <dc:description/>
  <cp:lastModifiedBy>Allan Seibert</cp:lastModifiedBy>
  <cp:revision>10</cp:revision>
  <dcterms:created xsi:type="dcterms:W3CDTF">2022-01-11T14:41:00Z</dcterms:created>
  <dcterms:modified xsi:type="dcterms:W3CDTF">2022-04-03T16:06:00Z</dcterms:modified>
</cp:coreProperties>
</file>