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698" w:rsidRPr="004E5F91" w:rsidRDefault="00456698" w:rsidP="00456698">
      <w:pPr>
        <w:spacing w:after="0" w:line="240" w:lineRule="auto"/>
        <w:contextualSpacing/>
        <w:rPr>
          <w:rFonts w:ascii="Arial" w:hAnsi="Arial" w:cs="Arial"/>
          <w:iCs/>
          <w:sz w:val="24"/>
          <w:szCs w:val="24"/>
        </w:rPr>
      </w:pPr>
      <w:r w:rsidRPr="004E5F91">
        <w:rPr>
          <w:rFonts w:ascii="Arial" w:hAnsi="Arial" w:cs="Arial"/>
          <w:b/>
          <w:iCs/>
          <w:sz w:val="24"/>
          <w:szCs w:val="24"/>
        </w:rPr>
        <w:t xml:space="preserve">Supplement 2. </w:t>
      </w:r>
      <w:r w:rsidRPr="00456698">
        <w:rPr>
          <w:rFonts w:ascii="Arial" w:hAnsi="Arial" w:cs="Arial"/>
          <w:b/>
          <w:bCs/>
          <w:iCs/>
          <w:sz w:val="24"/>
          <w:szCs w:val="24"/>
        </w:rPr>
        <w:t>Overview of survey responses</w:t>
      </w:r>
      <w:r w:rsidRPr="004E5F91">
        <w:rPr>
          <w:rFonts w:ascii="Arial" w:hAnsi="Arial" w:cs="Arial"/>
          <w:iCs/>
          <w:sz w:val="24"/>
          <w:szCs w:val="24"/>
        </w:rPr>
        <w:t xml:space="preserve"> </w:t>
      </w:r>
    </w:p>
    <w:p w:rsidR="00456698" w:rsidRPr="00A64722" w:rsidRDefault="00456698" w:rsidP="0045669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4675"/>
        <w:gridCol w:w="2700"/>
        <w:gridCol w:w="1620"/>
      </w:tblGrid>
      <w:tr w:rsidR="00456698" w:rsidRPr="0084082E" w:rsidTr="00F9064E">
        <w:tc>
          <w:tcPr>
            <w:tcW w:w="4675" w:type="dxa"/>
            <w:shd w:val="clear" w:color="auto" w:fill="A6A6A6" w:themeFill="background1" w:themeFillShade="A6"/>
          </w:tcPr>
          <w:p w:rsidR="00456698" w:rsidRPr="00A64722" w:rsidRDefault="00456698" w:rsidP="00F9064E">
            <w:pPr>
              <w:pStyle w:val="NormalWeb"/>
              <w:textAlignment w:val="baseline"/>
              <w:rPr>
                <w:rFonts w:ascii="Arial" w:hAnsi="Arial" w:cs="Arial"/>
                <w:b/>
              </w:rPr>
            </w:pPr>
            <w:r w:rsidRPr="00A64722">
              <w:rPr>
                <w:rFonts w:ascii="Arial" w:hAnsi="Arial" w:cs="Arial"/>
                <w:b/>
              </w:rPr>
              <w:t>Knowledge Questions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A64722">
              <w:rPr>
                <w:rFonts w:ascii="Arial" w:hAnsi="Arial" w:cs="Arial"/>
                <w:b/>
              </w:rPr>
              <w:t>Mean (SD)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A64722">
              <w:rPr>
                <w:rFonts w:ascii="Arial" w:hAnsi="Arial" w:cs="Arial"/>
                <w:b/>
              </w:rPr>
              <w:t>p-value</w:t>
            </w: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Pr="00A64722">
              <w:rPr>
                <w:rFonts w:ascii="Arial" w:hAnsi="Arial" w:cs="Arial"/>
              </w:rPr>
              <w:t>Knowledge score</w:t>
            </w:r>
            <w:r>
              <w:rPr>
                <w:rFonts w:ascii="Arial" w:hAnsi="Arial" w:cs="Arial"/>
              </w:rPr>
              <w:t xml:space="preserve"> (Indications + Collection)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9.93 (2.9)</w:t>
            </w:r>
          </w:p>
          <w:p w:rsidR="00456698" w:rsidRPr="00A64722" w:rsidRDefault="00456698" w:rsidP="00F9064E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Range 2-16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score (Indications only)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Arial" w:hAnsi="Arial" w:cs="Arial"/>
              </w:rPr>
            </w:pPr>
            <w:r w:rsidRPr="00093DAB">
              <w:rPr>
                <w:rFonts w:ascii="Arial" w:hAnsi="Arial" w:cs="Arial"/>
              </w:rPr>
              <w:t>7.02 (2.57)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Differences between shifts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.099</w:t>
            </w: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Day shift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10.21 (2.8)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Night shift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10.58 (3.0)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Rotating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9.06 (2.8)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Differences between units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.299</w:t>
            </w: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Neuroscience intensive care unit (n=57)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9.6 (2.9)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Neuroscience stepdown (n=29)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10.62 (3.1)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Urology-gynecology oncology unit (n=27)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9.81 (2.8)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Differences between degrees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.027</w:t>
            </w: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Diploma (=2)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12.5 (4.9)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ADN (n=10)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9.6 (2.8)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BSN (n=98)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9.76 (2.8)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MSN (n=4)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13.75 (1.5)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 xml:space="preserve">Differences between </w:t>
            </w:r>
            <w:r w:rsidR="003A0070">
              <w:rPr>
                <w:rFonts w:ascii="Arial" w:hAnsi="Arial" w:cs="Arial"/>
              </w:rPr>
              <w:t>gender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.244</w:t>
            </w: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M</w:t>
            </w:r>
            <w:r w:rsidR="003A0070">
              <w:rPr>
                <w:rFonts w:ascii="Arial" w:hAnsi="Arial" w:cs="Arial"/>
              </w:rPr>
              <w:t>en</w:t>
            </w:r>
            <w:r w:rsidRPr="00A64722">
              <w:rPr>
                <w:rFonts w:ascii="Arial" w:hAnsi="Arial" w:cs="Arial"/>
              </w:rPr>
              <w:t xml:space="preserve"> (n=10)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11.2 (2.8)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3A0070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</w:t>
            </w:r>
            <w:r w:rsidR="00456698" w:rsidRPr="00A64722">
              <w:rPr>
                <w:rFonts w:ascii="Arial" w:hAnsi="Arial" w:cs="Arial"/>
              </w:rPr>
              <w:t>(n=101)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9.82 (2.9)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3A0070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Gender </w:t>
            </w:r>
            <w:r w:rsidR="00456698" w:rsidRPr="00A64722">
              <w:rPr>
                <w:rFonts w:ascii="Arial" w:hAnsi="Arial" w:cs="Arial"/>
              </w:rPr>
              <w:t>variant (n=1)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Prefer to not answer (n=2)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11.0 (2.8)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Differences between age ranges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.003</w:t>
            </w: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20-29 (n=72)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9.14 (2.8)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30-39 (n=26)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11.54 (2.3)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40-49 (n=5)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11.2 (2.6)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50-59 (n=10)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10.6 (3.6)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60-69 (n=1)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Differences between years of experience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.002</w:t>
            </w: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2 years or less (n=53)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8.75 (2.5)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3-5 years (n=24)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10.33 (2.8)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6-8 years (n=12)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10.83 (3.6)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9-10 years (n=5)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12.2 (1.1)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11-15 years (n=8)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11.88 (1.8)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16-20 years (n=1)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Greater than 20 years (n=11)</w:t>
            </w: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  <w:r w:rsidRPr="00A64722">
              <w:rPr>
                <w:rFonts w:ascii="Arial" w:hAnsi="Arial" w:cs="Arial"/>
              </w:rPr>
              <w:t>11.27 (3.3)</w:t>
            </w: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56698" w:rsidRPr="0084082E" w:rsidTr="00F9064E">
        <w:tc>
          <w:tcPr>
            <w:tcW w:w="4675" w:type="dxa"/>
          </w:tcPr>
          <w:p w:rsidR="00456698" w:rsidRPr="00A64722" w:rsidRDefault="00456698" w:rsidP="00F9064E">
            <w:pPr>
              <w:pStyle w:val="NormalWeb"/>
              <w:jc w:val="righ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456698" w:rsidRPr="00A64722" w:rsidRDefault="00456698" w:rsidP="00F9064E">
            <w:pPr>
              <w:pStyle w:val="NormalWeb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456698" w:rsidRDefault="00456698" w:rsidP="00456698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456698" w:rsidRDefault="00456698" w:rsidP="00456698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472C7D" w:rsidRPr="00456698" w:rsidRDefault="00472C7D">
      <w:pPr>
        <w:rPr>
          <w:rFonts w:ascii="Arial" w:hAnsi="Arial" w:cs="Arial"/>
          <w:sz w:val="20"/>
          <w:szCs w:val="20"/>
        </w:rPr>
      </w:pPr>
    </w:p>
    <w:sectPr w:rsidR="00472C7D" w:rsidRPr="00456698" w:rsidSect="00497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98"/>
    <w:rsid w:val="0003710A"/>
    <w:rsid w:val="00043AA3"/>
    <w:rsid w:val="0007337A"/>
    <w:rsid w:val="0007455A"/>
    <w:rsid w:val="0008694B"/>
    <w:rsid w:val="000964AA"/>
    <w:rsid w:val="00110A0A"/>
    <w:rsid w:val="00184EED"/>
    <w:rsid w:val="00194286"/>
    <w:rsid w:val="001B23F1"/>
    <w:rsid w:val="001F3397"/>
    <w:rsid w:val="00286CCF"/>
    <w:rsid w:val="00351901"/>
    <w:rsid w:val="00357644"/>
    <w:rsid w:val="00363AB7"/>
    <w:rsid w:val="00366600"/>
    <w:rsid w:val="003A0070"/>
    <w:rsid w:val="003A031B"/>
    <w:rsid w:val="003E4F50"/>
    <w:rsid w:val="003F3861"/>
    <w:rsid w:val="00400790"/>
    <w:rsid w:val="00456698"/>
    <w:rsid w:val="0046673F"/>
    <w:rsid w:val="00472C7D"/>
    <w:rsid w:val="0049725F"/>
    <w:rsid w:val="00510213"/>
    <w:rsid w:val="005719C8"/>
    <w:rsid w:val="0057705B"/>
    <w:rsid w:val="005C6B65"/>
    <w:rsid w:val="005F0BD0"/>
    <w:rsid w:val="00610F46"/>
    <w:rsid w:val="006769EA"/>
    <w:rsid w:val="00695BE6"/>
    <w:rsid w:val="006C774E"/>
    <w:rsid w:val="006E2E2E"/>
    <w:rsid w:val="0077309B"/>
    <w:rsid w:val="007D0AB8"/>
    <w:rsid w:val="007F2F2D"/>
    <w:rsid w:val="007F6015"/>
    <w:rsid w:val="0080189E"/>
    <w:rsid w:val="00837A3B"/>
    <w:rsid w:val="00842AC5"/>
    <w:rsid w:val="0086433A"/>
    <w:rsid w:val="00880875"/>
    <w:rsid w:val="008959B7"/>
    <w:rsid w:val="00895FDB"/>
    <w:rsid w:val="008F5F1C"/>
    <w:rsid w:val="00954D9D"/>
    <w:rsid w:val="00965302"/>
    <w:rsid w:val="0096542A"/>
    <w:rsid w:val="00966381"/>
    <w:rsid w:val="009724E1"/>
    <w:rsid w:val="00980929"/>
    <w:rsid w:val="00986AE4"/>
    <w:rsid w:val="009C7742"/>
    <w:rsid w:val="009E2266"/>
    <w:rsid w:val="009F3418"/>
    <w:rsid w:val="00A110FD"/>
    <w:rsid w:val="00A21C4D"/>
    <w:rsid w:val="00A41ABC"/>
    <w:rsid w:val="00A47070"/>
    <w:rsid w:val="00A56B6F"/>
    <w:rsid w:val="00A83F1A"/>
    <w:rsid w:val="00AD6F77"/>
    <w:rsid w:val="00B22CAD"/>
    <w:rsid w:val="00B27B20"/>
    <w:rsid w:val="00B31DC2"/>
    <w:rsid w:val="00B543E4"/>
    <w:rsid w:val="00B66C15"/>
    <w:rsid w:val="00BD687E"/>
    <w:rsid w:val="00CB4BE4"/>
    <w:rsid w:val="00CB636D"/>
    <w:rsid w:val="00CC06D3"/>
    <w:rsid w:val="00D273C5"/>
    <w:rsid w:val="00D8652A"/>
    <w:rsid w:val="00DC1D61"/>
    <w:rsid w:val="00DD27C1"/>
    <w:rsid w:val="00DF4796"/>
    <w:rsid w:val="00DF59D7"/>
    <w:rsid w:val="00E93AD0"/>
    <w:rsid w:val="00EB3CEB"/>
    <w:rsid w:val="00F068A7"/>
    <w:rsid w:val="00F40CF2"/>
    <w:rsid w:val="00F4414B"/>
    <w:rsid w:val="00F877F8"/>
    <w:rsid w:val="00FA185C"/>
    <w:rsid w:val="00FA4067"/>
    <w:rsid w:val="00FB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6A192"/>
  <w15:chartTrackingRefBased/>
  <w15:docId w15:val="{0AB8AB4A-1B52-344F-BC52-8C48D33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9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45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566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uiPriority w:val="99"/>
    <w:rsid w:val="004566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Advani</dc:creator>
  <cp:keywords/>
  <dc:description/>
  <cp:lastModifiedBy>Sonali Advani</cp:lastModifiedBy>
  <cp:revision>2</cp:revision>
  <dcterms:created xsi:type="dcterms:W3CDTF">2023-01-14T16:02:00Z</dcterms:created>
  <dcterms:modified xsi:type="dcterms:W3CDTF">2023-01-16T13:38:00Z</dcterms:modified>
</cp:coreProperties>
</file>