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F2B76" w14:textId="77777777" w:rsidR="0035494F" w:rsidRPr="000A4F54" w:rsidRDefault="0035494F" w:rsidP="0035494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A4F54">
        <w:rPr>
          <w:rFonts w:ascii="Arial" w:hAnsi="Arial" w:cs="Arial"/>
          <w:b/>
          <w:bCs/>
          <w:sz w:val="22"/>
          <w:szCs w:val="22"/>
          <w:u w:val="single"/>
        </w:rPr>
        <w:t>Supplemental</w:t>
      </w:r>
    </w:p>
    <w:p w14:paraId="22732636" w14:textId="77777777" w:rsidR="0035494F" w:rsidRPr="000A4F54" w:rsidRDefault="0035494F" w:rsidP="0035494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68D9F03" w14:textId="28D9408C" w:rsidR="0035494F" w:rsidRPr="000A4F54" w:rsidRDefault="0035494F" w:rsidP="0035494F">
      <w:pPr>
        <w:rPr>
          <w:rFonts w:ascii="Arial" w:eastAsia="Arial" w:hAnsi="Arial" w:cs="Arial"/>
          <w:bCs/>
          <w:sz w:val="22"/>
          <w:szCs w:val="22"/>
        </w:rPr>
      </w:pPr>
      <w:r w:rsidRPr="000A4F54">
        <w:rPr>
          <w:rFonts w:ascii="Arial" w:eastAsia="Arial" w:hAnsi="Arial" w:cs="Arial"/>
          <w:bCs/>
          <w:sz w:val="22"/>
          <w:szCs w:val="22"/>
        </w:rPr>
        <w:t xml:space="preserve">Table S1: Definitions of Optimal </w:t>
      </w:r>
      <w:r w:rsidR="00B03963" w:rsidRPr="000A4F54">
        <w:rPr>
          <w:rFonts w:ascii="Arial" w:eastAsia="Arial" w:hAnsi="Arial" w:cs="Arial"/>
          <w:bCs/>
          <w:sz w:val="22"/>
          <w:szCs w:val="22"/>
        </w:rPr>
        <w:t xml:space="preserve">Antibiotic </w:t>
      </w:r>
      <w:r w:rsidRPr="000A4F54">
        <w:rPr>
          <w:rFonts w:ascii="Arial" w:eastAsia="Arial" w:hAnsi="Arial" w:cs="Arial"/>
          <w:bCs/>
          <w:sz w:val="22"/>
          <w:szCs w:val="22"/>
        </w:rPr>
        <w:t>Treatment</w:t>
      </w:r>
      <w:r w:rsidR="00903BB2" w:rsidRPr="000A4F54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>†</w:t>
      </w:r>
    </w:p>
    <w:tbl>
      <w:tblPr>
        <w:tblStyle w:val="NormalTable1"/>
        <w:tblW w:w="936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58" w:type="dxa"/>
          <w:right w:w="58" w:type="dxa"/>
        </w:tblCellMar>
        <w:tblLook w:val="0600" w:firstRow="0" w:lastRow="0" w:firstColumn="0" w:lastColumn="0" w:noHBand="1" w:noVBand="1"/>
      </w:tblPr>
      <w:tblGrid>
        <w:gridCol w:w="358"/>
        <w:gridCol w:w="622"/>
        <w:gridCol w:w="4732"/>
        <w:gridCol w:w="1824"/>
        <w:gridCol w:w="1824"/>
      </w:tblGrid>
      <w:tr w:rsidR="0035494F" w:rsidRPr="000A4F54" w14:paraId="1D296985" w14:textId="77777777" w:rsidTr="000A4F54">
        <w:trPr>
          <w:trHeight w:val="186"/>
        </w:trPr>
        <w:tc>
          <w:tcPr>
            <w:tcW w:w="9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A152C" w14:textId="77777777" w:rsidR="0035494F" w:rsidRPr="000A4F54" w:rsidRDefault="0035494F" w:rsidP="00583E2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99"/>
              <w:contextualSpacing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b/>
                <w:color w:val="auto"/>
                <w:sz w:val="18"/>
                <w:szCs w:val="18"/>
              </w:rPr>
              <w:t>Infection</w:t>
            </w:r>
          </w:p>
        </w:tc>
        <w:tc>
          <w:tcPr>
            <w:tcW w:w="4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B2614" w14:textId="77777777" w:rsidR="0035494F" w:rsidRPr="000A4F54" w:rsidRDefault="0035494F" w:rsidP="00583E2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b/>
                <w:color w:val="auto"/>
                <w:sz w:val="18"/>
                <w:szCs w:val="18"/>
              </w:rPr>
              <w:t>Definition of Optimal Treatment</w:t>
            </w:r>
          </w:p>
        </w:tc>
        <w:tc>
          <w:tcPr>
            <w:tcW w:w="1824" w:type="dxa"/>
          </w:tcPr>
          <w:p w14:paraId="59E0B916" w14:textId="77777777" w:rsidR="0035494F" w:rsidRPr="000A4F54" w:rsidRDefault="0035494F" w:rsidP="00583E2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b/>
                <w:color w:val="auto"/>
                <w:sz w:val="18"/>
                <w:szCs w:val="18"/>
              </w:rPr>
              <w:t>Guideline Used</w:t>
            </w:r>
          </w:p>
        </w:tc>
        <w:tc>
          <w:tcPr>
            <w:tcW w:w="1824" w:type="dxa"/>
          </w:tcPr>
          <w:p w14:paraId="72487801" w14:textId="22149A7C" w:rsidR="5321BE76" w:rsidRPr="000A4F54" w:rsidRDefault="5321BE76" w:rsidP="00E51DEE">
            <w:pPr>
              <w:pStyle w:val="Normal1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Secondary Analysis of Short Course Therapy</w:t>
            </w:r>
          </w:p>
        </w:tc>
      </w:tr>
      <w:tr w:rsidR="0035494F" w:rsidRPr="000A4F54" w14:paraId="47361552" w14:textId="77777777" w:rsidTr="000A4F54">
        <w:trPr>
          <w:trHeight w:val="978"/>
        </w:trPr>
        <w:tc>
          <w:tcPr>
            <w:tcW w:w="358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8C1D5B4" w14:textId="77777777" w:rsidR="0035494F" w:rsidRPr="000A4F54" w:rsidRDefault="0035494F" w:rsidP="00583E2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URTI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F3031AF" w14:textId="5F70F1D7" w:rsidR="0035494F" w:rsidRPr="000A4F54" w:rsidRDefault="7C3A597B" w:rsidP="3F3044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1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Bronchitis</w:t>
            </w:r>
          </w:p>
        </w:tc>
        <w:tc>
          <w:tcPr>
            <w:tcW w:w="4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C7E1F" w14:textId="3BAFD79B" w:rsidR="0035494F" w:rsidRPr="000A4F54" w:rsidRDefault="3890A15C" w:rsidP="3F304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Empiric antibiotics are not recommended; symptom relief is suggested </w:t>
            </w:r>
            <w:proofErr w:type="gramStart"/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instead..</w:t>
            </w:r>
            <w:proofErr w:type="gramEnd"/>
          </w:p>
          <w:p w14:paraId="035DC281" w14:textId="2EBFB960" w:rsidR="3F304429" w:rsidRPr="000A4F54" w:rsidRDefault="3F304429" w:rsidP="3F304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78D57DD" w14:textId="4DFDE252" w:rsidR="3890A15C" w:rsidRPr="000A4F54" w:rsidRDefault="3890A15C" w:rsidP="3F304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Zero days of antibiotic therapy are recommended. </w:t>
            </w:r>
          </w:p>
          <w:p w14:paraId="62E80DEA" w14:textId="15C8B04A" w:rsidR="0035494F" w:rsidRPr="000A4F54" w:rsidRDefault="0035494F" w:rsidP="3F304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24" w:type="dxa"/>
          </w:tcPr>
          <w:p w14:paraId="7B6AB1DB" w14:textId="03457729" w:rsidR="0035494F" w:rsidRPr="000A4F54" w:rsidRDefault="3890A15C" w:rsidP="3F304429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Institutional</w:t>
            </w:r>
          </w:p>
        </w:tc>
        <w:tc>
          <w:tcPr>
            <w:tcW w:w="1824" w:type="dxa"/>
          </w:tcPr>
          <w:p w14:paraId="1601EFE7" w14:textId="67D896A9" w:rsidR="10DAD93A" w:rsidRPr="000A4F54" w:rsidRDefault="10DAD93A" w:rsidP="00E51DEE">
            <w:pPr>
              <w:pStyle w:val="ListParagraph"/>
              <w:ind w:left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Zero </w:t>
            </w:r>
            <w:r w:rsidR="572034BF" w:rsidRPr="000A4F54">
              <w:rPr>
                <w:rFonts w:ascii="Arial" w:hAnsi="Arial" w:cs="Arial"/>
                <w:color w:val="auto"/>
                <w:sz w:val="18"/>
                <w:szCs w:val="18"/>
              </w:rPr>
              <w:t>days</w:t>
            </w:r>
          </w:p>
        </w:tc>
      </w:tr>
      <w:tr w:rsidR="0035494F" w:rsidRPr="000A4F54" w14:paraId="616E0E52" w14:textId="77777777" w:rsidTr="000A4F54">
        <w:trPr>
          <w:cantSplit/>
          <w:trHeight w:val="3687"/>
        </w:trPr>
        <w:tc>
          <w:tcPr>
            <w:tcW w:w="35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0DCC0E3" w14:textId="77777777" w:rsidR="0035494F" w:rsidRPr="000A4F54" w:rsidRDefault="0035494F" w:rsidP="00583E2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FE06CA1" w14:textId="77777777" w:rsidR="0035494F" w:rsidRPr="000A4F54" w:rsidRDefault="0035494F" w:rsidP="00583E2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Sinusitis</w:t>
            </w:r>
          </w:p>
        </w:tc>
        <w:tc>
          <w:tcPr>
            <w:tcW w:w="4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41DC0" w14:textId="77777777" w:rsidR="0035494F" w:rsidRPr="000A4F54" w:rsidRDefault="0035494F" w:rsidP="003D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ONLY consider treatment with antibiotics if patient meets criteria for acute BACTERIAL sinusitis which includes:</w:t>
            </w:r>
          </w:p>
          <w:p w14:paraId="7ECFB482" w14:textId="77777777" w:rsidR="003D33D8" w:rsidRPr="000A4F54" w:rsidRDefault="0035494F" w:rsidP="003D33D8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Persistent signs or symptoms lasting ≥ 10 days without evidence of clinical improvement</w:t>
            </w:r>
          </w:p>
          <w:p w14:paraId="6B860625" w14:textId="77777777" w:rsidR="003D33D8" w:rsidRPr="000A4F54" w:rsidRDefault="0035494F" w:rsidP="003D33D8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Severe symptoms or signs of high fever and purulent nasal discharge or facial pain lasting for ≥ 3-4 consecutive days at beginning of illness</w:t>
            </w:r>
          </w:p>
          <w:p w14:paraId="4BD03704" w14:textId="0EBC5E9B" w:rsidR="0035494F" w:rsidRPr="000A4F54" w:rsidRDefault="0035494F" w:rsidP="003D33D8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"Double sickening" with worsening symptoms or signs characterized by new onset of fever, headache, or increase in nasal discharge following typical viral upper respiratory infection that lasted 5-6 days and were initially improving</w:t>
            </w:r>
          </w:p>
          <w:p w14:paraId="44D6473C" w14:textId="77777777" w:rsidR="003D33D8" w:rsidRPr="000A4F54" w:rsidRDefault="003D33D8" w:rsidP="003D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DDB666E" w14:textId="76E185C8" w:rsidR="0035494F" w:rsidRPr="000A4F54" w:rsidRDefault="0035494F" w:rsidP="003D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Treatment Recommendations for Acute Bacterial Sinusitis:</w:t>
            </w:r>
          </w:p>
          <w:p w14:paraId="38E37E56" w14:textId="77777777" w:rsidR="003D33D8" w:rsidRPr="000A4F54" w:rsidRDefault="0035494F" w:rsidP="003D33D8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Watchful waiting: encourage for uncomplicated sinusitis with reliable follow-up</w:t>
            </w:r>
          </w:p>
          <w:p w14:paraId="3D9F163E" w14:textId="6301032B" w:rsidR="0035494F" w:rsidRPr="000A4F54" w:rsidRDefault="0035494F" w:rsidP="003D33D8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Amoxicillin/clavulanate 875 mg/125 mg twice daily by mouth</w:t>
            </w:r>
          </w:p>
          <w:p w14:paraId="41535C09" w14:textId="77777777" w:rsidR="003D33D8" w:rsidRPr="000A4F54" w:rsidRDefault="003D33D8" w:rsidP="003D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B2515C7" w14:textId="43FFA46A" w:rsidR="0035494F" w:rsidRPr="000A4F54" w:rsidRDefault="0035494F" w:rsidP="003D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Alternative Treatment for Patients with </w:t>
            </w:r>
            <w:r w:rsidRPr="000A4F54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β</w:t>
            </w: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-Lactam Allergy:</w:t>
            </w:r>
          </w:p>
          <w:p w14:paraId="78C1312E" w14:textId="3047B719" w:rsidR="0035494F" w:rsidRPr="000A4F54" w:rsidRDefault="003D33D8" w:rsidP="003D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="0035494F" w:rsidRPr="000A4F54">
              <w:rPr>
                <w:rFonts w:ascii="Arial" w:hAnsi="Arial" w:cs="Arial"/>
                <w:color w:val="auto"/>
                <w:sz w:val="18"/>
                <w:szCs w:val="18"/>
              </w:rPr>
              <w:t>Doxycycline 100 mg twice daily by mouth</w:t>
            </w:r>
          </w:p>
          <w:p w14:paraId="7B86E34E" w14:textId="77777777" w:rsidR="003D33D8" w:rsidRPr="000A4F54" w:rsidRDefault="003D33D8" w:rsidP="003D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688B344" w14:textId="13A6A7FA" w:rsidR="0035494F" w:rsidRPr="000A4F54" w:rsidRDefault="0035494F" w:rsidP="003D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Failure of Above Regimen or Suspected Resistance:</w:t>
            </w:r>
          </w:p>
          <w:p w14:paraId="6551ED6D" w14:textId="5FD72087" w:rsidR="0035494F" w:rsidRPr="000A4F54" w:rsidRDefault="003D33D8" w:rsidP="003D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="0035494F" w:rsidRPr="000A4F54">
              <w:rPr>
                <w:rFonts w:ascii="Arial" w:hAnsi="Arial" w:cs="Arial"/>
                <w:color w:val="auto"/>
                <w:sz w:val="18"/>
                <w:szCs w:val="18"/>
              </w:rPr>
              <w:t>Amoxicillin/clavulanate 2000 mg/125 mg XR twice daily by mouth</w:t>
            </w:r>
          </w:p>
          <w:p w14:paraId="130E5182" w14:textId="0EDBD75A" w:rsidR="0035494F" w:rsidRPr="000A4F54" w:rsidRDefault="003D33D8" w:rsidP="003D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="0035494F" w:rsidRPr="000A4F54">
              <w:rPr>
                <w:rFonts w:ascii="Arial" w:hAnsi="Arial" w:cs="Arial"/>
                <w:color w:val="auto"/>
                <w:sz w:val="18"/>
                <w:szCs w:val="18"/>
              </w:rPr>
              <w:t>Duration of 7-14 days</w:t>
            </w:r>
          </w:p>
        </w:tc>
        <w:tc>
          <w:tcPr>
            <w:tcW w:w="1824" w:type="dxa"/>
          </w:tcPr>
          <w:p w14:paraId="275992B6" w14:textId="77777777" w:rsidR="0035494F" w:rsidRPr="000A4F54" w:rsidRDefault="0035494F" w:rsidP="00583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- Recommended duration per NCCN</w:t>
            </w:r>
          </w:p>
          <w:p w14:paraId="325E2995" w14:textId="0EFB4BF5" w:rsidR="0035494F" w:rsidRPr="000A4F54" w:rsidRDefault="0035494F" w:rsidP="02466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- Recommended drug and dose per </w:t>
            </w:r>
            <w:r w:rsidR="4EACA361" w:rsidRPr="000A4F54">
              <w:rPr>
                <w:rFonts w:ascii="Arial" w:hAnsi="Arial" w:cs="Arial"/>
                <w:color w:val="auto"/>
                <w:sz w:val="18"/>
                <w:szCs w:val="18"/>
              </w:rPr>
              <w:t>institutional guideline</w:t>
            </w: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824" w:type="dxa"/>
          </w:tcPr>
          <w:p w14:paraId="72844652" w14:textId="06FB1FEC" w:rsidR="303AFD36" w:rsidRPr="000A4F54" w:rsidRDefault="303AFD36" w:rsidP="683BDF0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5 days</w:t>
            </w:r>
          </w:p>
        </w:tc>
      </w:tr>
      <w:tr w:rsidR="0035494F" w:rsidRPr="000A4F54" w14:paraId="4D126E45" w14:textId="77777777" w:rsidTr="000A4F54">
        <w:trPr>
          <w:trHeight w:val="300"/>
        </w:trPr>
        <w:tc>
          <w:tcPr>
            <w:tcW w:w="35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6284DC8" w14:textId="77777777" w:rsidR="0035494F" w:rsidRPr="000A4F54" w:rsidRDefault="0035494F" w:rsidP="00583E2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33CE45F" w14:textId="77777777" w:rsidR="0035494F" w:rsidRPr="000A4F54" w:rsidRDefault="0035494F" w:rsidP="00583E2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Pharyngitis</w:t>
            </w:r>
          </w:p>
        </w:tc>
        <w:tc>
          <w:tcPr>
            <w:tcW w:w="4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1EDE0" w14:textId="77777777" w:rsidR="0035494F" w:rsidRPr="000A4F54" w:rsidRDefault="0035494F" w:rsidP="0035494F">
            <w:pPr>
              <w:pStyle w:val="ListParagraph"/>
              <w:numPr>
                <w:ilvl w:val="0"/>
                <w:numId w:val="4"/>
              </w:numPr>
              <w:ind w:left="133" w:hanging="137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Viruses are the most common cause of pharyngitis in all age groups. Antimicrobial therapy is indicated ONLY if Group A streptococci (GAS/streptococcus pyogenes) is confirmed in the pharynx by rapid antigen detection testing or culture in patients with SYMPTOMATIC pharyngitis.</w:t>
            </w:r>
          </w:p>
          <w:p w14:paraId="3934D1CF" w14:textId="77777777" w:rsidR="003D33D8" w:rsidRPr="000A4F54" w:rsidRDefault="003D33D8" w:rsidP="003D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4DF6A49" w14:textId="0220A3B4" w:rsidR="0035494F" w:rsidRPr="000A4F54" w:rsidRDefault="0035494F" w:rsidP="003D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Treatment for Group A Streptococci:</w:t>
            </w:r>
          </w:p>
          <w:p w14:paraId="39FD7066" w14:textId="599DC0A2" w:rsidR="0035494F" w:rsidRPr="000A4F54" w:rsidRDefault="003D33D8" w:rsidP="003D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="0035494F"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Penicillin V (PO)500 mg </w:t>
            </w:r>
            <w:r w:rsidR="00FD7431" w:rsidRPr="000A4F54">
              <w:rPr>
                <w:rFonts w:ascii="Arial" w:hAnsi="Arial" w:cs="Arial"/>
                <w:color w:val="auto"/>
                <w:sz w:val="18"/>
                <w:szCs w:val="18"/>
              </w:rPr>
              <w:t>by mouth</w:t>
            </w:r>
            <w:r w:rsidR="0035494F"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FD7431"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twice daily </w:t>
            </w:r>
            <w:r w:rsidR="0035494F" w:rsidRPr="000A4F54">
              <w:rPr>
                <w:rFonts w:ascii="Arial" w:hAnsi="Arial" w:cs="Arial"/>
                <w:color w:val="auto"/>
                <w:sz w:val="18"/>
                <w:szCs w:val="18"/>
              </w:rPr>
              <w:t>for</w:t>
            </w:r>
            <w:r w:rsidR="00FD7431"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35494F" w:rsidRPr="000A4F54">
              <w:rPr>
                <w:rFonts w:ascii="Arial" w:hAnsi="Arial" w:cs="Arial"/>
                <w:color w:val="auto"/>
                <w:sz w:val="18"/>
                <w:szCs w:val="18"/>
              </w:rPr>
              <w:t>10 days; drug of choice</w:t>
            </w:r>
          </w:p>
          <w:p w14:paraId="4ACDD8E3" w14:textId="13F3DD66" w:rsidR="0035494F" w:rsidRPr="000A4F54" w:rsidRDefault="003D33D8" w:rsidP="003D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="0035494F"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Amoxicillin 500 mg </w:t>
            </w:r>
            <w:r w:rsidR="00FD7431"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by mouth twice daily </w:t>
            </w:r>
            <w:r w:rsidR="0035494F" w:rsidRPr="000A4F54">
              <w:rPr>
                <w:rFonts w:ascii="Arial" w:hAnsi="Arial" w:cs="Arial"/>
                <w:color w:val="auto"/>
                <w:sz w:val="18"/>
                <w:szCs w:val="18"/>
              </w:rPr>
              <w:t>for 10 days</w:t>
            </w:r>
          </w:p>
          <w:p w14:paraId="48068AA3" w14:textId="2212AAA2" w:rsidR="00FD7431" w:rsidRPr="000A4F54" w:rsidRDefault="003D33D8" w:rsidP="003D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="0035494F" w:rsidRPr="000A4F54">
              <w:rPr>
                <w:rFonts w:ascii="Arial" w:hAnsi="Arial" w:cs="Arial"/>
                <w:color w:val="auto"/>
                <w:sz w:val="18"/>
                <w:szCs w:val="18"/>
              </w:rPr>
              <w:t>Benzathine penicillin G</w:t>
            </w:r>
          </w:p>
          <w:p w14:paraId="7D711AC4" w14:textId="77777777" w:rsidR="003D33D8" w:rsidRPr="000A4F54" w:rsidRDefault="0035494F" w:rsidP="003D33D8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&lt; 27 kg: 600,000 units intramuscularly x 1 dose</w:t>
            </w:r>
          </w:p>
          <w:p w14:paraId="2F8D524C" w14:textId="07C72207" w:rsidR="0035494F" w:rsidRPr="000A4F54" w:rsidRDefault="0035494F" w:rsidP="003D33D8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&gt; 27 kg: 1,200,000 units intramuscularly x 1 dose</w:t>
            </w:r>
          </w:p>
          <w:p w14:paraId="5B9AEC2C" w14:textId="77777777" w:rsidR="0035494F" w:rsidRPr="000A4F54" w:rsidRDefault="0035494F" w:rsidP="003D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Alternative Treatment for Group A Streptococci for Patients with </w:t>
            </w:r>
            <w:r w:rsidRPr="000A4F54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β</w:t>
            </w: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-Lactam Allergy:</w:t>
            </w:r>
          </w:p>
          <w:p w14:paraId="61634786" w14:textId="0124F932" w:rsidR="0035494F" w:rsidRPr="000A4F54" w:rsidRDefault="003D33D8" w:rsidP="003D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="0035494F"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Cephalexin 500 mg </w:t>
            </w:r>
            <w:r w:rsidR="00FD7431"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by mouth twice daily </w:t>
            </w:r>
            <w:r w:rsidR="0035494F"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x 10 days; avoid in individuals with immediate type hypersensitivity </w:t>
            </w:r>
            <w:r w:rsidR="0035494F" w:rsidRPr="000A4F54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to penicillin.</w:t>
            </w:r>
          </w:p>
          <w:p w14:paraId="38BBBCF7" w14:textId="321D9050" w:rsidR="0035494F" w:rsidRPr="000A4F54" w:rsidRDefault="003D33D8" w:rsidP="003D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="0035494F"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Azithromycin – 500 mg </w:t>
            </w:r>
            <w:r w:rsidR="00FD7431"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by mouth daily </w:t>
            </w:r>
            <w:r w:rsidR="0035494F" w:rsidRPr="000A4F54">
              <w:rPr>
                <w:rFonts w:ascii="Arial" w:hAnsi="Arial" w:cs="Arial"/>
                <w:color w:val="auto"/>
                <w:sz w:val="18"/>
                <w:szCs w:val="18"/>
              </w:rPr>
              <w:t>on day 1 and 250</w:t>
            </w:r>
            <w:r w:rsidR="00FD7431"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35494F"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mg </w:t>
            </w:r>
            <w:r w:rsidR="00FD7431"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by mouth daily </w:t>
            </w:r>
            <w:r w:rsidR="0035494F" w:rsidRPr="000A4F54">
              <w:rPr>
                <w:rFonts w:ascii="Arial" w:hAnsi="Arial" w:cs="Arial"/>
                <w:color w:val="auto"/>
                <w:sz w:val="18"/>
                <w:szCs w:val="18"/>
              </w:rPr>
              <w:t>on day 2-5 (use only for severe β-lactam allergy)</w:t>
            </w:r>
          </w:p>
        </w:tc>
        <w:tc>
          <w:tcPr>
            <w:tcW w:w="1824" w:type="dxa"/>
          </w:tcPr>
          <w:p w14:paraId="154D2F0B" w14:textId="322771A9" w:rsidR="0035494F" w:rsidRPr="000A4F54" w:rsidRDefault="0035494F" w:rsidP="00583E2E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- Recommended drug, dose, duration per</w:t>
            </w:r>
            <w:r w:rsidR="690A641D"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 institutional guideline</w:t>
            </w: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824" w:type="dxa"/>
          </w:tcPr>
          <w:p w14:paraId="273EF2BE" w14:textId="66D8D5D6" w:rsidR="76FB7A82" w:rsidRPr="000A4F54" w:rsidRDefault="0B5D605D" w:rsidP="024660D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Oral beta-lactam therapy – 10 days</w:t>
            </w:r>
          </w:p>
          <w:p w14:paraId="1E47D037" w14:textId="187F9F1D" w:rsidR="76FB7A82" w:rsidRPr="000A4F54" w:rsidRDefault="76FB7A82" w:rsidP="024660D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A53B3A6" w14:textId="2F57A6B9" w:rsidR="76FB7A82" w:rsidRPr="000A4F54" w:rsidRDefault="787D2607" w:rsidP="024660D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Oral macrolide therapy</w:t>
            </w:r>
            <w:r w:rsidR="11C3F6C1"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 – </w:t>
            </w: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="76FB7A82"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11C3F6C1"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days </w:t>
            </w:r>
          </w:p>
          <w:p w14:paraId="2ED2CDE4" w14:textId="153ED231" w:rsidR="76FB7A82" w:rsidRPr="000A4F54" w:rsidRDefault="76FB7A82" w:rsidP="024660D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85FC0D1" w14:textId="75C8044A" w:rsidR="76FB7A82" w:rsidRPr="000A4F54" w:rsidRDefault="11C3F6C1" w:rsidP="683BDF0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Intramuscular therapy – 1 dose </w:t>
            </w:r>
          </w:p>
        </w:tc>
      </w:tr>
      <w:tr w:rsidR="00FF3FBD" w:rsidRPr="000A4F54" w14:paraId="005C98F0" w14:textId="77777777" w:rsidTr="000A4F54">
        <w:trPr>
          <w:cantSplit/>
          <w:trHeight w:val="1599"/>
        </w:trPr>
        <w:tc>
          <w:tcPr>
            <w:tcW w:w="358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71D2C86" w14:textId="22F52328" w:rsidR="00FF3FBD" w:rsidRPr="000A4F54" w:rsidRDefault="00FF3FBD" w:rsidP="2645F2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LRTI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47A18AB9" w14:textId="181C33B0" w:rsidR="00FF3FBD" w:rsidRPr="000A4F54" w:rsidRDefault="00FF3FBD" w:rsidP="00583E2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CAP</w:t>
            </w:r>
          </w:p>
        </w:tc>
        <w:tc>
          <w:tcPr>
            <w:tcW w:w="4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1FA42" w14:textId="3970B0D5" w:rsidR="00FF3FBD" w:rsidRPr="000A4F54" w:rsidRDefault="00FF3FBD" w:rsidP="0035494F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hanging="137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Amoxicillin/clavulanate (2,000/125 mg </w:t>
            </w:r>
            <w:r w:rsidR="00FD7431" w:rsidRPr="000A4F54">
              <w:rPr>
                <w:rFonts w:ascii="Arial" w:hAnsi="Arial" w:cs="Arial"/>
                <w:color w:val="auto"/>
                <w:sz w:val="18"/>
                <w:szCs w:val="18"/>
              </w:rPr>
              <w:t>by mouth twice daily</w:t>
            </w:r>
            <w:r w:rsidR="00FD7431" w:rsidRPr="000A4F54" w:rsidDel="00FD7431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or 875/125 mg</w:t>
            </w:r>
            <w:r w:rsidR="00FD7431"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 by mouth three times daily</w:t>
            </w: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) and azithromycin 500 mg daily</w:t>
            </w:r>
          </w:p>
          <w:p w14:paraId="1F2A66D5" w14:textId="36B5D52C" w:rsidR="00FF3FBD" w:rsidRPr="000A4F54" w:rsidRDefault="00FF3FBD" w:rsidP="0035494F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hanging="137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Amoxicillin/clavulanate (2,000/125 mg </w:t>
            </w:r>
            <w:r w:rsidR="00FD7431" w:rsidRPr="000A4F54">
              <w:rPr>
                <w:rFonts w:ascii="Arial" w:hAnsi="Arial" w:cs="Arial"/>
                <w:color w:val="auto"/>
                <w:sz w:val="18"/>
                <w:szCs w:val="18"/>
              </w:rPr>
              <w:t>by mouth</w:t>
            </w:r>
            <w:r w:rsidR="00FD7431" w:rsidRPr="000A4F54" w:rsidDel="00FD7431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FD7431"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twice daily </w:t>
            </w: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or 875/125 mg </w:t>
            </w:r>
            <w:r w:rsidR="003D33D8"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by mouth </w:t>
            </w: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three times </w:t>
            </w:r>
            <w:r w:rsidR="00FD7431" w:rsidRPr="000A4F54">
              <w:rPr>
                <w:rFonts w:ascii="Arial" w:hAnsi="Arial" w:cs="Arial"/>
                <w:color w:val="auto"/>
                <w:sz w:val="18"/>
                <w:szCs w:val="18"/>
              </w:rPr>
              <w:t>daily</w:t>
            </w: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) and doxycycline 100 mg </w:t>
            </w:r>
            <w:r w:rsidR="003D33D8" w:rsidRPr="000A4F54">
              <w:rPr>
                <w:rFonts w:ascii="Arial" w:hAnsi="Arial" w:cs="Arial"/>
                <w:color w:val="auto"/>
                <w:sz w:val="18"/>
                <w:szCs w:val="18"/>
              </w:rPr>
              <w:t>by mouth twice daily</w:t>
            </w:r>
          </w:p>
          <w:p w14:paraId="38B7BD57" w14:textId="1057172D" w:rsidR="00FF3FBD" w:rsidRPr="000A4F54" w:rsidRDefault="00FF3FBD" w:rsidP="0035494F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hanging="137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Levofloxacin 750 mg </w:t>
            </w:r>
            <w:r w:rsidR="003D33D8" w:rsidRPr="000A4F54">
              <w:rPr>
                <w:rFonts w:ascii="Arial" w:hAnsi="Arial" w:cs="Arial"/>
                <w:color w:val="auto"/>
                <w:sz w:val="18"/>
                <w:szCs w:val="18"/>
              </w:rPr>
              <w:t>by mouth daily</w:t>
            </w: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7BE782C7" w14:textId="30AF20C5" w:rsidR="00FF3FBD" w:rsidRPr="000A4F54" w:rsidRDefault="00FF3FBD" w:rsidP="0035494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hanging="137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Moxifloxacin 400 mg </w:t>
            </w:r>
            <w:r w:rsidR="003D33D8" w:rsidRPr="000A4F54">
              <w:rPr>
                <w:rFonts w:ascii="Arial" w:hAnsi="Arial" w:cs="Arial"/>
                <w:color w:val="auto"/>
                <w:sz w:val="18"/>
                <w:szCs w:val="18"/>
              </w:rPr>
              <w:t>by mouth daily</w:t>
            </w:r>
          </w:p>
          <w:p w14:paraId="7B90F3C4" w14:textId="77909F0F" w:rsidR="00FF3FBD" w:rsidRPr="000A4F54" w:rsidRDefault="00FF3FBD" w:rsidP="0035494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hanging="137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Duration of 5-14 days </w:t>
            </w:r>
          </w:p>
        </w:tc>
        <w:tc>
          <w:tcPr>
            <w:tcW w:w="1824" w:type="dxa"/>
          </w:tcPr>
          <w:p w14:paraId="02E4A091" w14:textId="77777777" w:rsidR="00FF3FBD" w:rsidRPr="000A4F54" w:rsidRDefault="00FF3FBD" w:rsidP="00583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- Recommended duration per NCCN</w:t>
            </w:r>
          </w:p>
          <w:p w14:paraId="17F07F9E" w14:textId="26DF74FD" w:rsidR="00FF3FBD" w:rsidRPr="000A4F54" w:rsidRDefault="00FF3FBD" w:rsidP="02466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- Recommended drug and dose </w:t>
            </w:r>
            <w:proofErr w:type="gramStart"/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per </w:t>
            </w:r>
            <w:r w:rsidR="450BA53E"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 institutional</w:t>
            </w:r>
            <w:proofErr w:type="gramEnd"/>
            <w:r w:rsidR="450BA53E"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 guideline</w:t>
            </w: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824" w:type="dxa"/>
          </w:tcPr>
          <w:p w14:paraId="6FC1BF4D" w14:textId="5E2F1CF0" w:rsidR="2E3F1DC5" w:rsidRPr="000A4F54" w:rsidRDefault="2E3F1DC5" w:rsidP="683BDF0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5 days</w:t>
            </w:r>
          </w:p>
        </w:tc>
      </w:tr>
      <w:tr w:rsidR="00FF3FBD" w:rsidRPr="000A4F54" w14:paraId="65175028" w14:textId="77777777" w:rsidTr="000A4F54">
        <w:trPr>
          <w:cantSplit/>
          <w:trHeight w:val="1473"/>
        </w:trPr>
        <w:tc>
          <w:tcPr>
            <w:tcW w:w="35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78FC25E" w14:textId="77777777" w:rsidR="00FF3FBD" w:rsidRPr="000A4F54" w:rsidDel="00FF3FBD" w:rsidRDefault="00FF3FBD" w:rsidP="00583E2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31204486" w14:textId="4719FF58" w:rsidR="00FF3FBD" w:rsidRPr="000A4F54" w:rsidRDefault="00FF3FBD" w:rsidP="3F3044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COPD Exacerbation</w:t>
            </w:r>
          </w:p>
        </w:tc>
        <w:tc>
          <w:tcPr>
            <w:tcW w:w="4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AB267" w14:textId="3E428BBE" w:rsidR="00FF3FBD" w:rsidRPr="000A4F54" w:rsidRDefault="003D33D8" w:rsidP="3F304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="08F94D2A"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Doxycycline 100 mg </w:t>
            </w: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by mouth </w:t>
            </w:r>
            <w:r w:rsidR="08F94D2A"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twice daily </w:t>
            </w:r>
            <w:r w:rsidR="00FD7431" w:rsidRPr="000A4F54">
              <w:rPr>
                <w:rFonts w:ascii="Arial" w:hAnsi="Arial" w:cs="Arial"/>
                <w:color w:val="auto"/>
                <w:sz w:val="18"/>
                <w:szCs w:val="18"/>
              </w:rPr>
              <w:t>for 5 days</w:t>
            </w:r>
          </w:p>
          <w:p w14:paraId="4B83AA80" w14:textId="2FB48FE4" w:rsidR="00FF3FBD" w:rsidRPr="000A4F54" w:rsidRDefault="00FF3FBD" w:rsidP="3F304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DF1A13F" w14:textId="2BC89E97" w:rsidR="00FF3FBD" w:rsidRPr="000A4F54" w:rsidRDefault="08F94D2A" w:rsidP="3F304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Alternative: azithromycin 500 mg </w:t>
            </w:r>
            <w:r w:rsidR="003D33D8"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by mouth </w:t>
            </w: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for </w:t>
            </w:r>
            <w:r w:rsidR="00FD7431"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1 </w:t>
            </w: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dose, then azithromycin 250 mg </w:t>
            </w:r>
            <w:r w:rsidR="003D33D8"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by mouth </w:t>
            </w: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for </w:t>
            </w:r>
            <w:r w:rsidR="00FD7431"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4 </w:t>
            </w: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days. </w:t>
            </w:r>
          </w:p>
        </w:tc>
        <w:tc>
          <w:tcPr>
            <w:tcW w:w="1824" w:type="dxa"/>
          </w:tcPr>
          <w:p w14:paraId="79C3BC2F" w14:textId="207102FE" w:rsidR="00FF3FBD" w:rsidRPr="000A4F54" w:rsidRDefault="7605D2CF" w:rsidP="02466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- Recommended drug, dose, duration per </w:t>
            </w:r>
            <w:r w:rsidR="00FD7431" w:rsidRPr="000A4F54">
              <w:rPr>
                <w:rFonts w:ascii="Arial" w:hAnsi="Arial" w:cs="Arial"/>
                <w:color w:val="auto"/>
                <w:sz w:val="18"/>
                <w:szCs w:val="18"/>
              </w:rPr>
              <w:t>institutional</w:t>
            </w:r>
            <w:r w:rsidR="531F118F"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 guideline</w:t>
            </w:r>
          </w:p>
        </w:tc>
        <w:tc>
          <w:tcPr>
            <w:tcW w:w="1824" w:type="dxa"/>
          </w:tcPr>
          <w:p w14:paraId="7085391B" w14:textId="19AD3E01" w:rsidR="0E32DCB7" w:rsidRPr="000A4F54" w:rsidRDefault="0E32DCB7" w:rsidP="683BDF0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5 days</w:t>
            </w:r>
            <w:r w:rsidR="072F46B2"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FD7431" w:rsidRPr="000A4F54" w14:paraId="1A879C63" w14:textId="77777777" w:rsidTr="000A4F54">
        <w:trPr>
          <w:cantSplit/>
          <w:trHeight w:val="1662"/>
        </w:trPr>
        <w:tc>
          <w:tcPr>
            <w:tcW w:w="3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B63CCB5" w14:textId="77777777" w:rsidR="00FD7431" w:rsidRPr="000A4F54" w:rsidRDefault="00FD7431" w:rsidP="00583E2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ABSSSI</w:t>
            </w:r>
          </w:p>
        </w:tc>
        <w:tc>
          <w:tcPr>
            <w:tcW w:w="622" w:type="dxa"/>
            <w:shd w:val="clear" w:color="auto" w:fill="auto"/>
            <w:textDirection w:val="btLr"/>
            <w:vAlign w:val="center"/>
          </w:tcPr>
          <w:p w14:paraId="3EB12B53" w14:textId="77777777" w:rsidR="00FD7431" w:rsidRPr="000A4F54" w:rsidRDefault="00FD7431" w:rsidP="00583E2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bCs/>
                <w:color w:val="auto"/>
                <w:sz w:val="18"/>
                <w:szCs w:val="18"/>
              </w:rPr>
              <w:t>Non-purulent Cellulitis</w:t>
            </w:r>
          </w:p>
        </w:tc>
        <w:tc>
          <w:tcPr>
            <w:tcW w:w="4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7E2D9" w14:textId="75E3C499" w:rsidR="00FD7431" w:rsidRPr="000A4F54" w:rsidRDefault="00FD7431" w:rsidP="0035494F">
            <w:pPr>
              <w:pStyle w:val="ListParagraph"/>
              <w:numPr>
                <w:ilvl w:val="0"/>
                <w:numId w:val="5"/>
              </w:numPr>
              <w:shd w:val="clear" w:color="auto" w:fill="FFFFFF"/>
              <w:tabs>
                <w:tab w:val="clear" w:pos="360"/>
                <w:tab w:val="num" w:pos="170"/>
              </w:tabs>
              <w:ind w:left="80" w:hanging="8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Cephalexin 500 mg to 1000 mg </w:t>
            </w:r>
            <w:r w:rsidR="003D33D8" w:rsidRPr="000A4F5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by mouth </w:t>
            </w:r>
            <w:r w:rsidRPr="000A4F5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every 6 </w:t>
            </w:r>
            <w:proofErr w:type="gramStart"/>
            <w:r w:rsidRPr="000A4F5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hours;</w:t>
            </w:r>
            <w:proofErr w:type="gramEnd"/>
            <w:r w:rsidRPr="000A4F5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drug of choice. Use 1000 mg dose in obese patients.</w:t>
            </w:r>
          </w:p>
          <w:p w14:paraId="4E26748D" w14:textId="7F662BE5" w:rsidR="00FD7431" w:rsidRPr="000A4F54" w:rsidRDefault="00FD7431" w:rsidP="0035494F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360"/>
                <w:tab w:val="num" w:pos="170"/>
              </w:tabs>
              <w:ind w:left="80" w:hanging="80"/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Dicloxacillin 500 mg </w:t>
            </w:r>
            <w:r w:rsidR="003D33D8" w:rsidRPr="000A4F5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by mouth </w:t>
            </w:r>
            <w:r w:rsidRPr="000A4F5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every 6 hours </w:t>
            </w:r>
          </w:p>
          <w:p w14:paraId="34521745" w14:textId="07B17DEF" w:rsidR="00FD7431" w:rsidRPr="000A4F54" w:rsidRDefault="00FD7431" w:rsidP="0035494F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360"/>
                <w:tab w:val="num" w:pos="170"/>
              </w:tabs>
              <w:ind w:left="80" w:hanging="80"/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Clindamycin 300-450 mg </w:t>
            </w:r>
            <w:r w:rsidR="003D33D8" w:rsidRPr="000A4F5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by mouth </w:t>
            </w:r>
            <w:r w:rsidRPr="000A4F5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three times daily; Reserve ONLY for patients unable to tolerate other therapies and monitor carefully for clinical response/failure.</w:t>
            </w:r>
          </w:p>
          <w:p w14:paraId="4C5387EF" w14:textId="70A0FE54" w:rsidR="00FD7431" w:rsidRPr="000A4F54" w:rsidRDefault="00FD7431" w:rsidP="00E51DEE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clear" w:pos="360"/>
                <w:tab w:val="num" w:pos="170"/>
              </w:tabs>
              <w:ind w:left="80" w:hanging="80"/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Duration of 5-14 days </w:t>
            </w:r>
          </w:p>
        </w:tc>
        <w:tc>
          <w:tcPr>
            <w:tcW w:w="1824" w:type="dxa"/>
          </w:tcPr>
          <w:p w14:paraId="3B92BBCF" w14:textId="77777777" w:rsidR="00FD7431" w:rsidRPr="000A4F54" w:rsidRDefault="00FD7431" w:rsidP="00583E2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- Recommended duration per NCCN</w:t>
            </w:r>
          </w:p>
          <w:p w14:paraId="073BC1D4" w14:textId="4A78D8E7" w:rsidR="00FD7431" w:rsidRPr="000A4F54" w:rsidRDefault="00FD7431" w:rsidP="1F9292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- Recommended drug and dose per institutional guideline</w:t>
            </w:r>
          </w:p>
        </w:tc>
        <w:tc>
          <w:tcPr>
            <w:tcW w:w="1824" w:type="dxa"/>
          </w:tcPr>
          <w:p w14:paraId="28889646" w14:textId="436EDB1C" w:rsidR="00FD7431" w:rsidRPr="000A4F54" w:rsidRDefault="00FD7431" w:rsidP="00E51DEE">
            <w:pPr>
              <w:pStyle w:val="Normal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5 days </w:t>
            </w:r>
          </w:p>
          <w:p w14:paraId="7888FADF" w14:textId="4AD1A2EE" w:rsidR="00FD7431" w:rsidRPr="000A4F54" w:rsidRDefault="00FD7431" w:rsidP="683BDF01">
            <w:pPr>
              <w:pStyle w:val="Normal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E200F24" w14:textId="47790930" w:rsidR="00FD7431" w:rsidRPr="000A4F54" w:rsidRDefault="00FD7431" w:rsidP="683BDF01">
            <w:pPr>
              <w:pStyle w:val="Normal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1A8B0B1" w14:textId="799BBBEB" w:rsidR="00FD7431" w:rsidRPr="000A4F54" w:rsidRDefault="00FD7431" w:rsidP="683BDF01">
            <w:pPr>
              <w:pStyle w:val="Normal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9CE4BDF" w14:textId="50A5A951" w:rsidR="00FD7431" w:rsidRPr="000A4F54" w:rsidRDefault="00FD7431" w:rsidP="683BDF01">
            <w:pPr>
              <w:pStyle w:val="Normal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D4C92E9" w14:textId="6EB62CEB" w:rsidR="00FD7431" w:rsidRPr="000A4F54" w:rsidRDefault="00FD7431" w:rsidP="683BDF01">
            <w:pPr>
              <w:pStyle w:val="Normal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D7431" w:rsidRPr="000A4F54" w14:paraId="25953F58" w14:textId="77777777" w:rsidTr="00286F75">
        <w:trPr>
          <w:cantSplit/>
          <w:trHeight w:val="1134"/>
        </w:trPr>
        <w:tc>
          <w:tcPr>
            <w:tcW w:w="35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F87488C" w14:textId="77777777" w:rsidR="00FD7431" w:rsidRPr="000A4F54" w:rsidRDefault="00FD7431" w:rsidP="00583E2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textDirection w:val="btLr"/>
            <w:vAlign w:val="center"/>
          </w:tcPr>
          <w:p w14:paraId="63F700BE" w14:textId="77777777" w:rsidR="00FD7431" w:rsidRPr="000A4F54" w:rsidRDefault="00FD7431" w:rsidP="00583E2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bCs/>
                <w:color w:val="auto"/>
                <w:sz w:val="18"/>
                <w:szCs w:val="18"/>
              </w:rPr>
              <w:t>Purulent Cellulitis</w:t>
            </w:r>
          </w:p>
        </w:tc>
        <w:tc>
          <w:tcPr>
            <w:tcW w:w="4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469B8" w14:textId="69A801E2" w:rsidR="00FD7431" w:rsidRPr="000A4F54" w:rsidRDefault="00FD7431" w:rsidP="2645F29F">
            <w:pPr>
              <w:shd w:val="clear" w:color="auto" w:fill="FFFFFF" w:themeFill="background1"/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Purulent Cellulitis is defined as cellulitis associated with an exudate or purulent drainage. Coverage for methicillin resistant </w:t>
            </w:r>
            <w:r w:rsidRPr="000A4F54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</w:rPr>
              <w:t>Staphylococcus aureus</w:t>
            </w:r>
            <w:r w:rsidRPr="000A4F5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infection is recommended.</w:t>
            </w:r>
          </w:p>
          <w:p w14:paraId="6D5D2CC4" w14:textId="77777777" w:rsidR="003D33D8" w:rsidRPr="000A4F54" w:rsidRDefault="003D33D8" w:rsidP="2645F29F">
            <w:pPr>
              <w:shd w:val="clear" w:color="auto" w:fill="FFFFFF" w:themeFill="background1"/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76B87282" w14:textId="35BA3542" w:rsidR="00FD7431" w:rsidRPr="000A4F54" w:rsidRDefault="003D33D8" w:rsidP="003D33D8">
            <w:pPr>
              <w:shd w:val="clear" w:color="auto" w:fill="FFFFFF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-</w:t>
            </w:r>
            <w:r w:rsidR="00FD7431" w:rsidRPr="000A4F5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Trimethoprim/sulfamethoxazole DS 160/800 mg by mouth twice daily for 5 days</w:t>
            </w:r>
          </w:p>
          <w:p w14:paraId="1D0DEE0C" w14:textId="7767F042" w:rsidR="00FD7431" w:rsidRPr="000A4F54" w:rsidRDefault="003D33D8" w:rsidP="003D33D8">
            <w:pPr>
              <w:shd w:val="clear" w:color="auto" w:fill="FFFFFF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-</w:t>
            </w:r>
            <w:r w:rsidR="00FD7431" w:rsidRPr="000A4F5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Doxycycline 100 mg by mouth twice daily</w:t>
            </w:r>
          </w:p>
          <w:p w14:paraId="463F063F" w14:textId="77777777" w:rsidR="003D33D8" w:rsidRPr="000A4F54" w:rsidRDefault="003D33D8" w:rsidP="003D33D8">
            <w:pPr>
              <w:shd w:val="clear" w:color="auto" w:fill="FFFFFF" w:themeFill="background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-</w:t>
            </w:r>
            <w:r w:rsidR="00FD7431" w:rsidRPr="000A4F5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Clindamycin 300-450 mg by mouth three times daily. Reserve ONLY for patients unable to tolerate other therapies due to a high proportion of resistant </w:t>
            </w:r>
            <w:r w:rsidR="00FD7431" w:rsidRPr="000A4F54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</w:rPr>
              <w:t>S. aureus</w:t>
            </w:r>
            <w:r w:rsidR="00FD7431" w:rsidRPr="000A4F5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and monitor carefully for clinical response/failure.</w:t>
            </w:r>
          </w:p>
          <w:p w14:paraId="3A720FE9" w14:textId="5123DF88" w:rsidR="003D33D8" w:rsidRPr="000A4F54" w:rsidRDefault="003D33D8" w:rsidP="003D33D8">
            <w:pPr>
              <w:shd w:val="clear" w:color="auto" w:fill="FFFFFF" w:themeFill="background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-Duration of 5-14 days </w:t>
            </w:r>
          </w:p>
        </w:tc>
        <w:tc>
          <w:tcPr>
            <w:tcW w:w="1824" w:type="dxa"/>
          </w:tcPr>
          <w:p w14:paraId="44D93769" w14:textId="77777777" w:rsidR="00FD7431" w:rsidRPr="000A4F54" w:rsidRDefault="00FD7431" w:rsidP="00583E2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- Recommended duration per NCCN</w:t>
            </w:r>
          </w:p>
          <w:p w14:paraId="5C2F81D9" w14:textId="1925EBCA" w:rsidR="00FD7431" w:rsidRPr="000A4F54" w:rsidRDefault="00FD7431" w:rsidP="1F9292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- Recommended drug and dose per institutional guideline</w:t>
            </w:r>
          </w:p>
        </w:tc>
        <w:tc>
          <w:tcPr>
            <w:tcW w:w="1824" w:type="dxa"/>
          </w:tcPr>
          <w:p w14:paraId="4D4A1773" w14:textId="10A5E7F1" w:rsidR="00FD7431" w:rsidRPr="000A4F54" w:rsidRDefault="00FD7431" w:rsidP="683BDF0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5 days</w:t>
            </w:r>
          </w:p>
        </w:tc>
      </w:tr>
      <w:tr w:rsidR="00FD7431" w:rsidRPr="000A4F54" w14:paraId="04D59171" w14:textId="77777777" w:rsidTr="00286F75">
        <w:trPr>
          <w:cantSplit/>
          <w:trHeight w:val="1134"/>
        </w:trPr>
        <w:tc>
          <w:tcPr>
            <w:tcW w:w="35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B07C21C" w14:textId="078E1DB1" w:rsidR="00FD7431" w:rsidRPr="000A4F54" w:rsidRDefault="00FD7431" w:rsidP="00E51DEE">
            <w:pPr>
              <w:pStyle w:val="Normal1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textDirection w:val="btLr"/>
            <w:vAlign w:val="center"/>
          </w:tcPr>
          <w:p w14:paraId="08450AE0" w14:textId="087934C1" w:rsidR="00FD7431" w:rsidRPr="000A4F54" w:rsidRDefault="00FD7431" w:rsidP="3F304429">
            <w:pPr>
              <w:pStyle w:val="Normal1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Bites</w:t>
            </w:r>
          </w:p>
        </w:tc>
        <w:tc>
          <w:tcPr>
            <w:tcW w:w="4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F182F" w14:textId="5C599B5B" w:rsidR="00FD7431" w:rsidRPr="000A4F54" w:rsidRDefault="00FD7431" w:rsidP="3F3044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Amoxicillin-clavulanate 875mg/125mg oral twice daily, or</w:t>
            </w:r>
          </w:p>
          <w:p w14:paraId="0E57EBA7" w14:textId="613A61CE" w:rsidR="00FD7431" w:rsidRPr="000A4F54" w:rsidRDefault="00FD7431" w:rsidP="3F3044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Doxycycline 100mg oral twice daily or</w:t>
            </w:r>
          </w:p>
          <w:p w14:paraId="3BE92982" w14:textId="4FAAE442" w:rsidR="00FD7431" w:rsidRPr="000A4F54" w:rsidRDefault="00FD7431" w:rsidP="3F3044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Moxifloxacin 400 mg oral daily</w:t>
            </w:r>
          </w:p>
          <w:p w14:paraId="1AB2DAD0" w14:textId="269F25F3" w:rsidR="00FD7431" w:rsidRPr="000A4F54" w:rsidRDefault="00FD7431" w:rsidP="3F3044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49DD52E2" w14:textId="59C38DE8" w:rsidR="00FD7431" w:rsidRPr="000A4F54" w:rsidRDefault="00FD7431" w:rsidP="3F3044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Minimum of 7 days suggested; for pre-emptive therapy, 3-5 days of antibiotic therapy are recommended</w:t>
            </w:r>
          </w:p>
        </w:tc>
        <w:tc>
          <w:tcPr>
            <w:tcW w:w="1824" w:type="dxa"/>
          </w:tcPr>
          <w:p w14:paraId="0454E548" w14:textId="28C70F77" w:rsidR="00FD7431" w:rsidRPr="000A4F54" w:rsidRDefault="00FD7431" w:rsidP="02466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- Recommended drug, dose, duration per institutional guideline</w:t>
            </w:r>
          </w:p>
          <w:p w14:paraId="525A310E" w14:textId="19C7780A" w:rsidR="00FD7431" w:rsidRPr="000A4F54" w:rsidRDefault="00FD7431" w:rsidP="00E51DEE">
            <w:pPr>
              <w:pStyle w:val="Normal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24" w:type="dxa"/>
          </w:tcPr>
          <w:p w14:paraId="7D4DA5C0" w14:textId="702CE483" w:rsidR="00FD7431" w:rsidRPr="000A4F54" w:rsidRDefault="00FD7431" w:rsidP="3F304429">
            <w:pPr>
              <w:pStyle w:val="Normal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Bite – pre-emptive 3-5 days after cat or dog bite</w:t>
            </w:r>
          </w:p>
          <w:p w14:paraId="142F9EAB" w14:textId="311C6960" w:rsidR="00FD7431" w:rsidRPr="000A4F54" w:rsidRDefault="00FD7431" w:rsidP="3F304429">
            <w:pPr>
              <w:pStyle w:val="Normal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73EA923" w14:textId="7D4264F7" w:rsidR="00FD7431" w:rsidRPr="000A4F54" w:rsidRDefault="00FD7431" w:rsidP="3F304429">
            <w:pPr>
              <w:pStyle w:val="Normal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Bite – 7 days after cat or dog bite</w:t>
            </w:r>
          </w:p>
          <w:p w14:paraId="29E38A41" w14:textId="7112C023" w:rsidR="00FD7431" w:rsidRPr="000A4F54" w:rsidRDefault="00FD7431" w:rsidP="3F30442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494F" w:rsidRPr="000A4F54" w14:paraId="3AA87FED" w14:textId="77777777" w:rsidTr="00FD7431">
        <w:trPr>
          <w:trHeight w:val="1122"/>
        </w:trPr>
        <w:tc>
          <w:tcPr>
            <w:tcW w:w="3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9ABE0D1" w14:textId="77777777" w:rsidR="0035494F" w:rsidRPr="000A4F54" w:rsidRDefault="0035494F" w:rsidP="00583E2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b/>
                <w:color w:val="auto"/>
                <w:sz w:val="18"/>
                <w:szCs w:val="18"/>
              </w:rPr>
              <w:lastRenderedPageBreak/>
              <w:t>UTI</w:t>
            </w:r>
          </w:p>
        </w:tc>
        <w:tc>
          <w:tcPr>
            <w:tcW w:w="622" w:type="dxa"/>
            <w:shd w:val="clear" w:color="auto" w:fill="auto"/>
            <w:textDirection w:val="btLr"/>
            <w:vAlign w:val="center"/>
          </w:tcPr>
          <w:p w14:paraId="01DCA791" w14:textId="77777777" w:rsidR="0035494F" w:rsidRPr="000A4F54" w:rsidRDefault="0035494F" w:rsidP="00583E2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Cystitis</w:t>
            </w:r>
          </w:p>
        </w:tc>
        <w:tc>
          <w:tcPr>
            <w:tcW w:w="4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51FE6" w14:textId="77777777" w:rsidR="0035494F" w:rsidRPr="000A4F54" w:rsidRDefault="0035494F" w:rsidP="0035494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hanging="137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Nitrofurantoin 100 mg by mouth for 5 days</w:t>
            </w:r>
          </w:p>
          <w:p w14:paraId="0A757335" w14:textId="77777777" w:rsidR="0035494F" w:rsidRPr="000A4F54" w:rsidRDefault="0035494F" w:rsidP="00583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24" w:type="dxa"/>
          </w:tcPr>
          <w:p w14:paraId="56D168A6" w14:textId="5ED35E00" w:rsidR="0035494F" w:rsidRPr="000A4F54" w:rsidRDefault="0035494F" w:rsidP="1F929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- Recommended drug, dose, duration per </w:t>
            </w:r>
            <w:r w:rsidR="21E97113" w:rsidRPr="000A4F54">
              <w:rPr>
                <w:rFonts w:ascii="Arial" w:hAnsi="Arial" w:cs="Arial"/>
                <w:color w:val="auto"/>
                <w:sz w:val="18"/>
                <w:szCs w:val="18"/>
              </w:rPr>
              <w:t>institutional guideline</w:t>
            </w:r>
          </w:p>
        </w:tc>
        <w:tc>
          <w:tcPr>
            <w:tcW w:w="1824" w:type="dxa"/>
          </w:tcPr>
          <w:p w14:paraId="1EB1AC94" w14:textId="060FA3DA" w:rsidR="665B5356" w:rsidRPr="000A4F54" w:rsidRDefault="665B5356" w:rsidP="683BDF0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5 days</w:t>
            </w:r>
          </w:p>
        </w:tc>
      </w:tr>
      <w:tr w:rsidR="0035494F" w:rsidRPr="000A4F54" w14:paraId="521F44DD" w14:textId="77777777" w:rsidTr="00FD7431">
        <w:trPr>
          <w:trHeight w:val="1572"/>
        </w:trPr>
        <w:tc>
          <w:tcPr>
            <w:tcW w:w="35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406EF4" w14:textId="77777777" w:rsidR="0035494F" w:rsidRPr="000A4F54" w:rsidRDefault="0035494F" w:rsidP="00583E2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textDirection w:val="btLr"/>
            <w:vAlign w:val="center"/>
          </w:tcPr>
          <w:p w14:paraId="5BED67E5" w14:textId="77777777" w:rsidR="0035494F" w:rsidRPr="000A4F54" w:rsidRDefault="0035494F" w:rsidP="00583E2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Pyelonephritis</w:t>
            </w:r>
          </w:p>
        </w:tc>
        <w:tc>
          <w:tcPr>
            <w:tcW w:w="4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7B3B4" w14:textId="77777777" w:rsidR="0035494F" w:rsidRPr="000A4F54" w:rsidRDefault="0035494F" w:rsidP="0035494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hanging="137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Ciprofloxacin 500 mg twice daily for 7 days </w:t>
            </w:r>
          </w:p>
          <w:p w14:paraId="4B75CF5D" w14:textId="77777777" w:rsidR="0035494F" w:rsidRPr="000A4F54" w:rsidRDefault="0035494F" w:rsidP="0035494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hanging="137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Levofloxacin 750 mg once daily for 7 days </w:t>
            </w:r>
          </w:p>
          <w:p w14:paraId="43EB8873" w14:textId="77777777" w:rsidR="00FD7431" w:rsidRPr="000A4F54" w:rsidRDefault="00FD7431" w:rsidP="00583E2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hanging="13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1A10DDD" w14:textId="0DBA6CC5" w:rsidR="0035494F" w:rsidRPr="000A4F54" w:rsidRDefault="0035494F" w:rsidP="00583E2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hanging="137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Consider alternatives if the patient has been exposed to a fluoroquinolone in the last three to six months </w:t>
            </w:r>
          </w:p>
          <w:p w14:paraId="1A9D7A0E" w14:textId="6DCA19FD" w:rsidR="0035494F" w:rsidRPr="000A4F54" w:rsidRDefault="00FD7431" w:rsidP="0035494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hanging="137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Trimethoprim/sulfamethoxazole </w:t>
            </w:r>
            <w:r w:rsidR="0035494F" w:rsidRPr="000A4F54">
              <w:rPr>
                <w:rFonts w:ascii="Arial" w:hAnsi="Arial" w:cs="Arial"/>
                <w:color w:val="auto"/>
                <w:sz w:val="18"/>
                <w:szCs w:val="18"/>
              </w:rPr>
              <w:t>DS 160/800 mg twice daily for 7 days</w:t>
            </w:r>
          </w:p>
        </w:tc>
        <w:tc>
          <w:tcPr>
            <w:tcW w:w="1824" w:type="dxa"/>
          </w:tcPr>
          <w:p w14:paraId="2660295B" w14:textId="7D53DFA4" w:rsidR="0035494F" w:rsidRPr="000A4F54" w:rsidRDefault="0035494F" w:rsidP="1F929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 xml:space="preserve">- Recommended drug, dose, duration per </w:t>
            </w:r>
            <w:r w:rsidR="370DA8E1" w:rsidRPr="000A4F54">
              <w:rPr>
                <w:rFonts w:ascii="Arial" w:hAnsi="Arial" w:cs="Arial"/>
                <w:color w:val="auto"/>
                <w:sz w:val="18"/>
                <w:szCs w:val="18"/>
              </w:rPr>
              <w:t>institutional guideline</w:t>
            </w:r>
          </w:p>
        </w:tc>
        <w:tc>
          <w:tcPr>
            <w:tcW w:w="1824" w:type="dxa"/>
          </w:tcPr>
          <w:p w14:paraId="562CF235" w14:textId="63A2F188" w:rsidR="035EAC12" w:rsidRPr="000A4F54" w:rsidRDefault="035EAC12" w:rsidP="683BDF0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4F54">
              <w:rPr>
                <w:rFonts w:ascii="Arial" w:hAnsi="Arial" w:cs="Arial"/>
                <w:color w:val="auto"/>
                <w:sz w:val="18"/>
                <w:szCs w:val="18"/>
              </w:rPr>
              <w:t>7 days</w:t>
            </w:r>
          </w:p>
        </w:tc>
      </w:tr>
    </w:tbl>
    <w:p w14:paraId="14A1A858" w14:textId="0A4521BC" w:rsidR="0035494F" w:rsidRPr="000A4F54" w:rsidRDefault="0035494F" w:rsidP="0612214F">
      <w:pPr>
        <w:widowControl w:val="0"/>
        <w:autoSpaceDE w:val="0"/>
        <w:autoSpaceDN w:val="0"/>
        <w:contextualSpacing/>
        <w:rPr>
          <w:rFonts w:ascii="Arial" w:eastAsia="Arial" w:hAnsi="Arial" w:cs="Arial"/>
          <w:b/>
          <w:bCs/>
          <w:u w:val="single"/>
        </w:rPr>
      </w:pPr>
      <w:r w:rsidRPr="000A4F54">
        <w:rPr>
          <w:rFonts w:ascii="Arial" w:hAnsi="Arial" w:cs="Arial"/>
          <w:b/>
          <w:bCs/>
          <w:sz w:val="20"/>
          <w:szCs w:val="20"/>
        </w:rPr>
        <w:t>Abbreviations:</w:t>
      </w:r>
      <w:r w:rsidRPr="000A4F54">
        <w:rPr>
          <w:rFonts w:ascii="Arial" w:hAnsi="Arial" w:cs="Arial"/>
          <w:sz w:val="20"/>
          <w:szCs w:val="20"/>
        </w:rPr>
        <w:t xml:space="preserve"> NCCN, National Comprehensive Cancer Network</w:t>
      </w:r>
      <w:r w:rsidR="00903BB2" w:rsidRPr="000A4F54">
        <w:rPr>
          <w:rFonts w:ascii="Arial" w:hAnsi="Arial" w:cs="Arial"/>
          <w:sz w:val="20"/>
          <w:szCs w:val="20"/>
        </w:rPr>
        <w:t>;</w:t>
      </w:r>
      <w:r w:rsidR="000A4F54">
        <w:rPr>
          <w:rFonts w:ascii="Arial" w:hAnsi="Arial" w:cs="Arial"/>
          <w:sz w:val="20"/>
          <w:szCs w:val="20"/>
        </w:rPr>
        <w:t xml:space="preserve"> </w:t>
      </w:r>
      <w:r w:rsidR="00903BB2" w:rsidRPr="000A4F54">
        <w:rPr>
          <w:rFonts w:ascii="Arial" w:hAnsi="Arial" w:cs="Arial"/>
          <w:sz w:val="20"/>
          <w:szCs w:val="20"/>
        </w:rPr>
        <w:t>DS, double strength.</w:t>
      </w:r>
    </w:p>
    <w:p w14:paraId="12A3A894" w14:textId="0E1C93C5" w:rsidR="002C618A" w:rsidRDefault="00903BB2">
      <w:proofErr w:type="gramStart"/>
      <w:r w:rsidRPr="000A4F5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†:</w:t>
      </w:r>
      <w:r w:rsidR="761DD5AC" w:rsidRPr="000A4F54">
        <w:rPr>
          <w:rFonts w:ascii="Arial" w:hAnsi="Arial" w:cs="Arial"/>
          <w:sz w:val="20"/>
          <w:szCs w:val="20"/>
        </w:rPr>
        <w:t>When</w:t>
      </w:r>
      <w:proofErr w:type="gramEnd"/>
      <w:r w:rsidR="761DD5AC" w:rsidRPr="000A4F54">
        <w:rPr>
          <w:rFonts w:ascii="Arial" w:hAnsi="Arial" w:cs="Arial"/>
          <w:sz w:val="20"/>
          <w:szCs w:val="20"/>
        </w:rPr>
        <w:t xml:space="preserve"> considering dose for patients with renal impairment, institutional renal dosing guidelines were utilized to evaluate appropriateness.</w:t>
      </w:r>
    </w:p>
    <w:sectPr w:rsidR="002C618A" w:rsidSect="00250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72F5"/>
    <w:multiLevelType w:val="hybridMultilevel"/>
    <w:tmpl w:val="F8B85AB2"/>
    <w:lvl w:ilvl="0" w:tplc="F18C09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D3246C"/>
    <w:multiLevelType w:val="hybridMultilevel"/>
    <w:tmpl w:val="ED58074E"/>
    <w:lvl w:ilvl="0" w:tplc="F18C0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453FD"/>
    <w:multiLevelType w:val="hybridMultilevel"/>
    <w:tmpl w:val="99F61CB4"/>
    <w:lvl w:ilvl="0" w:tplc="67BE48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9E4B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66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BAB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86D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600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EA4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F6D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CB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746E0"/>
    <w:multiLevelType w:val="multilevel"/>
    <w:tmpl w:val="700271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81333D"/>
    <w:multiLevelType w:val="hybridMultilevel"/>
    <w:tmpl w:val="E8300B4C"/>
    <w:lvl w:ilvl="0" w:tplc="F18C09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B050A5"/>
    <w:multiLevelType w:val="hybridMultilevel"/>
    <w:tmpl w:val="14042B82"/>
    <w:lvl w:ilvl="0" w:tplc="705862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76A7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044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45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1ED6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A89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ECE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4C62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98C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A7DC6"/>
    <w:multiLevelType w:val="hybridMultilevel"/>
    <w:tmpl w:val="F2D0CBE0"/>
    <w:lvl w:ilvl="0" w:tplc="F18C0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609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8E8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0F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A52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88E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C4D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C7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124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1402"/>
    <w:multiLevelType w:val="hybridMultilevel"/>
    <w:tmpl w:val="74AA33FC"/>
    <w:lvl w:ilvl="0" w:tplc="CEA882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8B6F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C0B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B0F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166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52FA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41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962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38D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D67E4"/>
    <w:multiLevelType w:val="multilevel"/>
    <w:tmpl w:val="700271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590846925">
    <w:abstractNumId w:val="7"/>
  </w:num>
  <w:num w:numId="2" w16cid:durableId="471211425">
    <w:abstractNumId w:val="5"/>
  </w:num>
  <w:num w:numId="3" w16cid:durableId="699014108">
    <w:abstractNumId w:val="2"/>
  </w:num>
  <w:num w:numId="4" w16cid:durableId="1379864766">
    <w:abstractNumId w:val="3"/>
  </w:num>
  <w:num w:numId="5" w16cid:durableId="384253587">
    <w:abstractNumId w:val="8"/>
  </w:num>
  <w:num w:numId="6" w16cid:durableId="1334451167">
    <w:abstractNumId w:val="6"/>
  </w:num>
  <w:num w:numId="7" w16cid:durableId="1977374526">
    <w:abstractNumId w:val="1"/>
  </w:num>
  <w:num w:numId="8" w16cid:durableId="951669296">
    <w:abstractNumId w:val="4"/>
  </w:num>
  <w:num w:numId="9" w16cid:durableId="14902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4F"/>
    <w:rsid w:val="000A4F54"/>
    <w:rsid w:val="00250772"/>
    <w:rsid w:val="002C618A"/>
    <w:rsid w:val="0035494F"/>
    <w:rsid w:val="003D33D8"/>
    <w:rsid w:val="006F7F2C"/>
    <w:rsid w:val="00827CE8"/>
    <w:rsid w:val="00903BB2"/>
    <w:rsid w:val="00973343"/>
    <w:rsid w:val="00B03963"/>
    <w:rsid w:val="00B947F2"/>
    <w:rsid w:val="00CE2D8C"/>
    <w:rsid w:val="00E30C28"/>
    <w:rsid w:val="00E51DEE"/>
    <w:rsid w:val="00FD7431"/>
    <w:rsid w:val="00FF3FBD"/>
    <w:rsid w:val="024660D0"/>
    <w:rsid w:val="035A90BA"/>
    <w:rsid w:val="035EAC12"/>
    <w:rsid w:val="04FAF175"/>
    <w:rsid w:val="0612214F"/>
    <w:rsid w:val="072F46B2"/>
    <w:rsid w:val="08F94D2A"/>
    <w:rsid w:val="09276C9D"/>
    <w:rsid w:val="09AB0B8D"/>
    <w:rsid w:val="0A9EF773"/>
    <w:rsid w:val="0B5D605D"/>
    <w:rsid w:val="0CECDAFD"/>
    <w:rsid w:val="0D254FB4"/>
    <w:rsid w:val="0E32DCB7"/>
    <w:rsid w:val="1022638A"/>
    <w:rsid w:val="10DAD93A"/>
    <w:rsid w:val="11C3F6C1"/>
    <w:rsid w:val="17A1F43D"/>
    <w:rsid w:val="193DC49E"/>
    <w:rsid w:val="1C756560"/>
    <w:rsid w:val="1E734115"/>
    <w:rsid w:val="1F92921B"/>
    <w:rsid w:val="21E97113"/>
    <w:rsid w:val="246D7D7C"/>
    <w:rsid w:val="2645F29F"/>
    <w:rsid w:val="295BD5EE"/>
    <w:rsid w:val="2A2E82FE"/>
    <w:rsid w:val="2D50EC97"/>
    <w:rsid w:val="2E161EB4"/>
    <w:rsid w:val="2E3F1DC5"/>
    <w:rsid w:val="303AFD36"/>
    <w:rsid w:val="314C73CC"/>
    <w:rsid w:val="32183700"/>
    <w:rsid w:val="3302B834"/>
    <w:rsid w:val="33D56544"/>
    <w:rsid w:val="33FC89C1"/>
    <w:rsid w:val="370DA8E1"/>
    <w:rsid w:val="3727C1A1"/>
    <w:rsid w:val="37A4D6EE"/>
    <w:rsid w:val="3890A15C"/>
    <w:rsid w:val="3F304429"/>
    <w:rsid w:val="40BBD5D2"/>
    <w:rsid w:val="414F5721"/>
    <w:rsid w:val="42EBAB52"/>
    <w:rsid w:val="44C047A0"/>
    <w:rsid w:val="450BA53E"/>
    <w:rsid w:val="46ED7537"/>
    <w:rsid w:val="4A02458E"/>
    <w:rsid w:val="4A5B15AC"/>
    <w:rsid w:val="4B723BA2"/>
    <w:rsid w:val="4B758237"/>
    <w:rsid w:val="4CD7641D"/>
    <w:rsid w:val="4DED9505"/>
    <w:rsid w:val="4E73347E"/>
    <w:rsid w:val="4EACA361"/>
    <w:rsid w:val="4F859CF4"/>
    <w:rsid w:val="5209848E"/>
    <w:rsid w:val="52BD3DB6"/>
    <w:rsid w:val="531F118F"/>
    <w:rsid w:val="5321BE76"/>
    <w:rsid w:val="53D76ADA"/>
    <w:rsid w:val="5509090B"/>
    <w:rsid w:val="572034BF"/>
    <w:rsid w:val="5A432749"/>
    <w:rsid w:val="5AAA562C"/>
    <w:rsid w:val="5CEF46D9"/>
    <w:rsid w:val="6284C8BC"/>
    <w:rsid w:val="665B5356"/>
    <w:rsid w:val="683BDF01"/>
    <w:rsid w:val="690A641D"/>
    <w:rsid w:val="6AAC55AB"/>
    <w:rsid w:val="6C77C24C"/>
    <w:rsid w:val="72B3C5B3"/>
    <w:rsid w:val="7605D2CF"/>
    <w:rsid w:val="761DD5AC"/>
    <w:rsid w:val="763FBB64"/>
    <w:rsid w:val="76FB7A82"/>
    <w:rsid w:val="787D2607"/>
    <w:rsid w:val="7C3A597B"/>
    <w:rsid w:val="7ECC7629"/>
    <w:rsid w:val="7F0EC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926CF"/>
  <w15:chartTrackingRefBased/>
  <w15:docId w15:val="{D5501833-CD2D-3A4B-A275-3984413F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94F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94F"/>
    <w:pPr>
      <w:ind w:left="720"/>
      <w:contextualSpacing/>
    </w:pPr>
  </w:style>
  <w:style w:type="paragraph" w:customStyle="1" w:styleId="Normal1">
    <w:name w:val="Normal1"/>
    <w:qFormat/>
    <w:rsid w:val="0035494F"/>
    <w:rPr>
      <w:rFonts w:ascii="Calibri" w:eastAsia="Calibri" w:hAnsi="Calibri" w:cs="Calibri"/>
      <w:color w:val="FF0000"/>
      <w:sz w:val="22"/>
      <w:szCs w:val="22"/>
    </w:rPr>
  </w:style>
  <w:style w:type="table" w:customStyle="1" w:styleId="NormalTable1">
    <w:name w:val="Normal Table1"/>
    <w:uiPriority w:val="99"/>
    <w:semiHidden/>
    <w:unhideWhenUsed/>
    <w:rsid w:val="0035494F"/>
    <w:rPr>
      <w:rFonts w:ascii="Calibri" w:eastAsia="Calibri" w:hAnsi="Calibri" w:cs="Calibri"/>
      <w:color w:val="FF0000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E2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D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D8C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D8C"/>
    <w:rPr>
      <w:rFonts w:eastAsiaTheme="minorEastAsia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E51DEE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72C35DC61B24DB612D6E2300EF8CF" ma:contentTypeVersion="6" ma:contentTypeDescription="Create a new document." ma:contentTypeScope="" ma:versionID="22af4aae61af43734f87124a7dd1e6df">
  <xsd:schema xmlns:xsd="http://www.w3.org/2001/XMLSchema" xmlns:xs="http://www.w3.org/2001/XMLSchema" xmlns:p="http://schemas.microsoft.com/office/2006/metadata/properties" xmlns:ns2="fe5283b0-2f07-4628-a3ca-1ccb0c2b3c40" xmlns:ns3="6768b676-7668-4d48-b3d9-446e6bd7ebac" targetNamespace="http://schemas.microsoft.com/office/2006/metadata/properties" ma:root="true" ma:fieldsID="11365b3747b6441700aee7a30372bb8b" ns2:_="" ns3:_="">
    <xsd:import namespace="fe5283b0-2f07-4628-a3ca-1ccb0c2b3c40"/>
    <xsd:import namespace="6768b676-7668-4d48-b3d9-446e6bd7e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283b0-2f07-4628-a3ca-1ccb0c2b3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8b676-7668-4d48-b3d9-446e6bd7e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B30EF9-D221-426D-8F61-E906318DC0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F6432-0E28-4BF3-BC87-94950DB68B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2DDCB4-5D91-4026-B09B-E1ACA277D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5283b0-2f07-4628-a3ca-1ccb0c2b3c40"/>
    <ds:schemaRef ds:uri="6768b676-7668-4d48-b3d9-446e6bd7e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C45FFD-860D-462C-B0A7-C6B8A504D7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 Veve</dc:creator>
  <cp:keywords/>
  <dc:description/>
  <cp:lastModifiedBy>Veve, Michael</cp:lastModifiedBy>
  <cp:revision>6</cp:revision>
  <dcterms:created xsi:type="dcterms:W3CDTF">2023-03-11T01:05:00Z</dcterms:created>
  <dcterms:modified xsi:type="dcterms:W3CDTF">2023-03-13T16:38:00Z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0x0101007B672C35DC61B24DB612D6E2300EF8CF</vt:lpwstr>
  </property>
</Properties>
</file>