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FFAB" w14:textId="77777777" w:rsidR="00483CEC" w:rsidRDefault="00483CEC" w:rsidP="00483CEC">
      <w:pPr>
        <w:spacing w:after="0"/>
        <w:rPr>
          <w:rFonts w:ascii="Arial" w:hAnsi="Arial" w:cs="Arial"/>
          <w:sz w:val="20"/>
          <w:szCs w:val="20"/>
        </w:rPr>
      </w:pPr>
      <w:r w:rsidRPr="00CF4DEE">
        <w:rPr>
          <w:rFonts w:ascii="Arial" w:hAnsi="Arial" w:cs="Arial"/>
          <w:b/>
          <w:bCs/>
          <w:sz w:val="20"/>
          <w:szCs w:val="20"/>
        </w:rPr>
        <w:t>Supplemental Table 1.</w:t>
      </w:r>
      <w:r w:rsidRPr="00CF4DEE">
        <w:rPr>
          <w:rFonts w:ascii="Arial" w:hAnsi="Arial" w:cs="Arial"/>
          <w:sz w:val="20"/>
          <w:szCs w:val="20"/>
        </w:rPr>
        <w:t xml:space="preserve"> Studies Contributing Calculator Inputs</w:t>
      </w:r>
    </w:p>
    <w:p w14:paraId="529DFFC4" w14:textId="77777777" w:rsidR="00483CEC" w:rsidRPr="00CF4DEE" w:rsidRDefault="00483CEC" w:rsidP="00483CEC">
      <w:pPr>
        <w:spacing w:after="0"/>
        <w:rPr>
          <w:rFonts w:ascii="Arial" w:hAnsi="Arial" w:cs="Arial"/>
          <w:sz w:val="20"/>
          <w:szCs w:val="20"/>
        </w:rPr>
      </w:pPr>
    </w:p>
    <w:tbl>
      <w:tblPr>
        <w:tblStyle w:val="TableGrid"/>
        <w:tblW w:w="9810" w:type="dxa"/>
        <w:tblLayout w:type="fixed"/>
        <w:tblLook w:val="0400" w:firstRow="0" w:lastRow="0" w:firstColumn="0" w:lastColumn="0" w:noHBand="0" w:noVBand="1"/>
      </w:tblPr>
      <w:tblGrid>
        <w:gridCol w:w="985"/>
        <w:gridCol w:w="8825"/>
      </w:tblGrid>
      <w:tr w:rsidR="00483CEC" w:rsidRPr="00483CEC" w14:paraId="748DCC31" w14:textId="77777777" w:rsidTr="00E97312">
        <w:trPr>
          <w:trHeight w:val="278"/>
        </w:trPr>
        <w:tc>
          <w:tcPr>
            <w:tcW w:w="985" w:type="dxa"/>
            <w:vAlign w:val="center"/>
          </w:tcPr>
          <w:p w14:paraId="2325FEB1" w14:textId="77777777" w:rsidR="00483CEC" w:rsidRPr="00483CEC" w:rsidRDefault="00483CEC" w:rsidP="00E97312">
            <w:pPr>
              <w:contextualSpacing/>
              <w:rPr>
                <w:rFonts w:ascii="Arial" w:eastAsia="Arial" w:hAnsi="Arial" w:cs="Arial"/>
                <w:bCs/>
                <w:sz w:val="14"/>
                <w:szCs w:val="14"/>
              </w:rPr>
            </w:pPr>
          </w:p>
        </w:tc>
        <w:tc>
          <w:tcPr>
            <w:tcW w:w="8825" w:type="dxa"/>
            <w:vAlign w:val="center"/>
          </w:tcPr>
          <w:p w14:paraId="03A88F4A" w14:textId="77777777" w:rsidR="00483CEC" w:rsidRPr="00483CEC" w:rsidRDefault="00483CEC" w:rsidP="00E97312">
            <w:pPr>
              <w:contextualSpacing/>
              <w:jc w:val="center"/>
              <w:rPr>
                <w:rFonts w:ascii="Arial" w:hAnsi="Arial" w:cs="Arial"/>
                <w:sz w:val="14"/>
                <w:szCs w:val="14"/>
              </w:rPr>
            </w:pPr>
            <w:r w:rsidRPr="00483CEC">
              <w:rPr>
                <w:rFonts w:ascii="Arial" w:eastAsia="Arial" w:hAnsi="Arial" w:cs="Arial"/>
                <w:b/>
                <w:bCs/>
                <w:sz w:val="14"/>
                <w:szCs w:val="14"/>
              </w:rPr>
              <w:t>Relevant Studies</w:t>
            </w:r>
          </w:p>
        </w:tc>
      </w:tr>
      <w:tr w:rsidR="00483CEC" w:rsidRPr="00483CEC" w14:paraId="5989FC8B" w14:textId="77777777" w:rsidTr="00E97312">
        <w:trPr>
          <w:trHeight w:val="1097"/>
        </w:trPr>
        <w:tc>
          <w:tcPr>
            <w:tcW w:w="985" w:type="dxa"/>
            <w:vAlign w:val="center"/>
          </w:tcPr>
          <w:p w14:paraId="7EDF6A7C" w14:textId="77777777" w:rsidR="00483CEC" w:rsidRPr="00483CEC" w:rsidRDefault="00483CEC" w:rsidP="00E97312">
            <w:pPr>
              <w:rPr>
                <w:rFonts w:ascii="Arial" w:eastAsia="Arial" w:hAnsi="Arial" w:cs="Arial"/>
                <w:b/>
                <w:bCs/>
                <w:sz w:val="14"/>
                <w:szCs w:val="14"/>
              </w:rPr>
            </w:pPr>
            <w:r w:rsidRPr="00483CEC">
              <w:rPr>
                <w:rFonts w:ascii="Arial" w:eastAsia="Arial" w:hAnsi="Arial" w:cs="Arial"/>
                <w:bCs/>
                <w:sz w:val="14"/>
                <w:szCs w:val="14"/>
              </w:rPr>
              <w:t>Incidence</w:t>
            </w:r>
          </w:p>
        </w:tc>
        <w:tc>
          <w:tcPr>
            <w:tcW w:w="8825" w:type="dxa"/>
            <w:vAlign w:val="center"/>
          </w:tcPr>
          <w:p w14:paraId="5C050C75" w14:textId="77777777" w:rsidR="00483CEC" w:rsidRPr="00483CEC" w:rsidRDefault="00483CEC" w:rsidP="00483CEC">
            <w:pPr>
              <w:pStyle w:val="ListParagraph"/>
              <w:numPr>
                <w:ilvl w:val="0"/>
                <w:numId w:val="1"/>
              </w:numPr>
              <w:ind w:left="256" w:hanging="256"/>
              <w:rPr>
                <w:rFonts w:ascii="Arial" w:hAnsi="Arial" w:cs="Arial"/>
                <w:sz w:val="14"/>
                <w:szCs w:val="14"/>
              </w:rPr>
            </w:pPr>
            <w:r w:rsidRPr="00483CEC">
              <w:rPr>
                <w:rFonts w:ascii="Arial" w:hAnsi="Arial" w:cs="Arial"/>
                <w:sz w:val="14"/>
                <w:szCs w:val="14"/>
              </w:rPr>
              <w:t xml:space="preserve">Flanders SA, Stein J, </w:t>
            </w:r>
            <w:proofErr w:type="spellStart"/>
            <w:r w:rsidRPr="00483CEC">
              <w:rPr>
                <w:rFonts w:ascii="Arial" w:hAnsi="Arial" w:cs="Arial"/>
                <w:sz w:val="14"/>
                <w:szCs w:val="14"/>
              </w:rPr>
              <w:t>Shochat</w:t>
            </w:r>
            <w:proofErr w:type="spellEnd"/>
            <w:r w:rsidRPr="00483CEC">
              <w:rPr>
                <w:rFonts w:ascii="Arial" w:hAnsi="Arial" w:cs="Arial"/>
                <w:sz w:val="14"/>
                <w:szCs w:val="14"/>
              </w:rPr>
              <w:t xml:space="preserve"> G, et al. Performance of a bedside C-reactive protein test in the diagnosis of community-acquired pneumonia in adults with acute cough. </w:t>
            </w:r>
            <w:r w:rsidRPr="00483CEC">
              <w:rPr>
                <w:rFonts w:ascii="Arial" w:hAnsi="Arial" w:cs="Arial"/>
                <w:i/>
                <w:iCs/>
                <w:sz w:val="14"/>
                <w:szCs w:val="14"/>
              </w:rPr>
              <w:t>Am J Med.</w:t>
            </w:r>
            <w:r w:rsidRPr="00483CEC">
              <w:rPr>
                <w:rFonts w:ascii="Arial" w:hAnsi="Arial" w:cs="Arial"/>
                <w:sz w:val="14"/>
                <w:szCs w:val="14"/>
              </w:rPr>
              <w:t xml:space="preserve"> 2004;116(8):529-535.</w:t>
            </w:r>
          </w:p>
          <w:p w14:paraId="48BBD69F" w14:textId="77777777" w:rsidR="00483CEC" w:rsidRPr="00483CEC" w:rsidRDefault="00483CEC" w:rsidP="00483CEC">
            <w:pPr>
              <w:pStyle w:val="ListParagraph"/>
              <w:numPr>
                <w:ilvl w:val="0"/>
                <w:numId w:val="1"/>
              </w:numPr>
              <w:ind w:left="256" w:hanging="256"/>
              <w:rPr>
                <w:rFonts w:ascii="Arial" w:hAnsi="Arial" w:cs="Arial"/>
                <w:sz w:val="14"/>
                <w:szCs w:val="14"/>
              </w:rPr>
            </w:pPr>
            <w:proofErr w:type="spellStart"/>
            <w:r w:rsidRPr="00483CEC">
              <w:rPr>
                <w:rFonts w:ascii="Arial" w:hAnsi="Arial" w:cs="Arial"/>
                <w:sz w:val="14"/>
                <w:szCs w:val="14"/>
              </w:rPr>
              <w:t>Emerman</w:t>
            </w:r>
            <w:proofErr w:type="spellEnd"/>
            <w:r w:rsidRPr="00483CEC">
              <w:rPr>
                <w:rFonts w:ascii="Arial" w:hAnsi="Arial" w:cs="Arial"/>
                <w:sz w:val="14"/>
                <w:szCs w:val="14"/>
              </w:rPr>
              <w:t xml:space="preserve"> CL, Dawson N, </w:t>
            </w:r>
            <w:proofErr w:type="spellStart"/>
            <w:r w:rsidRPr="00483CEC">
              <w:rPr>
                <w:rFonts w:ascii="Arial" w:hAnsi="Arial" w:cs="Arial"/>
                <w:sz w:val="14"/>
                <w:szCs w:val="14"/>
              </w:rPr>
              <w:t>Speroff</w:t>
            </w:r>
            <w:proofErr w:type="spellEnd"/>
            <w:r w:rsidRPr="00483CEC">
              <w:rPr>
                <w:rFonts w:ascii="Arial" w:hAnsi="Arial" w:cs="Arial"/>
                <w:sz w:val="14"/>
                <w:szCs w:val="14"/>
              </w:rPr>
              <w:t xml:space="preserve"> T, et al. Comparison of physician judgment and decision aids for ordering chest radiographs for pneumonia in outpatients. </w:t>
            </w:r>
            <w:r w:rsidRPr="00483CEC">
              <w:rPr>
                <w:rFonts w:ascii="Arial" w:hAnsi="Arial" w:cs="Arial"/>
                <w:i/>
                <w:iCs/>
                <w:sz w:val="14"/>
                <w:szCs w:val="14"/>
              </w:rPr>
              <w:t xml:space="preserve">Ann </w:t>
            </w:r>
            <w:proofErr w:type="spellStart"/>
            <w:r w:rsidRPr="00483CEC">
              <w:rPr>
                <w:rFonts w:ascii="Arial" w:hAnsi="Arial" w:cs="Arial"/>
                <w:i/>
                <w:iCs/>
                <w:sz w:val="14"/>
                <w:szCs w:val="14"/>
              </w:rPr>
              <w:t>Emerg</w:t>
            </w:r>
            <w:proofErr w:type="spellEnd"/>
            <w:r w:rsidRPr="00483CEC">
              <w:rPr>
                <w:rFonts w:ascii="Arial" w:hAnsi="Arial" w:cs="Arial"/>
                <w:i/>
                <w:iCs/>
                <w:sz w:val="14"/>
                <w:szCs w:val="14"/>
              </w:rPr>
              <w:t xml:space="preserve"> Med</w:t>
            </w:r>
            <w:r w:rsidRPr="00483CEC">
              <w:rPr>
                <w:rFonts w:ascii="Arial" w:hAnsi="Arial" w:cs="Arial"/>
                <w:sz w:val="14"/>
                <w:szCs w:val="14"/>
              </w:rPr>
              <w:t>. 1991;20(11):1215-1219.</w:t>
            </w:r>
          </w:p>
          <w:p w14:paraId="69255DBD" w14:textId="77777777" w:rsidR="00483CEC" w:rsidRPr="00483CEC" w:rsidRDefault="00483CEC" w:rsidP="00483CEC">
            <w:pPr>
              <w:pStyle w:val="ListParagraph"/>
              <w:numPr>
                <w:ilvl w:val="0"/>
                <w:numId w:val="1"/>
              </w:numPr>
              <w:ind w:left="256" w:hanging="256"/>
              <w:rPr>
                <w:rFonts w:ascii="Arial" w:hAnsi="Arial" w:cs="Arial"/>
                <w:sz w:val="14"/>
                <w:szCs w:val="14"/>
              </w:rPr>
            </w:pPr>
            <w:r w:rsidRPr="00483CEC">
              <w:rPr>
                <w:rFonts w:ascii="Arial" w:hAnsi="Arial" w:cs="Arial"/>
                <w:noProof/>
                <w:sz w:val="14"/>
                <w:szCs w:val="14"/>
              </w:rPr>
              <w:t xml:space="preserve">Jain S, Self WH, Wunderink RG, et al. Community-Acquired Pneumonia Requiring Hospitalization among U.S. Adults. </w:t>
            </w:r>
            <w:r w:rsidRPr="00483CEC">
              <w:rPr>
                <w:rFonts w:ascii="Arial" w:hAnsi="Arial" w:cs="Arial"/>
                <w:i/>
                <w:noProof/>
                <w:sz w:val="14"/>
                <w:szCs w:val="14"/>
              </w:rPr>
              <w:t xml:space="preserve">N Engl J Med. </w:t>
            </w:r>
            <w:r w:rsidRPr="00483CEC">
              <w:rPr>
                <w:rFonts w:ascii="Arial" w:hAnsi="Arial" w:cs="Arial"/>
                <w:noProof/>
                <w:sz w:val="14"/>
                <w:szCs w:val="14"/>
              </w:rPr>
              <w:t>2015;373(5):415-427.</w:t>
            </w:r>
          </w:p>
        </w:tc>
      </w:tr>
      <w:tr w:rsidR="00483CEC" w:rsidRPr="00483CEC" w14:paraId="030BB992" w14:textId="77777777" w:rsidTr="00483CEC">
        <w:trPr>
          <w:trHeight w:val="1871"/>
        </w:trPr>
        <w:tc>
          <w:tcPr>
            <w:tcW w:w="985" w:type="dxa"/>
            <w:vAlign w:val="center"/>
          </w:tcPr>
          <w:p w14:paraId="1DAA3505" w14:textId="77777777" w:rsidR="00483CEC" w:rsidRPr="00483CEC" w:rsidRDefault="00483CEC" w:rsidP="00E97312">
            <w:pPr>
              <w:rPr>
                <w:rFonts w:ascii="Arial" w:hAnsi="Arial" w:cs="Arial"/>
                <w:sz w:val="14"/>
                <w:szCs w:val="14"/>
              </w:rPr>
            </w:pPr>
            <w:r w:rsidRPr="00483CEC">
              <w:rPr>
                <w:rFonts w:ascii="Arial" w:hAnsi="Arial" w:cs="Arial"/>
                <w:sz w:val="14"/>
                <w:szCs w:val="14"/>
              </w:rPr>
              <w:t>Risk factors</w:t>
            </w:r>
          </w:p>
        </w:tc>
        <w:tc>
          <w:tcPr>
            <w:tcW w:w="8825" w:type="dxa"/>
            <w:vAlign w:val="center"/>
          </w:tcPr>
          <w:p w14:paraId="25C0B019"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Nolt BR, Gonzales R, Maselli J, Aagaard E, Camargo CA, Jr., Metlay JP. Vital-sign abnormalities as predictors of pneumonia in adults with acute cough illness. </w:t>
            </w:r>
            <w:r w:rsidRPr="00483CEC">
              <w:rPr>
                <w:rFonts w:ascii="Arial" w:hAnsi="Arial" w:cs="Arial"/>
                <w:i/>
                <w:sz w:val="14"/>
                <w:szCs w:val="14"/>
              </w:rPr>
              <w:t xml:space="preserve">Am J Emerg Med. </w:t>
            </w:r>
            <w:r w:rsidRPr="00483CEC">
              <w:rPr>
                <w:rFonts w:ascii="Arial" w:hAnsi="Arial" w:cs="Arial"/>
                <w:sz w:val="14"/>
                <w:szCs w:val="14"/>
              </w:rPr>
              <w:t>2007;25(6):631-636.</w:t>
            </w:r>
          </w:p>
          <w:p w14:paraId="6C307A28"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Huijskens EGW, Koopmans M, Palmen FMH, van Erkel AJM, Mulder PGH, Rossen JWA. The value of signs and symptoms in differentiating between bacterial, viral and mixed aetiology in patients with community-acquired pneumonia. </w:t>
            </w:r>
            <w:r w:rsidRPr="00483CEC">
              <w:rPr>
                <w:rFonts w:ascii="Arial" w:hAnsi="Arial" w:cs="Arial"/>
                <w:i/>
                <w:sz w:val="14"/>
                <w:szCs w:val="14"/>
              </w:rPr>
              <w:t xml:space="preserve">J Med Microbiol. </w:t>
            </w:r>
            <w:r w:rsidRPr="00483CEC">
              <w:rPr>
                <w:rFonts w:ascii="Arial" w:hAnsi="Arial" w:cs="Arial"/>
                <w:sz w:val="14"/>
                <w:szCs w:val="14"/>
              </w:rPr>
              <w:t>2014;63(Pt 3):441-452.</w:t>
            </w:r>
          </w:p>
          <w:p w14:paraId="1ACB50E3"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Kishore AK, Vail A, Chamorro A, et al. How is pneumonia diagnosed in clinical stroke research? A systematic review and meta-analysis. </w:t>
            </w:r>
            <w:r w:rsidRPr="00483CEC">
              <w:rPr>
                <w:rFonts w:ascii="Arial" w:hAnsi="Arial" w:cs="Arial"/>
                <w:i/>
                <w:sz w:val="14"/>
                <w:szCs w:val="14"/>
              </w:rPr>
              <w:t xml:space="preserve">Stroke. </w:t>
            </w:r>
            <w:r w:rsidRPr="00483CEC">
              <w:rPr>
                <w:rFonts w:ascii="Arial" w:hAnsi="Arial" w:cs="Arial"/>
                <w:sz w:val="14"/>
                <w:szCs w:val="14"/>
              </w:rPr>
              <w:t>2015;46(5):1202-1209.</w:t>
            </w:r>
          </w:p>
          <w:p w14:paraId="04EACDCA"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Mullerova H, Chigbo C, Hagan GW, et al. The natural history of community-acquired pneumonia in COPD patients: a population database analysis. </w:t>
            </w:r>
            <w:r w:rsidRPr="00483CEC">
              <w:rPr>
                <w:rFonts w:ascii="Arial" w:hAnsi="Arial" w:cs="Arial"/>
                <w:i/>
                <w:sz w:val="14"/>
                <w:szCs w:val="14"/>
              </w:rPr>
              <w:t xml:space="preserve">Respir Med. </w:t>
            </w:r>
            <w:r w:rsidRPr="00483CEC">
              <w:rPr>
                <w:rFonts w:ascii="Arial" w:hAnsi="Arial" w:cs="Arial"/>
                <w:sz w:val="14"/>
                <w:szCs w:val="14"/>
              </w:rPr>
              <w:t>2012;106(8):1124-1133.</w:t>
            </w:r>
          </w:p>
          <w:p w14:paraId="3EE57023"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Chou CY, Wang SM, Liang CC, et al. Risk of pneumonia among patients with chronic kidney disease in outpatient and inpatient settings: a nationwide population-based study. </w:t>
            </w:r>
            <w:r w:rsidRPr="00483CEC">
              <w:rPr>
                <w:rFonts w:ascii="Arial" w:hAnsi="Arial" w:cs="Arial"/>
                <w:i/>
                <w:sz w:val="14"/>
                <w:szCs w:val="14"/>
              </w:rPr>
              <w:t xml:space="preserve">Medicine (Baltimore). </w:t>
            </w:r>
            <w:r w:rsidRPr="00483CEC">
              <w:rPr>
                <w:rFonts w:ascii="Arial" w:hAnsi="Arial" w:cs="Arial"/>
                <w:sz w:val="14"/>
                <w:szCs w:val="14"/>
              </w:rPr>
              <w:t>2014;93(27):e174.</w:t>
            </w:r>
          </w:p>
        </w:tc>
      </w:tr>
      <w:tr w:rsidR="00483CEC" w:rsidRPr="00483CEC" w14:paraId="18FB86AB" w14:textId="77777777" w:rsidTr="00483CEC">
        <w:trPr>
          <w:trHeight w:val="7010"/>
        </w:trPr>
        <w:tc>
          <w:tcPr>
            <w:tcW w:w="985" w:type="dxa"/>
            <w:vAlign w:val="center"/>
          </w:tcPr>
          <w:p w14:paraId="73DADB1F" w14:textId="77777777" w:rsidR="00483CEC" w:rsidRPr="00483CEC" w:rsidRDefault="00483CEC" w:rsidP="00E97312">
            <w:pPr>
              <w:rPr>
                <w:rFonts w:ascii="Arial" w:hAnsi="Arial" w:cs="Arial"/>
                <w:sz w:val="14"/>
                <w:szCs w:val="14"/>
              </w:rPr>
            </w:pPr>
            <w:r w:rsidRPr="00483CEC">
              <w:rPr>
                <w:rFonts w:ascii="Arial" w:hAnsi="Arial" w:cs="Arial"/>
                <w:sz w:val="14"/>
                <w:szCs w:val="14"/>
              </w:rPr>
              <w:t>Diagnostic Testing</w:t>
            </w:r>
          </w:p>
        </w:tc>
        <w:tc>
          <w:tcPr>
            <w:tcW w:w="8825" w:type="dxa"/>
            <w:vAlign w:val="center"/>
          </w:tcPr>
          <w:p w14:paraId="2E15203D"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Syrjala H, Broas M, Suramo I, Ojala A, Lahde S. High-resolution computed tomography for the diagnosis of community-acquired pneumonia. </w:t>
            </w:r>
            <w:r w:rsidRPr="00483CEC">
              <w:rPr>
                <w:rFonts w:ascii="Arial" w:hAnsi="Arial" w:cs="Arial"/>
                <w:i/>
                <w:sz w:val="14"/>
                <w:szCs w:val="14"/>
              </w:rPr>
              <w:t xml:space="preserve">Clin Infect Dis. </w:t>
            </w:r>
            <w:r w:rsidRPr="00483CEC">
              <w:rPr>
                <w:rFonts w:ascii="Arial" w:hAnsi="Arial" w:cs="Arial"/>
                <w:sz w:val="14"/>
                <w:szCs w:val="14"/>
              </w:rPr>
              <w:t>1998;27(2):358-363.</w:t>
            </w:r>
          </w:p>
          <w:p w14:paraId="7B8284D2"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Hayden GE, Wrenn KW. Chest radiograph vs. computed tomography scan in the evaluation for pneumonia. </w:t>
            </w:r>
            <w:r w:rsidRPr="00483CEC">
              <w:rPr>
                <w:rFonts w:ascii="Arial" w:hAnsi="Arial" w:cs="Arial"/>
                <w:i/>
                <w:sz w:val="14"/>
                <w:szCs w:val="14"/>
              </w:rPr>
              <w:t xml:space="preserve">J Emerg Med. </w:t>
            </w:r>
            <w:r w:rsidRPr="00483CEC">
              <w:rPr>
                <w:rFonts w:ascii="Arial" w:hAnsi="Arial" w:cs="Arial"/>
                <w:sz w:val="14"/>
                <w:szCs w:val="14"/>
              </w:rPr>
              <w:t>2009;36(3):266-270.</w:t>
            </w:r>
          </w:p>
          <w:p w14:paraId="592E6320"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Claessens YE, Debray MP, Tubach F, et al. Early Chest Computed Tomography Scan to Assist Diagnosis and Guide Treatment Decision for Suspected Community-acquired Pneumonia. </w:t>
            </w:r>
            <w:r w:rsidRPr="00483CEC">
              <w:rPr>
                <w:rFonts w:ascii="Arial" w:hAnsi="Arial" w:cs="Arial"/>
                <w:i/>
                <w:sz w:val="14"/>
                <w:szCs w:val="14"/>
              </w:rPr>
              <w:t xml:space="preserve">Am J Respir Crit Care Med. </w:t>
            </w:r>
            <w:r w:rsidRPr="00483CEC">
              <w:rPr>
                <w:rFonts w:ascii="Arial" w:hAnsi="Arial" w:cs="Arial"/>
                <w:sz w:val="14"/>
                <w:szCs w:val="14"/>
              </w:rPr>
              <w:t>2015;192(8):974-982.</w:t>
            </w:r>
          </w:p>
          <w:p w14:paraId="639D9FC2"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Prendki V, Scheffler M, Huttner B, et al. Low-dose computed tomography for the diagnosis of pneumonia in elderly patients: a prospective, interventional cohort study. </w:t>
            </w:r>
            <w:r w:rsidRPr="00483CEC">
              <w:rPr>
                <w:rFonts w:ascii="Arial" w:hAnsi="Arial" w:cs="Arial"/>
                <w:i/>
                <w:sz w:val="14"/>
                <w:szCs w:val="14"/>
              </w:rPr>
              <w:t xml:space="preserve">Eur Respir J. </w:t>
            </w:r>
            <w:r w:rsidRPr="00483CEC">
              <w:rPr>
                <w:rFonts w:ascii="Arial" w:hAnsi="Arial" w:cs="Arial"/>
                <w:sz w:val="14"/>
                <w:szCs w:val="14"/>
              </w:rPr>
              <w:t>2018;51(5):1702375.</w:t>
            </w:r>
          </w:p>
          <w:p w14:paraId="3106CD37"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Makhnevich A, Sinvani L, Cohen SL, et al. The Clinical Utility of Chest Radiography for Identifying Pneumonia: Accounting for Diagnostic Uncertainty in Radiology Reports. </w:t>
            </w:r>
            <w:r w:rsidRPr="00483CEC">
              <w:rPr>
                <w:rFonts w:ascii="Arial" w:hAnsi="Arial" w:cs="Arial"/>
                <w:i/>
                <w:sz w:val="14"/>
                <w:szCs w:val="14"/>
              </w:rPr>
              <w:t xml:space="preserve">AJR Am J Roentgenol. </w:t>
            </w:r>
            <w:r w:rsidRPr="00483CEC">
              <w:rPr>
                <w:rFonts w:ascii="Arial" w:hAnsi="Arial" w:cs="Arial"/>
                <w:sz w:val="14"/>
                <w:szCs w:val="14"/>
              </w:rPr>
              <w:t>2019;213(6):1207-1212.</w:t>
            </w:r>
          </w:p>
          <w:p w14:paraId="6CFB747F"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Garin N, Marti C, Scheffler M, Stirnemann J, Prendki V. Computed tomography scan contribution to the diagnosis of community-acquired pneumonia. </w:t>
            </w:r>
            <w:r w:rsidRPr="00483CEC">
              <w:rPr>
                <w:rFonts w:ascii="Arial" w:hAnsi="Arial" w:cs="Arial"/>
                <w:i/>
                <w:sz w:val="14"/>
                <w:szCs w:val="14"/>
              </w:rPr>
              <w:t xml:space="preserve">Curr Opin Pulm Med. </w:t>
            </w:r>
            <w:r w:rsidRPr="00483CEC">
              <w:rPr>
                <w:rFonts w:ascii="Arial" w:hAnsi="Arial" w:cs="Arial"/>
                <w:sz w:val="14"/>
                <w:szCs w:val="14"/>
              </w:rPr>
              <w:t>2019;25(3):242-248.</w:t>
            </w:r>
          </w:p>
          <w:p w14:paraId="05B10ADA"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Self WH, Courtney DM, McNaughton CD, Wunderink RG, Kline JA. High discordance of chest x-ray and computed tomography for detection of pulmonary opacities in ED patients: implications for diagnosing pneumonia. </w:t>
            </w:r>
            <w:r w:rsidRPr="00483CEC">
              <w:rPr>
                <w:rFonts w:ascii="Arial" w:hAnsi="Arial" w:cs="Arial"/>
                <w:i/>
                <w:sz w:val="14"/>
                <w:szCs w:val="14"/>
              </w:rPr>
              <w:t xml:space="preserve">Am J Emerg Med. </w:t>
            </w:r>
            <w:r w:rsidRPr="00483CEC">
              <w:rPr>
                <w:rFonts w:ascii="Arial" w:hAnsi="Arial" w:cs="Arial"/>
                <w:sz w:val="14"/>
                <w:szCs w:val="14"/>
              </w:rPr>
              <w:t>2013;31(2):401-405.</w:t>
            </w:r>
          </w:p>
          <w:p w14:paraId="73F9F115"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Fukuyama H, Yamashiro S, Kinjo K, Tamaki H, Kishaba T. Validation of sputum Gram stain for treatment of community-acquired pneumonia and healthcare-associated pneumonia: a prospective observational study. </w:t>
            </w:r>
            <w:r w:rsidRPr="00483CEC">
              <w:rPr>
                <w:rFonts w:ascii="Arial" w:hAnsi="Arial" w:cs="Arial"/>
                <w:i/>
                <w:sz w:val="14"/>
                <w:szCs w:val="14"/>
              </w:rPr>
              <w:t xml:space="preserve">BMC Infect Dis. </w:t>
            </w:r>
            <w:r w:rsidRPr="00483CEC">
              <w:rPr>
                <w:rFonts w:ascii="Arial" w:hAnsi="Arial" w:cs="Arial"/>
                <w:sz w:val="14"/>
                <w:szCs w:val="14"/>
              </w:rPr>
              <w:t>2014;14:534.</w:t>
            </w:r>
          </w:p>
          <w:p w14:paraId="56A2B30E"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Ogawa H, Kitsios GD, Iwata M, Terasawa T. Sputum Gram Stain for Bacterial Pathogen Diagnosis in Community-acquired Pneumonia: A Systematic Review and Bayesian Meta-analysis of Diagnostic Accuracy and Yield. </w:t>
            </w:r>
            <w:r w:rsidRPr="00483CEC">
              <w:rPr>
                <w:rFonts w:ascii="Arial" w:hAnsi="Arial" w:cs="Arial"/>
                <w:i/>
                <w:sz w:val="14"/>
                <w:szCs w:val="14"/>
              </w:rPr>
              <w:t xml:space="preserve">Clin Infect Dis. </w:t>
            </w:r>
            <w:r w:rsidRPr="00483CEC">
              <w:rPr>
                <w:rFonts w:ascii="Arial" w:hAnsi="Arial" w:cs="Arial"/>
                <w:sz w:val="14"/>
                <w:szCs w:val="14"/>
              </w:rPr>
              <w:t>2020;71(3):499-513.</w:t>
            </w:r>
          </w:p>
          <w:p w14:paraId="3ABC06D0"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Del Rio-Pertuz G, Gutierrez JF, Triana AJ, et al. Usefulness of sputum gram stain for etiologic diagnosis in community-acquired pneumonia: a systematic review and meta-analysis. </w:t>
            </w:r>
            <w:r w:rsidRPr="00483CEC">
              <w:rPr>
                <w:rFonts w:ascii="Arial" w:hAnsi="Arial" w:cs="Arial"/>
                <w:i/>
                <w:sz w:val="14"/>
                <w:szCs w:val="14"/>
              </w:rPr>
              <w:t xml:space="preserve">BMC Infect Dis. </w:t>
            </w:r>
            <w:r w:rsidRPr="00483CEC">
              <w:rPr>
                <w:rFonts w:ascii="Arial" w:hAnsi="Arial" w:cs="Arial"/>
                <w:sz w:val="14"/>
                <w:szCs w:val="14"/>
              </w:rPr>
              <w:t>2019;19(1):403.</w:t>
            </w:r>
          </w:p>
          <w:p w14:paraId="5A5E3486"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García-Vázquez E, Marcos MA, Mensa J, et al. Assessment of the Usefulness of Sputum Culture for Diagnosis of Community-Acquired Pneumonia Using the PORT Predictive Scoring System. </w:t>
            </w:r>
            <w:r w:rsidRPr="00483CEC">
              <w:rPr>
                <w:rFonts w:ascii="Arial" w:hAnsi="Arial" w:cs="Arial"/>
                <w:i/>
                <w:sz w:val="14"/>
                <w:szCs w:val="14"/>
              </w:rPr>
              <w:t xml:space="preserve">Arch Intern Med. </w:t>
            </w:r>
            <w:r w:rsidRPr="00483CEC">
              <w:rPr>
                <w:rFonts w:ascii="Arial" w:hAnsi="Arial" w:cs="Arial"/>
                <w:sz w:val="14"/>
                <w:szCs w:val="14"/>
              </w:rPr>
              <w:t>2004;164(16):1807-1811.</w:t>
            </w:r>
          </w:p>
          <w:p w14:paraId="6B11E626"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Del Rio-Pertuz G, Gutiérrez JF, Triana AJ, Molinares JL, Robledo-Solano AB, Meza JL, Ariza-Bolívar OM, Acosta-Reyes J, Garavito A, Viasus D, Carratalà J. Usefulness of sputum gram stain for etiologic diagnosis in community-acquired pneumonia: a systematic review and meta-analysis.</w:t>
            </w:r>
            <w:r w:rsidRPr="00483CEC">
              <w:rPr>
                <w:rFonts w:ascii="Arial" w:hAnsi="Arial" w:cs="Arial"/>
                <w:i/>
                <w:iCs/>
                <w:sz w:val="14"/>
                <w:szCs w:val="14"/>
              </w:rPr>
              <w:t xml:space="preserve"> BMC Infect Dis</w:t>
            </w:r>
            <w:r w:rsidRPr="00483CEC">
              <w:rPr>
                <w:rFonts w:ascii="Arial" w:hAnsi="Arial" w:cs="Arial"/>
                <w:sz w:val="14"/>
                <w:szCs w:val="14"/>
              </w:rPr>
              <w:t>. 2019 May 10;19(1):403. doi: 10.1186/s12879-019-4048-6.</w:t>
            </w:r>
          </w:p>
          <w:p w14:paraId="28B7281B"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Jain S, Self WH, Wunderink RG, et al. Community-Acquired Pneumonia Requiring Hospitalization among U.S. Adults. </w:t>
            </w:r>
            <w:r w:rsidRPr="00483CEC">
              <w:rPr>
                <w:rFonts w:ascii="Arial" w:hAnsi="Arial" w:cs="Arial"/>
                <w:i/>
                <w:sz w:val="14"/>
                <w:szCs w:val="14"/>
              </w:rPr>
              <w:t xml:space="preserve">N Engl J Med. </w:t>
            </w:r>
            <w:r w:rsidRPr="00483CEC">
              <w:rPr>
                <w:rFonts w:ascii="Arial" w:hAnsi="Arial" w:cs="Arial"/>
                <w:sz w:val="14"/>
                <w:szCs w:val="14"/>
              </w:rPr>
              <w:t>2015;373(5):415-427.</w:t>
            </w:r>
          </w:p>
          <w:p w14:paraId="158A67A8"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Dionne M, Hatchette T, Forward K. Clinical utility of a Legionella pneumophila urinary antigen test in a large university teaching hospital. </w:t>
            </w:r>
            <w:r w:rsidRPr="00483CEC">
              <w:rPr>
                <w:rFonts w:ascii="Arial" w:hAnsi="Arial" w:cs="Arial"/>
                <w:i/>
                <w:sz w:val="14"/>
                <w:szCs w:val="14"/>
              </w:rPr>
              <w:t xml:space="preserve">Can J Infect Dis. </w:t>
            </w:r>
            <w:r w:rsidRPr="00483CEC">
              <w:rPr>
                <w:rFonts w:ascii="Arial" w:hAnsi="Arial" w:cs="Arial"/>
                <w:sz w:val="14"/>
                <w:szCs w:val="14"/>
              </w:rPr>
              <w:t>2003;14(2):85-88.</w:t>
            </w:r>
          </w:p>
          <w:p w14:paraId="79B75552"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West DM, McCauley LM, Sorensen JS, Jephson AR, Dean NC. Pneumococcal urinary antigen test use in diagnosis and treatment of pneumonia in seven Utah hospitals. </w:t>
            </w:r>
            <w:r w:rsidRPr="00483CEC">
              <w:rPr>
                <w:rFonts w:ascii="Arial" w:hAnsi="Arial" w:cs="Arial"/>
                <w:i/>
                <w:sz w:val="14"/>
                <w:szCs w:val="14"/>
              </w:rPr>
              <w:t xml:space="preserve">ERJ Open Res. </w:t>
            </w:r>
            <w:r w:rsidRPr="00483CEC">
              <w:rPr>
                <w:rFonts w:ascii="Arial" w:hAnsi="Arial" w:cs="Arial"/>
                <w:sz w:val="14"/>
                <w:szCs w:val="14"/>
              </w:rPr>
              <w:t>2016;2(4).</w:t>
            </w:r>
          </w:p>
          <w:p w14:paraId="09511AF6"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Klompas M, Imrey PB, Yu PC, et al. Respiratory viral testing and antibacterial treatment in patients hospitalized with community-acquired pneumonia. </w:t>
            </w:r>
            <w:r w:rsidRPr="00483CEC">
              <w:rPr>
                <w:rFonts w:ascii="Arial" w:hAnsi="Arial" w:cs="Arial"/>
                <w:i/>
                <w:sz w:val="14"/>
                <w:szCs w:val="14"/>
              </w:rPr>
              <w:t xml:space="preserve">Infect Control Hosp Epidemiol. </w:t>
            </w:r>
            <w:r w:rsidRPr="00483CEC">
              <w:rPr>
                <w:rFonts w:ascii="Arial" w:hAnsi="Arial" w:cs="Arial"/>
                <w:sz w:val="14"/>
                <w:szCs w:val="14"/>
              </w:rPr>
              <w:t>2021;42(7):817-825.</w:t>
            </w:r>
          </w:p>
          <w:p w14:paraId="0783FFB3"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Kamat IS, Ramachandran V, Eswaran H, Guffey D, Musher DM. Procalcitonin to Distinguish Viral From Bacterial Pneumonia: A Systematic Review and Meta-analysis. </w:t>
            </w:r>
            <w:r w:rsidRPr="00483CEC">
              <w:rPr>
                <w:rFonts w:ascii="Arial" w:hAnsi="Arial" w:cs="Arial"/>
                <w:i/>
                <w:sz w:val="14"/>
                <w:szCs w:val="14"/>
              </w:rPr>
              <w:t xml:space="preserve">Clin Infect Dis. </w:t>
            </w:r>
            <w:r w:rsidRPr="00483CEC">
              <w:rPr>
                <w:rFonts w:ascii="Arial" w:hAnsi="Arial" w:cs="Arial"/>
                <w:sz w:val="14"/>
                <w:szCs w:val="14"/>
              </w:rPr>
              <w:t>2020;70(3):538-542.</w:t>
            </w:r>
          </w:p>
          <w:p w14:paraId="6DF52F92"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Rhee C. Using Procalcitonin to Guide Antibiotic Therapy. </w:t>
            </w:r>
            <w:r w:rsidRPr="00483CEC">
              <w:rPr>
                <w:rFonts w:ascii="Arial" w:hAnsi="Arial" w:cs="Arial"/>
                <w:i/>
                <w:sz w:val="14"/>
                <w:szCs w:val="14"/>
              </w:rPr>
              <w:t xml:space="preserve">Open Forum Infect Dis. </w:t>
            </w:r>
            <w:r w:rsidRPr="00483CEC">
              <w:rPr>
                <w:rFonts w:ascii="Arial" w:hAnsi="Arial" w:cs="Arial"/>
                <w:sz w:val="14"/>
                <w:szCs w:val="14"/>
              </w:rPr>
              <w:t>2016;4(1).</w:t>
            </w:r>
          </w:p>
          <w:p w14:paraId="722EE10F"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Schuetz P, Wirz Y, Sager R, et al. Procalcitonin to initiate or discontinue antibiotics in acute respiratory tract infections. </w:t>
            </w:r>
            <w:r w:rsidRPr="00483CEC">
              <w:rPr>
                <w:rFonts w:ascii="Arial" w:hAnsi="Arial" w:cs="Arial"/>
                <w:i/>
                <w:sz w:val="14"/>
                <w:szCs w:val="14"/>
              </w:rPr>
              <w:t xml:space="preserve">Cochrane Database Syst Rev. </w:t>
            </w:r>
            <w:r w:rsidRPr="00483CEC">
              <w:rPr>
                <w:rFonts w:ascii="Arial" w:hAnsi="Arial" w:cs="Arial"/>
                <w:sz w:val="14"/>
                <w:szCs w:val="14"/>
              </w:rPr>
              <w:t>2017;10(10):Cd007498.</w:t>
            </w:r>
          </w:p>
          <w:p w14:paraId="0B7CE162"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Chavez MA, Shams N, Ellington LE, Naithani N, Gilman RH, Steinhoff MC, Santosham M, Black RE, Price C, Gross M, Checkley W. Lung ultrasound for the diagnosis of pneumonia in adults: a systematic review and meta-analysis. </w:t>
            </w:r>
            <w:r w:rsidRPr="00483CEC">
              <w:rPr>
                <w:rFonts w:ascii="Arial" w:hAnsi="Arial" w:cs="Arial"/>
                <w:i/>
                <w:iCs/>
                <w:sz w:val="14"/>
                <w:szCs w:val="14"/>
              </w:rPr>
              <w:t>Respir Res.</w:t>
            </w:r>
            <w:r w:rsidRPr="00483CEC">
              <w:rPr>
                <w:rFonts w:ascii="Arial" w:hAnsi="Arial" w:cs="Arial"/>
                <w:sz w:val="14"/>
                <w:szCs w:val="14"/>
              </w:rPr>
              <w:t xml:space="preserve"> 2014 Apr 23;15(1):50. doi: 10.1186/1465-9921-15-50.</w:t>
            </w:r>
          </w:p>
          <w:p w14:paraId="50DF137D" w14:textId="77777777" w:rsidR="00483CEC" w:rsidRPr="00483CEC" w:rsidRDefault="00483CEC" w:rsidP="00483CEC">
            <w:pPr>
              <w:pStyle w:val="EndNoteBibliography"/>
              <w:numPr>
                <w:ilvl w:val="0"/>
                <w:numId w:val="1"/>
              </w:numPr>
              <w:ind w:left="256" w:hanging="256"/>
              <w:rPr>
                <w:rFonts w:ascii="Arial" w:hAnsi="Arial" w:cs="Arial"/>
                <w:sz w:val="14"/>
                <w:szCs w:val="14"/>
              </w:rPr>
            </w:pPr>
            <w:r w:rsidRPr="00483CEC">
              <w:rPr>
                <w:rFonts w:ascii="Arial" w:hAnsi="Arial" w:cs="Arial"/>
                <w:sz w:val="14"/>
                <w:szCs w:val="14"/>
              </w:rPr>
              <w:t xml:space="preserve">Reissig A, Copetti R, Mathis G, et al. Lung ultrasound in the diagnosis and follow-up of community-acquired pneumonia: a prospective, multicenter, diagnostic accuracy study. </w:t>
            </w:r>
            <w:r w:rsidRPr="00483CEC">
              <w:rPr>
                <w:rFonts w:ascii="Arial" w:hAnsi="Arial" w:cs="Arial"/>
                <w:i/>
                <w:iCs/>
                <w:sz w:val="14"/>
                <w:szCs w:val="14"/>
              </w:rPr>
              <w:t>Chest</w:t>
            </w:r>
            <w:r w:rsidRPr="00483CEC">
              <w:rPr>
                <w:rFonts w:ascii="Arial" w:hAnsi="Arial" w:cs="Arial"/>
                <w:sz w:val="14"/>
                <w:szCs w:val="14"/>
              </w:rPr>
              <w:t>. 2012;142(4):965-972.</w:t>
            </w:r>
          </w:p>
        </w:tc>
      </w:tr>
    </w:tbl>
    <w:p w14:paraId="046A02F3" w14:textId="77777777" w:rsidR="00483CEC" w:rsidRPr="008B47CA" w:rsidRDefault="00483CEC" w:rsidP="00483CEC">
      <w:pPr>
        <w:rPr>
          <w:rFonts w:ascii="Arial" w:hAnsi="Arial" w:cs="Arial"/>
        </w:rPr>
      </w:pPr>
    </w:p>
    <w:p w14:paraId="6A51658A" w14:textId="77777777" w:rsidR="000C7A6E" w:rsidRDefault="000C7A6E"/>
    <w:sectPr w:rsidR="000C7A6E" w:rsidSect="00483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F5E26"/>
    <w:multiLevelType w:val="hybridMultilevel"/>
    <w:tmpl w:val="FE36E8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250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EC"/>
    <w:rsid w:val="000C7A6E"/>
    <w:rsid w:val="00483CEC"/>
    <w:rsid w:val="005D2BA0"/>
    <w:rsid w:val="008C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C4EE"/>
  <w15:chartTrackingRefBased/>
  <w15:docId w15:val="{5706FE7C-9B61-4B90-BDFE-FAEFF10C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E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483CE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83CEC"/>
    <w:rPr>
      <w:rFonts w:ascii="Calibri" w:hAnsi="Calibri" w:cs="Calibri"/>
      <w:noProof/>
      <w:kern w:val="0"/>
      <w14:ligatures w14:val="none"/>
    </w:rPr>
  </w:style>
  <w:style w:type="paragraph" w:styleId="ListParagraph">
    <w:name w:val="List Paragraph"/>
    <w:basedOn w:val="Normal"/>
    <w:uiPriority w:val="34"/>
    <w:qFormat/>
    <w:rsid w:val="00483CEC"/>
    <w:pPr>
      <w:ind w:left="720"/>
      <w:contextualSpacing/>
    </w:pPr>
  </w:style>
  <w:style w:type="table" w:styleId="TableGrid">
    <w:name w:val="Table Grid"/>
    <w:basedOn w:val="TableNormal"/>
    <w:uiPriority w:val="59"/>
    <w:rsid w:val="00483CE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8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889</Words>
  <Characters>5071</Characters>
  <Application>Microsoft Office Word</Application>
  <DocSecurity>0</DocSecurity>
  <Lines>42</Lines>
  <Paragraphs>11</Paragraphs>
  <ScaleCrop>false</ScaleCrop>
  <Company>University of Maryland Baltimore</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Baghdadi, Jonathan</dc:creator>
  <cp:keywords/>
  <dc:description/>
  <cp:lastModifiedBy>Baghdadi, Jonathan</cp:lastModifiedBy>
  <cp:revision>1</cp:revision>
  <dcterms:created xsi:type="dcterms:W3CDTF">2023-06-01T20:50:00Z</dcterms:created>
  <dcterms:modified xsi:type="dcterms:W3CDTF">2023-06-01T20:51:00Z</dcterms:modified>
</cp:coreProperties>
</file>